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D0" w:rsidRDefault="00C874D0"/>
    <w:p w:rsidR="00C874D0" w:rsidRDefault="00C874D0">
      <w:pPr>
        <w:ind w:leftChars="400" w:left="840" w:rightChars="400" w:right="840"/>
        <w:jc w:val="center"/>
        <w:rPr>
          <w:rFonts w:ascii="黑体" w:eastAsia="黑体" w:hAnsi="宋体" w:cs="宋体"/>
          <w:kern w:val="0"/>
          <w:sz w:val="44"/>
          <w:szCs w:val="44"/>
        </w:rPr>
      </w:pPr>
    </w:p>
    <w:p w:rsidR="00C874D0" w:rsidRDefault="00C874D0">
      <w:pPr>
        <w:ind w:leftChars="400" w:left="840" w:rightChars="400" w:right="840"/>
        <w:jc w:val="center"/>
        <w:rPr>
          <w:rFonts w:ascii="黑体" w:eastAsia="黑体" w:hAnsi="宋体" w:cs="宋体"/>
          <w:kern w:val="0"/>
          <w:sz w:val="44"/>
          <w:szCs w:val="44"/>
        </w:rPr>
      </w:pPr>
      <w:r>
        <w:rPr>
          <w:rFonts w:ascii="黑体" w:eastAsia="黑体" w:hAnsi="宋体" w:cs="宋体" w:hint="eastAsia"/>
          <w:kern w:val="0"/>
          <w:sz w:val="44"/>
          <w:szCs w:val="44"/>
        </w:rPr>
        <w:t>五河县价格认证中心2021年财政拨款安排“三公”经费预算情况</w:t>
      </w:r>
    </w:p>
    <w:p w:rsidR="00C874D0" w:rsidRDefault="00C874D0">
      <w:pPr>
        <w:ind w:leftChars="400" w:left="840" w:rightChars="400" w:right="840"/>
        <w:jc w:val="center"/>
        <w:rPr>
          <w:rFonts w:hint="eastAsia"/>
        </w:rPr>
      </w:pPr>
    </w:p>
    <w:p w:rsidR="00C874D0" w:rsidRDefault="00C874D0">
      <w:pPr>
        <w:ind w:leftChars="400" w:left="840" w:rightChars="400" w:right="840"/>
        <w:jc w:val="center"/>
        <w:rPr>
          <w:rFonts w:hint="eastAsia"/>
        </w:rPr>
      </w:pPr>
    </w:p>
    <w:p w:rsidR="00C874D0" w:rsidRDefault="00C874D0">
      <w:pPr>
        <w:ind w:leftChars="400" w:left="840" w:rightChars="400" w:right="840"/>
        <w:jc w:val="center"/>
      </w:pPr>
    </w:p>
    <w:p w:rsidR="00C874D0" w:rsidRDefault="00C874D0">
      <w:pPr>
        <w:spacing w:line="560" w:lineRule="exact"/>
        <w:jc w:val="left"/>
        <w:rPr>
          <w:rFonts w:ascii="黑体" w:eastAsia="黑体" w:hint="eastAsia"/>
          <w:sz w:val="32"/>
          <w:szCs w:val="32"/>
        </w:rPr>
      </w:pPr>
      <w:r>
        <w:rPr>
          <w:rFonts w:ascii="仿宋_GB2312" w:eastAsia="仿宋_GB2312"/>
          <w:sz w:val="32"/>
          <w:szCs w:val="32"/>
        </w:rPr>
        <w:t xml:space="preserve"> </w:t>
      </w:r>
      <w:r>
        <w:rPr>
          <w:rFonts w:ascii="黑体" w:eastAsia="黑体" w:hint="eastAsia"/>
          <w:sz w:val="32"/>
          <w:szCs w:val="32"/>
        </w:rPr>
        <w:t>一、“三公”经费预算财政拨款情况表</w:t>
      </w:r>
    </w:p>
    <w:tbl>
      <w:tblPr>
        <w:tblW w:w="0" w:type="auto"/>
        <w:tblInd w:w="93" w:type="dxa"/>
        <w:tblLayout w:type="fixed"/>
        <w:tblLook w:val="0000"/>
      </w:tblPr>
      <w:tblGrid>
        <w:gridCol w:w="4268"/>
        <w:gridCol w:w="1559"/>
        <w:gridCol w:w="1418"/>
        <w:gridCol w:w="1417"/>
      </w:tblGrid>
      <w:tr w:rsidR="00C874D0">
        <w:trPr>
          <w:gridAfter w:val="1"/>
          <w:wAfter w:w="1417" w:type="dxa"/>
          <w:trHeight w:val="600"/>
        </w:trPr>
        <w:tc>
          <w:tcPr>
            <w:tcW w:w="4268" w:type="dxa"/>
            <w:tcBorders>
              <w:top w:val="nil"/>
              <w:left w:val="nil"/>
              <w:bottom w:val="single" w:sz="8" w:space="0" w:color="auto"/>
              <w:right w:val="nil"/>
            </w:tcBorders>
            <w:noWrap/>
            <w:vAlign w:val="bottom"/>
          </w:tcPr>
          <w:p w:rsidR="00C874D0" w:rsidRDefault="00C874D0">
            <w:pPr>
              <w:widowControl/>
              <w:jc w:val="left"/>
              <w:rPr>
                <w:rFonts w:ascii="宋体" w:hAnsi="宋体" w:cs="宋体"/>
                <w:kern w:val="0"/>
                <w:sz w:val="24"/>
                <w:szCs w:val="24"/>
              </w:rPr>
            </w:pPr>
          </w:p>
        </w:tc>
        <w:tc>
          <w:tcPr>
            <w:tcW w:w="1559" w:type="dxa"/>
            <w:tcBorders>
              <w:top w:val="nil"/>
              <w:left w:val="nil"/>
              <w:bottom w:val="single" w:sz="8" w:space="0" w:color="auto"/>
              <w:right w:val="nil"/>
            </w:tcBorders>
          </w:tcPr>
          <w:p w:rsidR="00C874D0" w:rsidRDefault="00C874D0">
            <w:pPr>
              <w:widowControl/>
              <w:jc w:val="left"/>
              <w:rPr>
                <w:rFonts w:ascii="宋体" w:hAnsi="宋体" w:cs="宋体" w:hint="eastAsia"/>
                <w:kern w:val="0"/>
                <w:sz w:val="24"/>
                <w:szCs w:val="24"/>
              </w:rPr>
            </w:pPr>
          </w:p>
        </w:tc>
        <w:tc>
          <w:tcPr>
            <w:tcW w:w="1418" w:type="dxa"/>
            <w:tcBorders>
              <w:top w:val="nil"/>
              <w:left w:val="nil"/>
              <w:bottom w:val="single" w:sz="8" w:space="0" w:color="auto"/>
              <w:right w:val="nil"/>
            </w:tcBorders>
          </w:tcPr>
          <w:p w:rsidR="00C874D0" w:rsidRDefault="00C874D0">
            <w:pPr>
              <w:widowControl/>
              <w:ind w:firstLineChars="50" w:firstLine="120"/>
              <w:jc w:val="left"/>
              <w:rPr>
                <w:rFonts w:ascii="宋体" w:hAnsi="宋体" w:cs="宋体" w:hint="eastAsia"/>
                <w:kern w:val="0"/>
                <w:sz w:val="24"/>
                <w:szCs w:val="24"/>
              </w:rPr>
            </w:pPr>
            <w:r>
              <w:rPr>
                <w:rFonts w:ascii="宋体" w:hAnsi="宋体" w:cs="宋体" w:hint="eastAsia"/>
                <w:kern w:val="0"/>
                <w:sz w:val="24"/>
                <w:szCs w:val="24"/>
              </w:rPr>
              <w:t>单位：万元</w:t>
            </w:r>
          </w:p>
          <w:p w:rsidR="00C874D0" w:rsidRDefault="00C874D0">
            <w:pPr>
              <w:widowControl/>
              <w:jc w:val="left"/>
              <w:rPr>
                <w:rFonts w:ascii="宋体" w:hAnsi="宋体" w:cs="宋体" w:hint="eastAsia"/>
                <w:kern w:val="0"/>
                <w:sz w:val="24"/>
                <w:szCs w:val="24"/>
              </w:rPr>
            </w:pPr>
          </w:p>
        </w:tc>
      </w:tr>
      <w:tr w:rsidR="00C874D0">
        <w:trPr>
          <w:trHeight w:val="995"/>
        </w:trPr>
        <w:tc>
          <w:tcPr>
            <w:tcW w:w="4268" w:type="dxa"/>
            <w:tcBorders>
              <w:top w:val="nil"/>
              <w:left w:val="single" w:sz="4" w:space="0" w:color="auto"/>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hint="eastAsia"/>
                <w:sz w:val="28"/>
                <w:szCs w:val="28"/>
              </w:rPr>
              <w:t>项目</w:t>
            </w:r>
          </w:p>
        </w:tc>
        <w:tc>
          <w:tcPr>
            <w:tcW w:w="1559" w:type="dxa"/>
            <w:tcBorders>
              <w:top w:val="single" w:sz="8" w:space="0" w:color="auto"/>
              <w:left w:val="nil"/>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2021年预算数</w:t>
            </w:r>
          </w:p>
        </w:tc>
        <w:tc>
          <w:tcPr>
            <w:tcW w:w="1418" w:type="dxa"/>
            <w:tcBorders>
              <w:top w:val="single" w:sz="8" w:space="0" w:color="auto"/>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上年预算数</w:t>
            </w:r>
          </w:p>
        </w:tc>
        <w:tc>
          <w:tcPr>
            <w:tcW w:w="1417" w:type="dxa"/>
            <w:tcBorders>
              <w:top w:val="single" w:sz="8" w:space="0" w:color="auto"/>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增幅（%）</w:t>
            </w:r>
          </w:p>
        </w:tc>
      </w:tr>
      <w:tr w:rsidR="00C874D0">
        <w:trPr>
          <w:trHeight w:val="684"/>
        </w:trPr>
        <w:tc>
          <w:tcPr>
            <w:tcW w:w="4268" w:type="dxa"/>
            <w:tcBorders>
              <w:top w:val="nil"/>
              <w:left w:val="single" w:sz="4" w:space="0" w:color="auto"/>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hint="eastAsia"/>
                <w:sz w:val="28"/>
                <w:szCs w:val="28"/>
              </w:rPr>
              <w:t>合计</w:t>
            </w:r>
          </w:p>
        </w:tc>
        <w:tc>
          <w:tcPr>
            <w:tcW w:w="1559" w:type="dxa"/>
            <w:tcBorders>
              <w:top w:val="nil"/>
              <w:left w:val="nil"/>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c>
          <w:tcPr>
            <w:tcW w:w="1418"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c>
          <w:tcPr>
            <w:tcW w:w="1417"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r>
      <w:tr w:rsidR="00C874D0">
        <w:trPr>
          <w:trHeight w:val="694"/>
        </w:trPr>
        <w:tc>
          <w:tcPr>
            <w:tcW w:w="4268" w:type="dxa"/>
            <w:tcBorders>
              <w:top w:val="nil"/>
              <w:left w:val="single" w:sz="4" w:space="0" w:color="auto"/>
              <w:bottom w:val="single" w:sz="4" w:space="0" w:color="auto"/>
              <w:right w:val="single" w:sz="4" w:space="0" w:color="auto"/>
            </w:tcBorders>
            <w:noWrap/>
            <w:vAlign w:val="center"/>
          </w:tcPr>
          <w:p w:rsidR="00C874D0" w:rsidRDefault="00C874D0">
            <w:pPr>
              <w:rPr>
                <w:rFonts w:ascii="仿宋_GB2312" w:eastAsia="仿宋_GB2312" w:hAnsi="宋体" w:cs="宋体" w:hint="eastAsia"/>
                <w:sz w:val="28"/>
                <w:szCs w:val="28"/>
              </w:rPr>
            </w:pPr>
            <w:r>
              <w:rPr>
                <w:rFonts w:ascii="仿宋_GB2312" w:eastAsia="仿宋_GB2312" w:hAnsi="宋体" w:hint="eastAsia"/>
                <w:sz w:val="28"/>
                <w:szCs w:val="28"/>
              </w:rPr>
              <w:t>因公出国（境）费</w:t>
            </w:r>
          </w:p>
        </w:tc>
        <w:tc>
          <w:tcPr>
            <w:tcW w:w="1559" w:type="dxa"/>
            <w:tcBorders>
              <w:top w:val="nil"/>
              <w:left w:val="nil"/>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sz w:val="28"/>
                <w:szCs w:val="28"/>
              </w:rPr>
            </w:pPr>
          </w:p>
        </w:tc>
        <w:tc>
          <w:tcPr>
            <w:tcW w:w="1418"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p>
        </w:tc>
        <w:tc>
          <w:tcPr>
            <w:tcW w:w="1417"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p>
        </w:tc>
      </w:tr>
      <w:tr w:rsidR="00C874D0">
        <w:trPr>
          <w:trHeight w:val="693"/>
        </w:trPr>
        <w:tc>
          <w:tcPr>
            <w:tcW w:w="4268" w:type="dxa"/>
            <w:tcBorders>
              <w:top w:val="nil"/>
              <w:left w:val="single" w:sz="4" w:space="0" w:color="auto"/>
              <w:bottom w:val="single" w:sz="4" w:space="0" w:color="auto"/>
              <w:right w:val="single" w:sz="4" w:space="0" w:color="auto"/>
            </w:tcBorders>
            <w:noWrap/>
            <w:vAlign w:val="center"/>
          </w:tcPr>
          <w:p w:rsidR="00C874D0" w:rsidRDefault="00C874D0">
            <w:pPr>
              <w:rPr>
                <w:rFonts w:ascii="仿宋_GB2312" w:eastAsia="仿宋_GB2312" w:hAnsi="宋体" w:cs="宋体" w:hint="eastAsia"/>
                <w:sz w:val="28"/>
                <w:szCs w:val="28"/>
              </w:rPr>
            </w:pPr>
            <w:r>
              <w:rPr>
                <w:rFonts w:ascii="仿宋_GB2312" w:eastAsia="仿宋_GB2312" w:hAnsi="宋体" w:hint="eastAsia"/>
                <w:sz w:val="28"/>
                <w:szCs w:val="28"/>
              </w:rPr>
              <w:t>公务接待费</w:t>
            </w:r>
          </w:p>
        </w:tc>
        <w:tc>
          <w:tcPr>
            <w:tcW w:w="1559" w:type="dxa"/>
            <w:tcBorders>
              <w:top w:val="nil"/>
              <w:left w:val="nil"/>
              <w:bottom w:val="single" w:sz="4" w:space="0" w:color="auto"/>
              <w:right w:val="single" w:sz="4" w:space="0" w:color="auto"/>
            </w:tcBorders>
            <w:noWrap/>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c>
          <w:tcPr>
            <w:tcW w:w="1418"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c>
          <w:tcPr>
            <w:tcW w:w="1417" w:type="dxa"/>
            <w:tcBorders>
              <w:top w:val="nil"/>
              <w:left w:val="nil"/>
              <w:bottom w:val="single" w:sz="4" w:space="0" w:color="auto"/>
              <w:right w:val="single" w:sz="4" w:space="0" w:color="auto"/>
            </w:tcBorders>
            <w:vAlign w:val="center"/>
          </w:tcPr>
          <w:p w:rsidR="00C874D0" w:rsidRDefault="00C874D0">
            <w:pPr>
              <w:jc w:val="center"/>
              <w:rPr>
                <w:rFonts w:ascii="仿宋_GB2312" w:eastAsia="仿宋_GB2312" w:hAnsi="宋体" w:cs="宋体" w:hint="eastAsia"/>
                <w:sz w:val="28"/>
                <w:szCs w:val="28"/>
              </w:rPr>
            </w:pPr>
            <w:r>
              <w:rPr>
                <w:rFonts w:ascii="仿宋_GB2312" w:eastAsia="仿宋_GB2312" w:hAnsi="宋体" w:cs="宋体" w:hint="eastAsia"/>
                <w:sz w:val="28"/>
                <w:szCs w:val="28"/>
              </w:rPr>
              <w:t>0</w:t>
            </w:r>
          </w:p>
        </w:tc>
      </w:tr>
      <w:tr w:rsidR="00C874D0">
        <w:trPr>
          <w:trHeight w:val="716"/>
        </w:trPr>
        <w:tc>
          <w:tcPr>
            <w:tcW w:w="4268" w:type="dxa"/>
            <w:tcBorders>
              <w:top w:val="nil"/>
              <w:left w:val="single" w:sz="4" w:space="0" w:color="auto"/>
              <w:bottom w:val="nil"/>
              <w:right w:val="single" w:sz="4" w:space="0" w:color="auto"/>
            </w:tcBorders>
            <w:noWrap/>
            <w:vAlign w:val="center"/>
          </w:tcPr>
          <w:p w:rsidR="00C874D0" w:rsidRDefault="00C874D0">
            <w:pPr>
              <w:rPr>
                <w:rFonts w:ascii="仿宋_GB2312" w:eastAsia="仿宋_GB2312" w:hAnsi="宋体" w:cs="宋体" w:hint="eastAsia"/>
                <w:sz w:val="28"/>
                <w:szCs w:val="28"/>
              </w:rPr>
            </w:pPr>
            <w:r>
              <w:rPr>
                <w:rFonts w:ascii="仿宋_GB2312" w:eastAsia="仿宋_GB2312" w:hAnsi="宋体" w:hint="eastAsia"/>
                <w:sz w:val="28"/>
                <w:szCs w:val="28"/>
              </w:rPr>
              <w:t>公务用车购置及运行费</w:t>
            </w:r>
          </w:p>
        </w:tc>
        <w:tc>
          <w:tcPr>
            <w:tcW w:w="1559" w:type="dxa"/>
            <w:tcBorders>
              <w:top w:val="nil"/>
              <w:left w:val="nil"/>
              <w:bottom w:val="nil"/>
              <w:right w:val="single" w:sz="4" w:space="0" w:color="auto"/>
            </w:tcBorders>
            <w:noWrap/>
            <w:vAlign w:val="center"/>
          </w:tcPr>
          <w:p w:rsidR="00C874D0" w:rsidRDefault="00C874D0">
            <w:pPr>
              <w:jc w:val="right"/>
              <w:rPr>
                <w:rFonts w:ascii="仿宋_GB2312" w:eastAsia="仿宋_GB2312" w:hAnsi="宋体" w:cs="宋体" w:hint="eastAsia"/>
                <w:sz w:val="28"/>
                <w:szCs w:val="28"/>
              </w:rPr>
            </w:pPr>
          </w:p>
        </w:tc>
        <w:tc>
          <w:tcPr>
            <w:tcW w:w="1418" w:type="dxa"/>
            <w:tcBorders>
              <w:top w:val="nil"/>
              <w:left w:val="nil"/>
              <w:bottom w:val="nil"/>
              <w:right w:val="single" w:sz="4" w:space="0" w:color="auto"/>
            </w:tcBorders>
            <w:vAlign w:val="center"/>
          </w:tcPr>
          <w:p w:rsidR="00C874D0" w:rsidRDefault="00C874D0">
            <w:pPr>
              <w:jc w:val="right"/>
              <w:rPr>
                <w:rFonts w:ascii="仿宋_GB2312" w:eastAsia="仿宋_GB2312" w:hAnsi="宋体" w:cs="宋体" w:hint="eastAsia"/>
                <w:sz w:val="28"/>
                <w:szCs w:val="28"/>
              </w:rPr>
            </w:pPr>
          </w:p>
        </w:tc>
        <w:tc>
          <w:tcPr>
            <w:tcW w:w="1417" w:type="dxa"/>
            <w:tcBorders>
              <w:top w:val="nil"/>
              <w:left w:val="nil"/>
              <w:bottom w:val="nil"/>
              <w:right w:val="single" w:sz="4" w:space="0" w:color="auto"/>
            </w:tcBorders>
            <w:vAlign w:val="center"/>
          </w:tcPr>
          <w:p w:rsidR="00C874D0" w:rsidRDefault="00C874D0">
            <w:pPr>
              <w:jc w:val="right"/>
              <w:rPr>
                <w:rFonts w:ascii="仿宋_GB2312" w:eastAsia="仿宋_GB2312" w:hAnsi="宋体" w:cs="宋体" w:hint="eastAsia"/>
                <w:sz w:val="28"/>
                <w:szCs w:val="28"/>
              </w:rPr>
            </w:pPr>
          </w:p>
        </w:tc>
      </w:tr>
      <w:tr w:rsidR="00C874D0">
        <w:trPr>
          <w:trHeight w:val="684"/>
        </w:trPr>
        <w:tc>
          <w:tcPr>
            <w:tcW w:w="4268" w:type="dxa"/>
            <w:tcBorders>
              <w:top w:val="single" w:sz="4" w:space="0" w:color="auto"/>
              <w:left w:val="single" w:sz="4" w:space="0" w:color="auto"/>
              <w:bottom w:val="nil"/>
              <w:right w:val="single" w:sz="4" w:space="0" w:color="auto"/>
            </w:tcBorders>
            <w:vAlign w:val="center"/>
          </w:tcPr>
          <w:p w:rsidR="00C874D0" w:rsidRDefault="00C874D0">
            <w:pPr>
              <w:rPr>
                <w:rFonts w:ascii="仿宋_GB2312" w:eastAsia="仿宋_GB2312" w:hAnsi="宋体" w:cs="宋体" w:hint="eastAsia"/>
                <w:sz w:val="28"/>
                <w:szCs w:val="28"/>
              </w:rPr>
            </w:pPr>
            <w:r>
              <w:rPr>
                <w:rFonts w:ascii="仿宋_GB2312" w:eastAsia="仿宋_GB2312" w:hAnsi="宋体" w:hint="eastAsia"/>
                <w:sz w:val="28"/>
                <w:szCs w:val="28"/>
              </w:rPr>
              <w:t xml:space="preserve">  其中：公务用车运行维护费</w:t>
            </w:r>
          </w:p>
        </w:tc>
        <w:tc>
          <w:tcPr>
            <w:tcW w:w="1559" w:type="dxa"/>
            <w:tcBorders>
              <w:top w:val="single" w:sz="4" w:space="0" w:color="auto"/>
              <w:left w:val="nil"/>
              <w:bottom w:val="nil"/>
              <w:right w:val="single" w:sz="4" w:space="0" w:color="auto"/>
            </w:tcBorders>
            <w:noWrap/>
            <w:vAlign w:val="center"/>
          </w:tcPr>
          <w:p w:rsidR="00C874D0" w:rsidRDefault="00C874D0">
            <w:pPr>
              <w:jc w:val="right"/>
              <w:rPr>
                <w:rFonts w:ascii="仿宋_GB2312" w:eastAsia="仿宋_GB2312" w:hAnsi="宋体" w:cs="宋体" w:hint="eastAsia"/>
                <w:sz w:val="28"/>
                <w:szCs w:val="28"/>
              </w:rPr>
            </w:pPr>
          </w:p>
        </w:tc>
        <w:tc>
          <w:tcPr>
            <w:tcW w:w="1418" w:type="dxa"/>
            <w:tcBorders>
              <w:top w:val="single" w:sz="4" w:space="0" w:color="auto"/>
              <w:left w:val="nil"/>
              <w:bottom w:val="nil"/>
              <w:right w:val="single" w:sz="4" w:space="0" w:color="auto"/>
            </w:tcBorders>
            <w:vAlign w:val="center"/>
          </w:tcPr>
          <w:p w:rsidR="00C874D0" w:rsidRDefault="00C874D0">
            <w:pPr>
              <w:jc w:val="right"/>
              <w:rPr>
                <w:rFonts w:ascii="仿宋_GB2312" w:eastAsia="仿宋_GB2312" w:hAnsi="宋体" w:cs="宋体" w:hint="eastAsia"/>
                <w:sz w:val="28"/>
                <w:szCs w:val="28"/>
              </w:rPr>
            </w:pPr>
          </w:p>
        </w:tc>
        <w:tc>
          <w:tcPr>
            <w:tcW w:w="1417" w:type="dxa"/>
            <w:tcBorders>
              <w:top w:val="single" w:sz="4" w:space="0" w:color="auto"/>
              <w:left w:val="nil"/>
              <w:bottom w:val="nil"/>
              <w:right w:val="single" w:sz="4" w:space="0" w:color="auto"/>
            </w:tcBorders>
            <w:vAlign w:val="center"/>
          </w:tcPr>
          <w:p w:rsidR="00C874D0" w:rsidRDefault="00C874D0">
            <w:pPr>
              <w:jc w:val="right"/>
              <w:rPr>
                <w:rFonts w:ascii="仿宋_GB2312" w:eastAsia="仿宋_GB2312" w:hAnsi="宋体" w:cs="宋体" w:hint="eastAsia"/>
                <w:sz w:val="28"/>
                <w:szCs w:val="28"/>
              </w:rPr>
            </w:pPr>
          </w:p>
        </w:tc>
      </w:tr>
      <w:tr w:rsidR="00C874D0">
        <w:trPr>
          <w:trHeight w:val="443"/>
        </w:trPr>
        <w:tc>
          <w:tcPr>
            <w:tcW w:w="4268" w:type="dxa"/>
            <w:tcBorders>
              <w:top w:val="single" w:sz="4" w:space="0" w:color="auto"/>
              <w:left w:val="single" w:sz="4" w:space="0" w:color="auto"/>
              <w:bottom w:val="single" w:sz="8" w:space="0" w:color="auto"/>
              <w:right w:val="single" w:sz="4" w:space="0" w:color="auto"/>
            </w:tcBorders>
            <w:vAlign w:val="center"/>
          </w:tcPr>
          <w:p w:rsidR="00C874D0" w:rsidRDefault="00C874D0">
            <w:pPr>
              <w:rPr>
                <w:rFonts w:ascii="仿宋_GB2312" w:eastAsia="仿宋_GB2312" w:hAnsi="宋体" w:cs="宋体" w:hint="eastAsia"/>
                <w:sz w:val="28"/>
                <w:szCs w:val="28"/>
              </w:rPr>
            </w:pPr>
            <w:r>
              <w:rPr>
                <w:rFonts w:ascii="仿宋_GB2312" w:eastAsia="仿宋_GB2312" w:hAnsi="宋体" w:hint="eastAsia"/>
                <w:sz w:val="28"/>
                <w:szCs w:val="28"/>
              </w:rPr>
              <w:t xml:space="preserve">        公务用车购置 </w:t>
            </w:r>
          </w:p>
        </w:tc>
        <w:tc>
          <w:tcPr>
            <w:tcW w:w="1559" w:type="dxa"/>
            <w:tcBorders>
              <w:top w:val="single" w:sz="4" w:space="0" w:color="auto"/>
              <w:left w:val="nil"/>
              <w:bottom w:val="single" w:sz="8" w:space="0" w:color="auto"/>
              <w:right w:val="single" w:sz="4" w:space="0" w:color="auto"/>
            </w:tcBorders>
            <w:noWrap/>
            <w:vAlign w:val="center"/>
          </w:tcPr>
          <w:p w:rsidR="00C874D0" w:rsidRDefault="00C874D0">
            <w:pPr>
              <w:jc w:val="right"/>
              <w:rPr>
                <w:rFonts w:ascii="仿宋_GB2312" w:eastAsia="仿宋_GB2312" w:hAnsi="宋体" w:cs="宋体" w:hint="eastAsia"/>
                <w:sz w:val="28"/>
                <w:szCs w:val="28"/>
              </w:rPr>
            </w:pPr>
          </w:p>
        </w:tc>
        <w:tc>
          <w:tcPr>
            <w:tcW w:w="1418" w:type="dxa"/>
            <w:tcBorders>
              <w:top w:val="single" w:sz="4" w:space="0" w:color="auto"/>
              <w:left w:val="nil"/>
              <w:bottom w:val="single" w:sz="8" w:space="0" w:color="auto"/>
              <w:right w:val="single" w:sz="4" w:space="0" w:color="auto"/>
            </w:tcBorders>
            <w:vAlign w:val="center"/>
          </w:tcPr>
          <w:p w:rsidR="00C874D0" w:rsidRDefault="00C874D0">
            <w:pPr>
              <w:jc w:val="right"/>
              <w:rPr>
                <w:rFonts w:ascii="仿宋_GB2312" w:eastAsia="仿宋_GB2312" w:hAnsi="宋体" w:cs="宋体" w:hint="eastAsia"/>
                <w:sz w:val="28"/>
                <w:szCs w:val="28"/>
              </w:rPr>
            </w:pPr>
          </w:p>
        </w:tc>
        <w:tc>
          <w:tcPr>
            <w:tcW w:w="1417" w:type="dxa"/>
            <w:tcBorders>
              <w:top w:val="single" w:sz="4" w:space="0" w:color="auto"/>
              <w:left w:val="nil"/>
              <w:bottom w:val="single" w:sz="8" w:space="0" w:color="auto"/>
              <w:right w:val="single" w:sz="4" w:space="0" w:color="auto"/>
            </w:tcBorders>
            <w:vAlign w:val="center"/>
          </w:tcPr>
          <w:p w:rsidR="00C874D0" w:rsidRDefault="00C874D0">
            <w:pPr>
              <w:jc w:val="right"/>
              <w:rPr>
                <w:rFonts w:ascii="仿宋_GB2312" w:eastAsia="仿宋_GB2312" w:hAnsi="宋体" w:cs="宋体" w:hint="eastAsia"/>
                <w:sz w:val="28"/>
                <w:szCs w:val="28"/>
              </w:rPr>
            </w:pPr>
          </w:p>
        </w:tc>
      </w:tr>
    </w:tbl>
    <w:p w:rsidR="00C874D0" w:rsidRDefault="00C874D0">
      <w:pPr>
        <w:spacing w:line="560" w:lineRule="exact"/>
        <w:jc w:val="left"/>
        <w:rPr>
          <w:rFonts w:ascii="黑体" w:eastAsia="黑体" w:hAnsi="仿宋" w:hint="eastAsia"/>
          <w:sz w:val="32"/>
          <w:szCs w:val="32"/>
        </w:rPr>
      </w:pPr>
      <w:r>
        <w:rPr>
          <w:rFonts w:ascii="黑体" w:eastAsia="黑体" w:hAnsi="仿宋" w:hint="eastAsia"/>
          <w:sz w:val="32"/>
          <w:szCs w:val="32"/>
        </w:rPr>
        <w:t>二、 “三公”经费财政拨款支出情况说明</w:t>
      </w:r>
    </w:p>
    <w:p w:rsidR="00C874D0" w:rsidRDefault="00C874D0">
      <w:pPr>
        <w:widowControl/>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hint="eastAsia"/>
          <w:sz w:val="32"/>
          <w:szCs w:val="32"/>
        </w:rPr>
        <w:t>五河县价格认证中心2021年“三公</w:t>
      </w:r>
      <w:r>
        <w:rPr>
          <w:rFonts w:ascii="仿宋_GB2312" w:eastAsia="仿宋_GB2312" w:hAnsi="黑体" w:hint="eastAsia"/>
          <w:sz w:val="32"/>
          <w:szCs w:val="32"/>
        </w:rPr>
        <w:t>”</w:t>
      </w:r>
      <w:r>
        <w:rPr>
          <w:rFonts w:ascii="仿宋_GB2312" w:eastAsia="仿宋_GB2312" w:hAnsi="仿宋" w:hint="eastAsia"/>
          <w:sz w:val="32"/>
          <w:szCs w:val="32"/>
        </w:rPr>
        <w:t>经费支出预算为0万元，与2020年预算相比无变化，其中：因公出国（境）费支出预算为0万元，公务接待费支出预算为0万元，公务用车购置及运行费支出预算为0万元。</w:t>
      </w:r>
      <w:r>
        <w:rPr>
          <w:rFonts w:ascii="仿宋_GB2312" w:eastAsia="仿宋_GB2312" w:hAnsi="仿宋" w:cs="宋体" w:hint="eastAsia"/>
          <w:kern w:val="0"/>
          <w:sz w:val="32"/>
          <w:szCs w:val="32"/>
        </w:rPr>
        <w:t>具体情况如下：</w:t>
      </w:r>
    </w:p>
    <w:p w:rsidR="00C874D0" w:rsidRDefault="00C874D0">
      <w:pPr>
        <w:widowControl/>
        <w:spacing w:line="560" w:lineRule="exact"/>
        <w:ind w:firstLineChars="200" w:firstLine="64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（一）</w:t>
      </w:r>
      <w:r>
        <w:rPr>
          <w:rFonts w:ascii="仿宋_GB2312" w:eastAsia="仿宋_GB2312" w:hAnsi="仿宋" w:cs="宋体" w:hint="eastAsia"/>
          <w:b/>
          <w:kern w:val="0"/>
          <w:sz w:val="32"/>
          <w:szCs w:val="32"/>
        </w:rPr>
        <w:t>因公出国（境）费</w:t>
      </w:r>
      <w:r>
        <w:rPr>
          <w:rFonts w:ascii="仿宋_GB2312" w:eastAsia="仿宋_GB2312" w:hAnsi="仿宋" w:cs="宋体" w:hint="eastAsia"/>
          <w:kern w:val="0"/>
          <w:sz w:val="32"/>
          <w:szCs w:val="32"/>
        </w:rPr>
        <w:t>预算0万元，本年预算与2020年度预算持平，主要是近两年均无出国（境）计划。</w:t>
      </w:r>
      <w:r>
        <w:rPr>
          <w:rFonts w:ascii="仿宋_GB2312" w:eastAsia="仿宋_GB2312" w:hAnsi="仿宋" w:hint="eastAsia"/>
          <w:sz w:val="32"/>
          <w:szCs w:val="32"/>
        </w:rPr>
        <w:t>该项经</w:t>
      </w:r>
      <w:r>
        <w:rPr>
          <w:rFonts w:ascii="仿宋_GB2312" w:eastAsia="仿宋_GB2312" w:hAnsi="仿宋" w:hint="eastAsia"/>
          <w:sz w:val="32"/>
          <w:szCs w:val="32"/>
        </w:rPr>
        <w:lastRenderedPageBreak/>
        <w:t>费预算根据批准的因公临时出国（境）计划，按照规定标准安排；主要用于认证中心组织的业务培训、调研考察等外事活动</w:t>
      </w:r>
      <w:r>
        <w:rPr>
          <w:rFonts w:ascii="仿宋_GB2312" w:eastAsia="仿宋_GB2312" w:hAnsi="仿宋" w:cs="宋体" w:hint="eastAsia"/>
          <w:kern w:val="0"/>
          <w:sz w:val="32"/>
          <w:szCs w:val="32"/>
        </w:rPr>
        <w:t>经费使用严格执行《转发&lt;安徽省省直党政机关因公出国经费管理办法&gt;》（五办[2014]18号）等相关规定。</w:t>
      </w:r>
    </w:p>
    <w:p w:rsidR="00C874D0" w:rsidRDefault="00C874D0">
      <w:pPr>
        <w:pStyle w:val="a5"/>
        <w:adjustRightInd w:val="0"/>
        <w:snapToGrid w:val="0"/>
        <w:spacing w:before="0" w:beforeAutospacing="0" w:after="0" w:afterAutospacing="0" w:line="58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（二）</w:t>
      </w:r>
      <w:r>
        <w:rPr>
          <w:rFonts w:ascii="仿宋_GB2312" w:eastAsia="仿宋_GB2312" w:hAnsi="仿宋" w:hint="eastAsia"/>
          <w:b/>
          <w:sz w:val="32"/>
          <w:szCs w:val="32"/>
        </w:rPr>
        <w:t>公务接待费</w:t>
      </w:r>
      <w:r>
        <w:rPr>
          <w:rFonts w:ascii="仿宋_GB2312" w:eastAsia="仿宋_GB2312" w:hAnsi="仿宋" w:hint="eastAsia"/>
          <w:sz w:val="32"/>
          <w:szCs w:val="32"/>
        </w:rPr>
        <w:t>预算0万元，与2020年预算</w:t>
      </w:r>
      <w:r>
        <w:rPr>
          <w:rFonts w:ascii="楷体_GB2312" w:eastAsia="楷体_GB2312" w:hint="eastAsia"/>
          <w:sz w:val="32"/>
          <w:szCs w:val="32"/>
        </w:rPr>
        <w:t>持平，</w:t>
      </w:r>
      <w:r>
        <w:rPr>
          <w:rFonts w:ascii="仿宋_GB2312" w:eastAsia="仿宋_GB2312" w:hAnsi="仿宋" w:hint="eastAsia"/>
          <w:sz w:val="32"/>
          <w:szCs w:val="32"/>
        </w:rPr>
        <w:t>主要原因是预计公务接待批次和人数与上年基本相同。该项经费主要用于接待认证中心业务指导和工作调研等公务往来支出经费使用严格执行《《转发&lt;安徽省省直党政机关因公出国经费管理办法&gt;》（五办[2014]18号）等相关规定。</w:t>
      </w:r>
    </w:p>
    <w:p w:rsidR="00C874D0" w:rsidRDefault="00C874D0">
      <w:pPr>
        <w:pStyle w:val="a5"/>
        <w:adjustRightInd w:val="0"/>
        <w:snapToGrid w:val="0"/>
        <w:spacing w:before="0" w:beforeAutospacing="0" w:after="0" w:afterAutospacing="0" w:line="580" w:lineRule="exact"/>
        <w:ind w:firstLineChars="200" w:firstLine="640"/>
        <w:jc w:val="both"/>
        <w:rPr>
          <w:rFonts w:ascii="仿宋_GB2312" w:eastAsia="仿宋_GB2312" w:hAnsi="楷体" w:hint="eastAsia"/>
          <w:sz w:val="32"/>
          <w:szCs w:val="32"/>
        </w:rPr>
      </w:pPr>
      <w:r>
        <w:rPr>
          <w:rFonts w:ascii="仿宋_GB2312" w:eastAsia="仿宋_GB2312" w:hAnsi="仿宋" w:hint="eastAsia"/>
          <w:sz w:val="32"/>
          <w:szCs w:val="32"/>
        </w:rPr>
        <w:t>（三）</w:t>
      </w:r>
      <w:r>
        <w:rPr>
          <w:rFonts w:ascii="仿宋_GB2312" w:eastAsia="仿宋_GB2312" w:hAnsi="仿宋" w:hint="eastAsia"/>
          <w:b/>
          <w:sz w:val="32"/>
          <w:szCs w:val="32"/>
        </w:rPr>
        <w:t>公务用车购置及运行费</w:t>
      </w:r>
      <w:r>
        <w:rPr>
          <w:rFonts w:ascii="仿宋_GB2312" w:eastAsia="仿宋_GB2312" w:hAnsi="仿宋" w:hint="eastAsia"/>
          <w:sz w:val="32"/>
          <w:szCs w:val="32"/>
        </w:rPr>
        <w:t>预算0万元，本年预算与2020年度预算持平。其中，公务用车运行费0万元，比上年相比无变化，主要原因是近两年公车总量未发生变化，公车运行费用趋于稳定该项经费主要用于车辆燃料费、维修费、过路过桥费、保险费等支出。公务用车购置费0万元，比上年相比无变化，主要是近两年均没有公务用车购置需求。该项经费主要用于按公务用车配置管理规定购置</w:t>
      </w:r>
      <w:r>
        <w:rPr>
          <w:rFonts w:ascii="楷体_GB2312" w:eastAsia="楷体_GB2312" w:hAnsi="仿宋" w:cs="Times New Roman" w:hint="eastAsia"/>
          <w:kern w:val="2"/>
          <w:sz w:val="32"/>
          <w:szCs w:val="32"/>
        </w:rPr>
        <w:t>局</w:t>
      </w:r>
      <w:r>
        <w:rPr>
          <w:rFonts w:ascii="仿宋_GB2312" w:eastAsia="仿宋_GB2312" w:hAnsi="仿宋" w:hint="eastAsia"/>
          <w:sz w:val="32"/>
          <w:szCs w:val="32"/>
        </w:rPr>
        <w:t>级领导干部用车0辆、</w:t>
      </w:r>
      <w:r>
        <w:rPr>
          <w:rFonts w:ascii="仿宋_GB2312" w:eastAsia="仿宋_GB2312" w:hAnsi="楷体" w:hint="eastAsia"/>
          <w:sz w:val="32"/>
          <w:szCs w:val="32"/>
        </w:rPr>
        <w:t>一般公务用车0辆、执法执勤用车0辆，特种专业技术用车0辆。</w:t>
      </w:r>
    </w:p>
    <w:p w:rsidR="00C874D0" w:rsidRDefault="00C874D0">
      <w:pPr>
        <w:pStyle w:val="a5"/>
        <w:adjustRightInd w:val="0"/>
        <w:snapToGrid w:val="0"/>
        <w:spacing w:before="0" w:beforeAutospacing="0" w:after="0" w:afterAutospacing="0" w:line="580" w:lineRule="exact"/>
        <w:ind w:firstLineChars="200" w:firstLine="640"/>
        <w:jc w:val="both"/>
        <w:rPr>
          <w:rFonts w:ascii="楷体_GB2312" w:eastAsia="楷体_GB2312" w:hint="eastAsia"/>
          <w:color w:val="FF0000"/>
          <w:sz w:val="32"/>
          <w:szCs w:val="32"/>
        </w:rPr>
      </w:pPr>
    </w:p>
    <w:sectPr w:rsidR="00C874D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4D0" w:rsidRDefault="00C874D0" w:rsidP="000D4DF4">
      <w:r>
        <w:separator/>
      </w:r>
    </w:p>
  </w:endnote>
  <w:endnote w:type="continuationSeparator" w:id="0">
    <w:p w:rsidR="00C874D0" w:rsidRDefault="00C874D0" w:rsidP="000D4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4D0" w:rsidRDefault="00C874D0" w:rsidP="000D4DF4">
      <w:r>
        <w:separator/>
      </w:r>
    </w:p>
  </w:footnote>
  <w:footnote w:type="continuationSeparator" w:id="0">
    <w:p w:rsidR="00C874D0" w:rsidRDefault="00C874D0" w:rsidP="000D4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formatting="1" w:enforcement="1" w:cryptProviderType="rsaFull" w:cryptAlgorithmClass="hash" w:cryptAlgorithmType="typeAny" w:cryptAlgorithmSid="4" w:cryptSpinCount="100000" w:hash="MCfkAof4/I3QmWiP5mleWoP9GO4=" w:salt="ukCy/TkEkENp3vDO16/asQ=="/>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C8C"/>
    <w:rsid w:val="000028BB"/>
    <w:rsid w:val="00035C0F"/>
    <w:rsid w:val="00046ECF"/>
    <w:rsid w:val="00052A31"/>
    <w:rsid w:val="00074C21"/>
    <w:rsid w:val="000768D8"/>
    <w:rsid w:val="000B269E"/>
    <w:rsid w:val="000C1396"/>
    <w:rsid w:val="000D1555"/>
    <w:rsid w:val="000D4DF4"/>
    <w:rsid w:val="000D531F"/>
    <w:rsid w:val="000E16E5"/>
    <w:rsid w:val="000F2CF3"/>
    <w:rsid w:val="00105B2B"/>
    <w:rsid w:val="0011672C"/>
    <w:rsid w:val="00120007"/>
    <w:rsid w:val="00120A4F"/>
    <w:rsid w:val="00137B22"/>
    <w:rsid w:val="00163891"/>
    <w:rsid w:val="00191A3C"/>
    <w:rsid w:val="001D2812"/>
    <w:rsid w:val="00212799"/>
    <w:rsid w:val="0026607A"/>
    <w:rsid w:val="00266A89"/>
    <w:rsid w:val="00287796"/>
    <w:rsid w:val="002A4B8B"/>
    <w:rsid w:val="002B44D1"/>
    <w:rsid w:val="002B6378"/>
    <w:rsid w:val="002D6E8F"/>
    <w:rsid w:val="002E1AB8"/>
    <w:rsid w:val="00340540"/>
    <w:rsid w:val="00352A80"/>
    <w:rsid w:val="00353466"/>
    <w:rsid w:val="0036183A"/>
    <w:rsid w:val="00393B99"/>
    <w:rsid w:val="003A4522"/>
    <w:rsid w:val="003B4B7A"/>
    <w:rsid w:val="004068DF"/>
    <w:rsid w:val="00427337"/>
    <w:rsid w:val="004623B0"/>
    <w:rsid w:val="004927E1"/>
    <w:rsid w:val="004B71A1"/>
    <w:rsid w:val="004C387B"/>
    <w:rsid w:val="004D3017"/>
    <w:rsid w:val="005074AA"/>
    <w:rsid w:val="00521DF0"/>
    <w:rsid w:val="00522189"/>
    <w:rsid w:val="0052381B"/>
    <w:rsid w:val="00536D0D"/>
    <w:rsid w:val="00554BE5"/>
    <w:rsid w:val="0056036D"/>
    <w:rsid w:val="00563566"/>
    <w:rsid w:val="00583997"/>
    <w:rsid w:val="00584D4B"/>
    <w:rsid w:val="005A49B7"/>
    <w:rsid w:val="005D7660"/>
    <w:rsid w:val="005E62CF"/>
    <w:rsid w:val="005F0F5B"/>
    <w:rsid w:val="00623321"/>
    <w:rsid w:val="00646AB7"/>
    <w:rsid w:val="006511CF"/>
    <w:rsid w:val="0067738D"/>
    <w:rsid w:val="00694B53"/>
    <w:rsid w:val="006A452D"/>
    <w:rsid w:val="006A7828"/>
    <w:rsid w:val="006B0EFC"/>
    <w:rsid w:val="00702A23"/>
    <w:rsid w:val="007453D2"/>
    <w:rsid w:val="00793594"/>
    <w:rsid w:val="007A582B"/>
    <w:rsid w:val="007B5E26"/>
    <w:rsid w:val="007B5E28"/>
    <w:rsid w:val="007C3148"/>
    <w:rsid w:val="007C4408"/>
    <w:rsid w:val="007E2C04"/>
    <w:rsid w:val="00812CBB"/>
    <w:rsid w:val="00834548"/>
    <w:rsid w:val="00836A0C"/>
    <w:rsid w:val="00852820"/>
    <w:rsid w:val="0086771B"/>
    <w:rsid w:val="0088103E"/>
    <w:rsid w:val="008962BF"/>
    <w:rsid w:val="008A13B7"/>
    <w:rsid w:val="008B7AA6"/>
    <w:rsid w:val="008D4F0D"/>
    <w:rsid w:val="008E3CE4"/>
    <w:rsid w:val="00904D73"/>
    <w:rsid w:val="00935C34"/>
    <w:rsid w:val="00951136"/>
    <w:rsid w:val="00956FAB"/>
    <w:rsid w:val="00970081"/>
    <w:rsid w:val="0097119F"/>
    <w:rsid w:val="00987954"/>
    <w:rsid w:val="009A0557"/>
    <w:rsid w:val="009A717D"/>
    <w:rsid w:val="009B06FD"/>
    <w:rsid w:val="009B17F7"/>
    <w:rsid w:val="009C3520"/>
    <w:rsid w:val="009C390D"/>
    <w:rsid w:val="009C7D82"/>
    <w:rsid w:val="009D16AE"/>
    <w:rsid w:val="009E6278"/>
    <w:rsid w:val="009F13F9"/>
    <w:rsid w:val="009F78E7"/>
    <w:rsid w:val="00A060F2"/>
    <w:rsid w:val="00A1541C"/>
    <w:rsid w:val="00A25DAF"/>
    <w:rsid w:val="00A44DA4"/>
    <w:rsid w:val="00A459D2"/>
    <w:rsid w:val="00A6742C"/>
    <w:rsid w:val="00A7258E"/>
    <w:rsid w:val="00A739FF"/>
    <w:rsid w:val="00A767E3"/>
    <w:rsid w:val="00A83FE7"/>
    <w:rsid w:val="00A858CE"/>
    <w:rsid w:val="00A969A3"/>
    <w:rsid w:val="00AB55CD"/>
    <w:rsid w:val="00AB652D"/>
    <w:rsid w:val="00B34DD6"/>
    <w:rsid w:val="00B54229"/>
    <w:rsid w:val="00B62175"/>
    <w:rsid w:val="00B643B2"/>
    <w:rsid w:val="00B67A1B"/>
    <w:rsid w:val="00B85375"/>
    <w:rsid w:val="00B85DB1"/>
    <w:rsid w:val="00B93481"/>
    <w:rsid w:val="00B978D0"/>
    <w:rsid w:val="00BA0FB8"/>
    <w:rsid w:val="00BB436E"/>
    <w:rsid w:val="00BB5C38"/>
    <w:rsid w:val="00BC1B53"/>
    <w:rsid w:val="00BF18C9"/>
    <w:rsid w:val="00C2191F"/>
    <w:rsid w:val="00C25777"/>
    <w:rsid w:val="00C26A0F"/>
    <w:rsid w:val="00C53C8C"/>
    <w:rsid w:val="00C55C48"/>
    <w:rsid w:val="00C66E1A"/>
    <w:rsid w:val="00C71C4F"/>
    <w:rsid w:val="00C874D0"/>
    <w:rsid w:val="00CB6F98"/>
    <w:rsid w:val="00CD0214"/>
    <w:rsid w:val="00CF323F"/>
    <w:rsid w:val="00D2526D"/>
    <w:rsid w:val="00D26990"/>
    <w:rsid w:val="00D831B4"/>
    <w:rsid w:val="00D85A08"/>
    <w:rsid w:val="00DA388A"/>
    <w:rsid w:val="00DB0A72"/>
    <w:rsid w:val="00DB5AE6"/>
    <w:rsid w:val="00DC3ED8"/>
    <w:rsid w:val="00DF04B7"/>
    <w:rsid w:val="00E1032A"/>
    <w:rsid w:val="00E2630F"/>
    <w:rsid w:val="00E379E0"/>
    <w:rsid w:val="00E445C7"/>
    <w:rsid w:val="00E471D1"/>
    <w:rsid w:val="00E81790"/>
    <w:rsid w:val="00E822D4"/>
    <w:rsid w:val="00EA1FDD"/>
    <w:rsid w:val="00EA7A06"/>
    <w:rsid w:val="00EB59E4"/>
    <w:rsid w:val="00EC6E62"/>
    <w:rsid w:val="00EE2970"/>
    <w:rsid w:val="00EE4722"/>
    <w:rsid w:val="00EF3C90"/>
    <w:rsid w:val="00F048EF"/>
    <w:rsid w:val="00F07DC6"/>
    <w:rsid w:val="00F6426D"/>
    <w:rsid w:val="00F879AA"/>
    <w:rsid w:val="00FA590F"/>
    <w:rsid w:val="00FB1597"/>
    <w:rsid w:val="00FB2703"/>
    <w:rsid w:val="00FD4CC0"/>
    <w:rsid w:val="00FE7E02"/>
    <w:rsid w:val="063453D2"/>
    <w:rsid w:val="0C0C6F5C"/>
    <w:rsid w:val="16B53957"/>
    <w:rsid w:val="67DE3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kern w:val="0"/>
      <w:sz w:val="18"/>
      <w:szCs w:val="18"/>
      <w:lang/>
    </w:rPr>
  </w:style>
  <w:style w:type="character" w:customStyle="1" w:styleId="Char">
    <w:name w:val="页脚 Char"/>
    <w:link w:val="a3"/>
    <w:uiPriority w:val="99"/>
    <w:semiHidden/>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semiHidden/>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character" w:styleId="a6">
    <w:name w:val="page number"/>
    <w:basedOn w:val="a0"/>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101</Characters>
  <Application>Microsoft Office Word</Application>
  <DocSecurity>0</DocSecurity>
  <Lines>1</Lines>
  <Paragraphs>1</Paragraphs>
  <ScaleCrop>false</ScaleCrop>
  <Company>蚌埠中兴</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王春梅</dc:creator>
  <cp:keywords/>
  <cp:lastModifiedBy>Administrator</cp:lastModifiedBy>
  <cp:revision>2</cp:revision>
  <cp:lastPrinted>2021-01-27T02:16:00Z</cp:lastPrinted>
  <dcterms:created xsi:type="dcterms:W3CDTF">2021-03-18T01:42:00Z</dcterms:created>
  <dcterms:modified xsi:type="dcterms:W3CDTF">2021-03-18T01:42:00Z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EA711BC2DD5642A7B9F1EE603ACB0049</vt:lpwstr>
  </property>
</Properties>
</file>