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7"/>
        </w:tabs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tabs>
          <w:tab w:val="left" w:pos="1662"/>
        </w:tabs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五河县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参加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年安徽秸秆暨畜禽养殖废弃物综合利用产业博览会参展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主体布展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补助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拟发放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清册</w:t>
      </w:r>
      <w:bookmarkEnd w:id="0"/>
    </w:p>
    <w:p>
      <w:pPr>
        <w:tabs>
          <w:tab w:val="left" w:pos="1662"/>
        </w:tabs>
        <w:jc w:val="left"/>
        <w:rPr>
          <w:sz w:val="24"/>
        </w:rPr>
      </w:pPr>
    </w:p>
    <w:p/>
    <w:tbl>
      <w:tblPr>
        <w:tblStyle w:val="5"/>
        <w:tblpPr w:leftFromText="180" w:rightFromText="180" w:vertAnchor="page" w:horzAnchor="page" w:tblpX="2361" w:tblpY="3280"/>
        <w:tblOverlap w:val="never"/>
        <w:tblW w:w="12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953"/>
        <w:gridCol w:w="1730"/>
        <w:gridCol w:w="2061"/>
        <w:gridCol w:w="2061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主体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名称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参展主体参展类型</w:t>
            </w:r>
          </w:p>
        </w:tc>
        <w:tc>
          <w:tcPr>
            <w:tcW w:w="2061" w:type="dxa"/>
            <w:vAlign w:val="center"/>
          </w:tcPr>
          <w:p>
            <w:pPr>
              <w:tabs>
                <w:tab w:val="left" w:pos="2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布展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补助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(元)</w:t>
            </w:r>
          </w:p>
        </w:tc>
        <w:tc>
          <w:tcPr>
            <w:tcW w:w="2061" w:type="dxa"/>
            <w:vAlign w:val="center"/>
          </w:tcPr>
          <w:p>
            <w:pPr>
              <w:tabs>
                <w:tab w:val="left" w:pos="267"/>
              </w:tabs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布展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补助金额(元)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pos="267"/>
              </w:tabs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上海电气(五河)生物质热电有限公司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蚌埠市展馆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现代牧业（五河）有限公司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蚌埠市展馆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五河众兴菌业科技有限公司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蚌埠市展馆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安徽省尚书生态农业科技有限公司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蚌埠市展馆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五河县年丰草业有限公司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蚌埠市展馆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蚌埠市亿丰生物有机肥有限公司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蚌埠市展馆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安徽省纤宇农业科技集团有限公司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蚌埠市展馆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3000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39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蚌埠市金旋风农业装备制造有限公司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装备展区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6000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6000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13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合计</w:t>
            </w:r>
          </w:p>
        </w:tc>
        <w:tc>
          <w:tcPr>
            <w:tcW w:w="17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27000</w:t>
            </w:r>
          </w:p>
        </w:tc>
        <w:tc>
          <w:tcPr>
            <w:tcW w:w="20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27000</w:t>
            </w:r>
          </w:p>
        </w:tc>
        <w:tc>
          <w:tcPr>
            <w:tcW w:w="15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>
      <w:pPr>
        <w:tabs>
          <w:tab w:val="left" w:pos="1692"/>
        </w:tabs>
        <w:jc w:val="left"/>
      </w:pPr>
    </w:p>
    <w:p>
      <w:pPr>
        <w:tabs>
          <w:tab w:val="left" w:pos="1692"/>
        </w:tabs>
        <w:jc w:val="left"/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1017"/>
        </w:tabs>
        <w:jc w:val="left"/>
        <w:rPr>
          <w:rFonts w:hint="eastAsia"/>
        </w:rPr>
      </w:pPr>
    </w:p>
    <w:p>
      <w:pPr>
        <w:tabs>
          <w:tab w:val="left" w:pos="1017"/>
        </w:tabs>
        <w:jc w:val="left"/>
      </w:pPr>
      <w:r>
        <w:rPr>
          <w:rFonts w:hint="eastAsia"/>
        </w:rPr>
        <w:tab/>
      </w:r>
    </w:p>
    <w:p>
      <w:pPr>
        <w:tabs>
          <w:tab w:val="left" w:pos="957"/>
        </w:tabs>
        <w:ind w:left="1218" w:leftChars="456" w:hanging="260" w:hangingChars="108"/>
        <w:jc w:val="left"/>
      </w:pPr>
      <w:r>
        <w:rPr>
          <w:rFonts w:hint="eastAsia" w:ascii="楷体" w:hAnsi="楷体" w:eastAsia="楷体" w:cs="楷体"/>
          <w:b/>
          <w:bCs/>
          <w:sz w:val="24"/>
          <w:lang w:eastAsia="zh-CN"/>
        </w:rPr>
        <w:t>说</w:t>
      </w:r>
      <w:r>
        <w:rPr>
          <w:rFonts w:hint="eastAsia" w:ascii="楷体" w:hAnsi="楷体" w:eastAsia="楷体" w:cs="楷体"/>
          <w:b/>
          <w:bCs/>
          <w:sz w:val="24"/>
        </w:rPr>
        <w:t>明:</w:t>
      </w: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安徽秸秆暨畜禽养殖废弃物综合利用产业博览会于202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09</w:t>
      </w:r>
      <w:r>
        <w:rPr>
          <w:rFonts w:hint="eastAsia" w:ascii="楷体" w:hAnsi="楷体" w:eastAsia="楷体" w:cs="楷体"/>
          <w:sz w:val="24"/>
        </w:rPr>
        <w:t>日-</w:t>
      </w:r>
      <w:r>
        <w:rPr>
          <w:rFonts w:hint="eastAsia" w:ascii="楷体" w:hAnsi="楷体" w:eastAsia="楷体" w:cs="楷体"/>
          <w:sz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</w:rPr>
        <w:t>日在合肥市滨湖会展中心举办。</w:t>
      </w:r>
    </w:p>
    <w:p>
      <w:pPr>
        <w:tabs>
          <w:tab w:val="left" w:pos="957"/>
        </w:tabs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E8B5D9F"/>
    <w:rsid w:val="00155AD6"/>
    <w:rsid w:val="006A36C0"/>
    <w:rsid w:val="006E33C6"/>
    <w:rsid w:val="00737FA5"/>
    <w:rsid w:val="007C02DC"/>
    <w:rsid w:val="007D36D2"/>
    <w:rsid w:val="008E4353"/>
    <w:rsid w:val="009F05F9"/>
    <w:rsid w:val="009F1300"/>
    <w:rsid w:val="00A92BB1"/>
    <w:rsid w:val="00C57543"/>
    <w:rsid w:val="00D23E23"/>
    <w:rsid w:val="00E24358"/>
    <w:rsid w:val="00E521EB"/>
    <w:rsid w:val="0E8B5D9F"/>
    <w:rsid w:val="16F931E4"/>
    <w:rsid w:val="1FA85695"/>
    <w:rsid w:val="2A5B2979"/>
    <w:rsid w:val="2BDA6199"/>
    <w:rsid w:val="2E264A85"/>
    <w:rsid w:val="2EC56D5C"/>
    <w:rsid w:val="327142CF"/>
    <w:rsid w:val="35C47B53"/>
    <w:rsid w:val="36337398"/>
    <w:rsid w:val="3CE20A9D"/>
    <w:rsid w:val="40FE0E88"/>
    <w:rsid w:val="44C2758D"/>
    <w:rsid w:val="47647961"/>
    <w:rsid w:val="51C72082"/>
    <w:rsid w:val="538E2CC9"/>
    <w:rsid w:val="58CC09D4"/>
    <w:rsid w:val="63FC3C35"/>
    <w:rsid w:val="67380993"/>
    <w:rsid w:val="69613B6E"/>
    <w:rsid w:val="73B65884"/>
    <w:rsid w:val="770B3726"/>
    <w:rsid w:val="7C8C5D9E"/>
    <w:rsid w:val="7F490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650</Words>
  <Characters>771</Characters>
  <Lines>5</Lines>
  <Paragraphs>1</Paragraphs>
  <TotalTime>0</TotalTime>
  <ScaleCrop>false</ScaleCrop>
  <LinksUpToDate>false</LinksUpToDate>
  <CharactersWithSpaces>774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2020-07-07T01:07:00Z</dcterms:created>
  <dc:creator>铁人</dc:creator>
  <cp:lastModifiedBy>我想静静</cp:lastModifiedBy>
  <cp:lastPrinted>2024-01-15T08:48:00Z</cp:lastPrinted>
  <dcterms:modified xsi:type="dcterms:W3CDTF">2024-05-15T00:35:25Z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3E0F633DB0B34C2C91488BA1B3F646A8_13</vt:lpwstr>
  </property>
</Properties>
</file>