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32231C">
      <w:pPr>
        <w:jc w:val="left"/>
        <w:rPr>
          <w:rFonts w:ascii="仿宋_GB2312" w:hAnsi="黑体" w:eastAsia="仿宋_GB2312"/>
          <w:sz w:val="32"/>
          <w:szCs w:val="32"/>
        </w:rPr>
      </w:pPr>
      <w:r>
        <w:rPr>
          <w:rFonts w:hint="eastAsia" w:ascii="黑体" w:hAnsi="黑体" w:eastAsia="黑体"/>
          <w:sz w:val="32"/>
          <w:szCs w:val="32"/>
        </w:rPr>
        <w:t>附件2</w:t>
      </w:r>
    </w:p>
    <w:p w14:paraId="44808381">
      <w:pPr>
        <w:rPr>
          <w:rFonts w:ascii="黑体" w:hAnsi="黑体" w:eastAsia="黑体"/>
          <w:sz w:val="32"/>
          <w:szCs w:val="32"/>
        </w:rPr>
      </w:pPr>
    </w:p>
    <w:p w14:paraId="39783B58">
      <w:pPr>
        <w:jc w:val="center"/>
        <w:rPr>
          <w:rFonts w:ascii="方正小标宋简体" w:hAnsi="黑体" w:eastAsia="方正小标宋简体"/>
          <w:sz w:val="44"/>
          <w:szCs w:val="44"/>
        </w:rPr>
      </w:pPr>
      <w:r>
        <w:rPr>
          <w:rFonts w:hint="eastAsia" w:ascii="方正小标宋简体" w:hAnsi="黑体" w:eastAsia="方正小标宋简体"/>
          <w:sz w:val="44"/>
          <w:szCs w:val="44"/>
        </w:rPr>
        <w:t>专兼职教师花名册</w:t>
      </w:r>
    </w:p>
    <w:p w14:paraId="768F3068">
      <w:pPr>
        <w:jc w:val="left"/>
        <w:rPr>
          <w:rFonts w:ascii="仿宋_GB2312" w:hAnsi="黑体" w:eastAsia="仿宋_GB2312"/>
          <w:sz w:val="32"/>
          <w:szCs w:val="32"/>
        </w:rPr>
      </w:pPr>
    </w:p>
    <w:tbl>
      <w:tblPr>
        <w:tblStyle w:val="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850"/>
        <w:gridCol w:w="1418"/>
        <w:gridCol w:w="992"/>
        <w:gridCol w:w="1701"/>
        <w:gridCol w:w="992"/>
        <w:gridCol w:w="1843"/>
      </w:tblGrid>
      <w:tr w14:paraId="0903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101" w:type="dxa"/>
            <w:vAlign w:val="center"/>
          </w:tcPr>
          <w:p w14:paraId="2043750B">
            <w:pPr>
              <w:jc w:val="center"/>
              <w:rPr>
                <w:rFonts w:ascii="仿宋_GB2312" w:hAnsi="黑体" w:eastAsia="仿宋_GB2312"/>
                <w:b/>
                <w:kern w:val="0"/>
                <w:sz w:val="24"/>
                <w:szCs w:val="24"/>
              </w:rPr>
            </w:pPr>
            <w:r>
              <w:rPr>
                <w:rFonts w:hint="eastAsia" w:ascii="仿宋_GB2312" w:hAnsi="黑体" w:eastAsia="仿宋_GB2312"/>
                <w:b/>
                <w:kern w:val="0"/>
                <w:sz w:val="24"/>
                <w:szCs w:val="24"/>
              </w:rPr>
              <w:t>姓名</w:t>
            </w:r>
          </w:p>
        </w:tc>
        <w:tc>
          <w:tcPr>
            <w:tcW w:w="850" w:type="dxa"/>
            <w:vAlign w:val="center"/>
          </w:tcPr>
          <w:p w14:paraId="7D1CDB05">
            <w:pPr>
              <w:jc w:val="center"/>
              <w:rPr>
                <w:rFonts w:ascii="仿宋_GB2312" w:hAnsi="黑体" w:eastAsia="仿宋_GB2312"/>
                <w:b/>
                <w:kern w:val="0"/>
                <w:sz w:val="24"/>
                <w:szCs w:val="24"/>
              </w:rPr>
            </w:pPr>
            <w:r>
              <w:rPr>
                <w:rFonts w:hint="eastAsia" w:ascii="仿宋_GB2312" w:hAnsi="黑体" w:eastAsia="仿宋_GB2312"/>
                <w:b/>
                <w:kern w:val="0"/>
                <w:sz w:val="24"/>
                <w:szCs w:val="24"/>
              </w:rPr>
              <w:t>专/兼职</w:t>
            </w:r>
          </w:p>
        </w:tc>
        <w:tc>
          <w:tcPr>
            <w:tcW w:w="1418" w:type="dxa"/>
            <w:vAlign w:val="center"/>
          </w:tcPr>
          <w:p w14:paraId="371C7413">
            <w:pPr>
              <w:jc w:val="center"/>
              <w:rPr>
                <w:rFonts w:ascii="仿宋_GB2312" w:hAnsi="黑体" w:eastAsia="仿宋_GB2312"/>
                <w:b/>
                <w:kern w:val="0"/>
                <w:sz w:val="24"/>
                <w:szCs w:val="24"/>
              </w:rPr>
            </w:pPr>
            <w:r>
              <w:rPr>
                <w:rFonts w:hint="eastAsia" w:ascii="仿宋_GB2312" w:eastAsia="仿宋_GB2312" w:hAnsiTheme="minorEastAsia" w:cstheme="minorEastAsia"/>
                <w:b/>
                <w:kern w:val="0"/>
                <w:sz w:val="21"/>
                <w:szCs w:val="21"/>
              </w:rPr>
              <w:t>培训职业（工种）及等级</w:t>
            </w:r>
          </w:p>
        </w:tc>
        <w:tc>
          <w:tcPr>
            <w:tcW w:w="992" w:type="dxa"/>
            <w:vAlign w:val="center"/>
          </w:tcPr>
          <w:p w14:paraId="5321F1DB">
            <w:pPr>
              <w:jc w:val="center"/>
              <w:rPr>
                <w:rFonts w:ascii="仿宋_GB2312" w:hAnsi="黑体" w:eastAsia="仿宋_GB2312"/>
                <w:b/>
                <w:kern w:val="0"/>
                <w:sz w:val="24"/>
                <w:szCs w:val="24"/>
              </w:rPr>
            </w:pPr>
            <w:r>
              <w:rPr>
                <w:rFonts w:hint="eastAsia" w:ascii="仿宋_GB2312" w:hAnsi="黑体" w:eastAsia="仿宋_GB2312"/>
                <w:b/>
                <w:kern w:val="0"/>
                <w:sz w:val="24"/>
                <w:szCs w:val="24"/>
              </w:rPr>
              <w:t>理论/实操</w:t>
            </w:r>
          </w:p>
        </w:tc>
        <w:tc>
          <w:tcPr>
            <w:tcW w:w="1701" w:type="dxa"/>
            <w:vAlign w:val="center"/>
          </w:tcPr>
          <w:p w14:paraId="09ACD584">
            <w:pPr>
              <w:jc w:val="center"/>
              <w:rPr>
                <w:rFonts w:ascii="仿宋_GB2312" w:hAnsi="黑体" w:eastAsia="仿宋_GB2312"/>
                <w:b/>
                <w:kern w:val="0"/>
                <w:sz w:val="24"/>
                <w:szCs w:val="24"/>
              </w:rPr>
            </w:pPr>
            <w:r>
              <w:rPr>
                <w:rFonts w:hint="eastAsia" w:ascii="仿宋_GB2312" w:hAnsi="黑体" w:eastAsia="仿宋_GB2312"/>
                <w:b/>
                <w:kern w:val="0"/>
                <w:sz w:val="24"/>
                <w:szCs w:val="24"/>
              </w:rPr>
              <w:t>身份证号</w:t>
            </w:r>
          </w:p>
        </w:tc>
        <w:tc>
          <w:tcPr>
            <w:tcW w:w="992" w:type="dxa"/>
            <w:vAlign w:val="center"/>
          </w:tcPr>
          <w:p w14:paraId="5176663E">
            <w:pPr>
              <w:jc w:val="center"/>
              <w:rPr>
                <w:rFonts w:ascii="仿宋_GB2312" w:hAnsi="黑体" w:eastAsia="仿宋_GB2312"/>
                <w:b/>
                <w:kern w:val="0"/>
                <w:sz w:val="24"/>
                <w:szCs w:val="24"/>
              </w:rPr>
            </w:pPr>
            <w:r>
              <w:rPr>
                <w:rFonts w:hint="eastAsia" w:ascii="仿宋_GB2312" w:hAnsi="黑体" w:eastAsia="仿宋_GB2312"/>
                <w:b/>
                <w:kern w:val="0"/>
                <w:sz w:val="24"/>
                <w:szCs w:val="24"/>
              </w:rPr>
              <w:t>学历</w:t>
            </w:r>
          </w:p>
        </w:tc>
        <w:tc>
          <w:tcPr>
            <w:tcW w:w="1843" w:type="dxa"/>
            <w:vAlign w:val="center"/>
          </w:tcPr>
          <w:p w14:paraId="467ED117">
            <w:pPr>
              <w:jc w:val="center"/>
              <w:rPr>
                <w:rFonts w:ascii="仿宋_GB2312" w:hAnsi="黑体" w:eastAsia="仿宋_GB2312"/>
                <w:b/>
                <w:kern w:val="0"/>
                <w:sz w:val="24"/>
                <w:szCs w:val="24"/>
              </w:rPr>
            </w:pPr>
            <w:r>
              <w:rPr>
                <w:rFonts w:hint="eastAsia" w:ascii="仿宋_GB2312" w:hAnsi="黑体" w:eastAsia="仿宋_GB2312"/>
                <w:b/>
                <w:kern w:val="0"/>
                <w:sz w:val="24"/>
                <w:szCs w:val="24"/>
              </w:rPr>
              <w:t>国家职业资格证书或职业技能等级证书</w:t>
            </w:r>
          </w:p>
        </w:tc>
      </w:tr>
      <w:tr w14:paraId="3A602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101" w:type="dxa"/>
            <w:vAlign w:val="center"/>
          </w:tcPr>
          <w:p w14:paraId="3F960A6F">
            <w:pPr>
              <w:jc w:val="center"/>
              <w:rPr>
                <w:rFonts w:ascii="仿宋_GB2312" w:hAnsi="黑体" w:eastAsia="仿宋_GB2312"/>
                <w:kern w:val="0"/>
                <w:sz w:val="20"/>
                <w:szCs w:val="21"/>
              </w:rPr>
            </w:pPr>
            <w:r>
              <w:rPr>
                <w:rFonts w:hint="eastAsia" w:ascii="仿宋_GB2312" w:hAnsi="黑体" w:eastAsia="仿宋_GB2312"/>
                <w:kern w:val="0"/>
                <w:sz w:val="21"/>
                <w:szCs w:val="21"/>
              </w:rPr>
              <w:t>示例：</w:t>
            </w:r>
          </w:p>
          <w:p w14:paraId="080194FF">
            <w:pPr>
              <w:jc w:val="center"/>
              <w:rPr>
                <w:rFonts w:ascii="仿宋_GB2312" w:hAnsi="黑体" w:eastAsia="仿宋_GB2312"/>
                <w:kern w:val="0"/>
                <w:sz w:val="20"/>
                <w:szCs w:val="21"/>
              </w:rPr>
            </w:pPr>
            <w:r>
              <w:rPr>
                <w:rFonts w:hint="eastAsia" w:ascii="仿宋_GB2312" w:hAnsi="黑体" w:eastAsia="仿宋_GB2312"/>
                <w:kern w:val="0"/>
                <w:sz w:val="21"/>
                <w:szCs w:val="21"/>
              </w:rPr>
              <w:t>张三</w:t>
            </w:r>
          </w:p>
        </w:tc>
        <w:tc>
          <w:tcPr>
            <w:tcW w:w="850" w:type="dxa"/>
            <w:vAlign w:val="center"/>
          </w:tcPr>
          <w:p w14:paraId="2BCD8C37">
            <w:pPr>
              <w:jc w:val="center"/>
              <w:rPr>
                <w:rFonts w:ascii="仿宋_GB2312" w:hAnsi="黑体" w:eastAsia="仿宋_GB2312"/>
                <w:kern w:val="0"/>
                <w:sz w:val="20"/>
                <w:szCs w:val="21"/>
              </w:rPr>
            </w:pPr>
            <w:r>
              <w:rPr>
                <w:rFonts w:hint="eastAsia" w:ascii="仿宋_GB2312" w:hAnsi="黑体" w:eastAsia="仿宋_GB2312"/>
                <w:kern w:val="0"/>
                <w:sz w:val="21"/>
                <w:szCs w:val="21"/>
              </w:rPr>
              <w:t>专职</w:t>
            </w:r>
          </w:p>
        </w:tc>
        <w:tc>
          <w:tcPr>
            <w:tcW w:w="1418" w:type="dxa"/>
            <w:vAlign w:val="center"/>
          </w:tcPr>
          <w:p w14:paraId="112AD981">
            <w:pPr>
              <w:jc w:val="center"/>
              <w:rPr>
                <w:rFonts w:ascii="仿宋_GB2312" w:hAnsi="黑体" w:eastAsia="仿宋_GB2312"/>
                <w:kern w:val="0"/>
                <w:sz w:val="20"/>
                <w:szCs w:val="21"/>
              </w:rPr>
            </w:pPr>
            <w:r>
              <w:rPr>
                <w:rFonts w:hint="eastAsia" w:ascii="仿宋_GB2312" w:hAnsi="黑体" w:eastAsia="仿宋_GB2312"/>
                <w:kern w:val="0"/>
                <w:sz w:val="21"/>
                <w:szCs w:val="21"/>
              </w:rPr>
              <w:t>电工四级</w:t>
            </w:r>
          </w:p>
        </w:tc>
        <w:tc>
          <w:tcPr>
            <w:tcW w:w="992" w:type="dxa"/>
            <w:vAlign w:val="center"/>
          </w:tcPr>
          <w:p w14:paraId="2A57C998">
            <w:pPr>
              <w:jc w:val="center"/>
              <w:rPr>
                <w:rFonts w:ascii="仿宋_GB2312" w:hAnsi="黑体" w:eastAsia="仿宋_GB2312"/>
                <w:kern w:val="0"/>
                <w:sz w:val="20"/>
                <w:szCs w:val="21"/>
              </w:rPr>
            </w:pPr>
            <w:r>
              <w:rPr>
                <w:rFonts w:hint="eastAsia" w:ascii="仿宋_GB2312" w:hAnsi="黑体" w:eastAsia="仿宋_GB2312"/>
                <w:kern w:val="0"/>
                <w:sz w:val="21"/>
                <w:szCs w:val="21"/>
              </w:rPr>
              <w:t>理论</w:t>
            </w:r>
          </w:p>
        </w:tc>
        <w:tc>
          <w:tcPr>
            <w:tcW w:w="1701" w:type="dxa"/>
            <w:vAlign w:val="center"/>
          </w:tcPr>
          <w:p w14:paraId="4A47162D">
            <w:pPr>
              <w:jc w:val="center"/>
              <w:rPr>
                <w:rFonts w:ascii="仿宋_GB2312" w:hAnsi="黑体" w:eastAsia="仿宋_GB2312"/>
                <w:kern w:val="0"/>
                <w:sz w:val="20"/>
                <w:szCs w:val="21"/>
              </w:rPr>
            </w:pPr>
            <w:r>
              <w:rPr>
                <w:rFonts w:hint="eastAsia" w:ascii="仿宋_GB2312" w:hAnsi="黑体" w:eastAsia="仿宋_GB2312"/>
                <w:kern w:val="0"/>
                <w:sz w:val="21"/>
                <w:szCs w:val="21"/>
              </w:rPr>
              <w:t>***</w:t>
            </w:r>
          </w:p>
        </w:tc>
        <w:tc>
          <w:tcPr>
            <w:tcW w:w="992" w:type="dxa"/>
            <w:vAlign w:val="center"/>
          </w:tcPr>
          <w:p w14:paraId="4C1C35A1">
            <w:pPr>
              <w:jc w:val="center"/>
              <w:rPr>
                <w:rFonts w:ascii="仿宋_GB2312" w:hAnsi="黑体" w:eastAsia="仿宋_GB2312"/>
                <w:kern w:val="0"/>
                <w:sz w:val="20"/>
                <w:szCs w:val="21"/>
              </w:rPr>
            </w:pPr>
            <w:r>
              <w:rPr>
                <w:rFonts w:hint="eastAsia" w:ascii="仿宋_GB2312" w:hAnsi="黑体" w:eastAsia="仿宋_GB2312"/>
                <w:kern w:val="0"/>
                <w:sz w:val="21"/>
                <w:szCs w:val="21"/>
              </w:rPr>
              <w:t>大专</w:t>
            </w:r>
          </w:p>
        </w:tc>
        <w:tc>
          <w:tcPr>
            <w:tcW w:w="1843" w:type="dxa"/>
            <w:vAlign w:val="center"/>
          </w:tcPr>
          <w:p w14:paraId="46DF4F4F">
            <w:pPr>
              <w:jc w:val="center"/>
              <w:rPr>
                <w:rFonts w:ascii="仿宋_GB2312" w:hAnsi="黑体" w:eastAsia="仿宋_GB2312"/>
                <w:kern w:val="0"/>
                <w:sz w:val="20"/>
                <w:szCs w:val="21"/>
              </w:rPr>
            </w:pPr>
            <w:r>
              <w:rPr>
                <w:rFonts w:hint="eastAsia" w:ascii="仿宋_GB2312" w:hAnsi="黑体" w:eastAsia="仿宋_GB2312"/>
                <w:kern w:val="0"/>
                <w:sz w:val="21"/>
                <w:szCs w:val="21"/>
              </w:rPr>
              <w:t>电工三级</w:t>
            </w:r>
          </w:p>
        </w:tc>
      </w:tr>
      <w:tr w14:paraId="637BD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01" w:type="dxa"/>
            <w:vAlign w:val="center"/>
          </w:tcPr>
          <w:p w14:paraId="4F6A259F">
            <w:pPr>
              <w:jc w:val="center"/>
              <w:rPr>
                <w:rFonts w:ascii="仿宋_GB2312" w:hAnsi="黑体" w:eastAsia="仿宋_GB2312"/>
                <w:kern w:val="0"/>
                <w:sz w:val="20"/>
                <w:szCs w:val="21"/>
              </w:rPr>
            </w:pPr>
            <w:r>
              <w:rPr>
                <w:rFonts w:hint="eastAsia" w:ascii="仿宋_GB2312" w:hAnsi="黑体" w:eastAsia="仿宋_GB2312"/>
                <w:kern w:val="0"/>
                <w:sz w:val="21"/>
                <w:szCs w:val="21"/>
              </w:rPr>
              <w:t>王五</w:t>
            </w:r>
          </w:p>
        </w:tc>
        <w:tc>
          <w:tcPr>
            <w:tcW w:w="850" w:type="dxa"/>
            <w:vAlign w:val="center"/>
          </w:tcPr>
          <w:p w14:paraId="767F561D">
            <w:pPr>
              <w:jc w:val="center"/>
              <w:rPr>
                <w:rFonts w:ascii="仿宋_GB2312" w:hAnsi="黑体" w:eastAsia="仿宋_GB2312"/>
                <w:kern w:val="0"/>
                <w:sz w:val="20"/>
                <w:szCs w:val="21"/>
              </w:rPr>
            </w:pPr>
            <w:r>
              <w:rPr>
                <w:rFonts w:hint="eastAsia" w:ascii="仿宋_GB2312" w:hAnsi="黑体" w:eastAsia="仿宋_GB2312"/>
                <w:kern w:val="0"/>
                <w:sz w:val="21"/>
                <w:szCs w:val="21"/>
              </w:rPr>
              <w:t>兼职</w:t>
            </w:r>
          </w:p>
        </w:tc>
        <w:tc>
          <w:tcPr>
            <w:tcW w:w="1418" w:type="dxa"/>
            <w:vAlign w:val="center"/>
          </w:tcPr>
          <w:p w14:paraId="0B2AC488">
            <w:pPr>
              <w:jc w:val="center"/>
              <w:rPr>
                <w:rFonts w:ascii="仿宋_GB2312" w:hAnsi="黑体" w:eastAsia="仿宋_GB2312"/>
                <w:kern w:val="0"/>
                <w:sz w:val="20"/>
                <w:szCs w:val="21"/>
              </w:rPr>
            </w:pPr>
            <w:r>
              <w:rPr>
                <w:rFonts w:hint="eastAsia" w:ascii="仿宋_GB2312" w:hAnsi="黑体" w:eastAsia="仿宋_GB2312"/>
                <w:kern w:val="0"/>
                <w:sz w:val="21"/>
                <w:szCs w:val="21"/>
              </w:rPr>
              <w:t>电工四级</w:t>
            </w:r>
          </w:p>
        </w:tc>
        <w:tc>
          <w:tcPr>
            <w:tcW w:w="992" w:type="dxa"/>
            <w:vAlign w:val="center"/>
          </w:tcPr>
          <w:p w14:paraId="621DED1E">
            <w:pPr>
              <w:jc w:val="center"/>
              <w:rPr>
                <w:rFonts w:ascii="仿宋_GB2312" w:hAnsi="黑体" w:eastAsia="仿宋_GB2312"/>
                <w:kern w:val="0"/>
                <w:sz w:val="20"/>
                <w:szCs w:val="21"/>
              </w:rPr>
            </w:pPr>
            <w:r>
              <w:rPr>
                <w:rFonts w:hint="eastAsia" w:ascii="仿宋_GB2312" w:hAnsi="黑体" w:eastAsia="仿宋_GB2312"/>
                <w:kern w:val="0"/>
                <w:sz w:val="21"/>
                <w:szCs w:val="21"/>
              </w:rPr>
              <w:t>实操</w:t>
            </w:r>
          </w:p>
        </w:tc>
        <w:tc>
          <w:tcPr>
            <w:tcW w:w="1701" w:type="dxa"/>
            <w:vAlign w:val="center"/>
          </w:tcPr>
          <w:p w14:paraId="4D85BC77">
            <w:pPr>
              <w:jc w:val="center"/>
              <w:rPr>
                <w:rFonts w:ascii="仿宋_GB2312" w:hAnsi="黑体" w:eastAsia="仿宋_GB2312"/>
                <w:kern w:val="0"/>
                <w:sz w:val="20"/>
                <w:szCs w:val="21"/>
              </w:rPr>
            </w:pPr>
            <w:r>
              <w:rPr>
                <w:rFonts w:hint="eastAsia" w:ascii="仿宋_GB2312" w:hAnsi="黑体" w:eastAsia="仿宋_GB2312"/>
                <w:kern w:val="0"/>
                <w:sz w:val="21"/>
                <w:szCs w:val="21"/>
              </w:rPr>
              <w:t>***</w:t>
            </w:r>
          </w:p>
        </w:tc>
        <w:tc>
          <w:tcPr>
            <w:tcW w:w="992" w:type="dxa"/>
            <w:vAlign w:val="center"/>
          </w:tcPr>
          <w:p w14:paraId="73111335">
            <w:pPr>
              <w:jc w:val="center"/>
              <w:rPr>
                <w:rFonts w:ascii="仿宋_GB2312" w:hAnsi="黑体" w:eastAsia="仿宋_GB2312"/>
                <w:kern w:val="0"/>
                <w:sz w:val="20"/>
                <w:szCs w:val="21"/>
              </w:rPr>
            </w:pPr>
            <w:r>
              <w:rPr>
                <w:rFonts w:hint="eastAsia" w:ascii="仿宋_GB2312" w:hAnsi="黑体" w:eastAsia="仿宋_GB2312"/>
                <w:kern w:val="0"/>
                <w:sz w:val="21"/>
                <w:szCs w:val="21"/>
              </w:rPr>
              <w:t>大专</w:t>
            </w:r>
          </w:p>
        </w:tc>
        <w:tc>
          <w:tcPr>
            <w:tcW w:w="1843" w:type="dxa"/>
            <w:vAlign w:val="center"/>
          </w:tcPr>
          <w:p w14:paraId="70336960">
            <w:pPr>
              <w:jc w:val="center"/>
              <w:rPr>
                <w:rFonts w:ascii="仿宋_GB2312" w:hAnsi="黑体" w:eastAsia="仿宋_GB2312"/>
                <w:kern w:val="0"/>
                <w:sz w:val="20"/>
                <w:szCs w:val="21"/>
              </w:rPr>
            </w:pPr>
            <w:r>
              <w:rPr>
                <w:rFonts w:hint="eastAsia" w:ascii="仿宋_GB2312" w:hAnsi="黑体" w:eastAsia="仿宋_GB2312"/>
                <w:kern w:val="0"/>
                <w:sz w:val="21"/>
                <w:szCs w:val="21"/>
              </w:rPr>
              <w:t>电工三级</w:t>
            </w:r>
          </w:p>
        </w:tc>
      </w:tr>
    </w:tbl>
    <w:p w14:paraId="4961BFAD">
      <w:pPr>
        <w:spacing w:line="460" w:lineRule="exact"/>
        <w:ind w:firstLine="645"/>
        <w:jc w:val="left"/>
        <w:rPr>
          <w:rFonts w:ascii="仿宋_GB2312" w:hAnsi="黑体" w:eastAsia="仿宋_GB2312"/>
          <w:sz w:val="32"/>
          <w:szCs w:val="32"/>
        </w:rPr>
      </w:pPr>
    </w:p>
    <w:p w14:paraId="648AD32E">
      <w:pPr>
        <w:spacing w:line="460" w:lineRule="exact"/>
        <w:ind w:firstLine="560" w:firstLineChars="200"/>
        <w:jc w:val="left"/>
        <w:rPr>
          <w:rFonts w:ascii="仿宋_GB2312" w:hAnsi="黑体" w:eastAsia="仿宋_GB2312"/>
          <w:sz w:val="28"/>
          <w:szCs w:val="28"/>
        </w:rPr>
      </w:pPr>
      <w:r>
        <w:rPr>
          <w:rFonts w:hint="eastAsia" w:ascii="仿宋_GB2312" w:hAnsi="黑体" w:eastAsia="仿宋_GB2312"/>
          <w:sz w:val="28"/>
          <w:szCs w:val="28"/>
        </w:rPr>
        <w:t>注：专职教师数不得少于教师总数的1/4；每个培训项目，至少配备2名专业理论课教师和2名专业实训课教师。民办职业培训学校所聘任的专兼职教师应当具备的资格如下：</w:t>
      </w:r>
    </w:p>
    <w:p w14:paraId="4025E722">
      <w:pPr>
        <w:spacing w:line="460" w:lineRule="exact"/>
        <w:ind w:firstLine="560" w:firstLineChars="200"/>
        <w:jc w:val="left"/>
        <w:rPr>
          <w:rFonts w:ascii="仿宋_GB2312" w:hAnsi="黑体" w:eastAsia="仿宋_GB2312"/>
          <w:sz w:val="28"/>
          <w:szCs w:val="28"/>
        </w:rPr>
      </w:pPr>
      <w:r>
        <w:rPr>
          <w:rFonts w:hint="eastAsia" w:ascii="仿宋_GB2312" w:hAnsi="黑体" w:eastAsia="仿宋_GB2312"/>
          <w:sz w:val="28"/>
          <w:szCs w:val="28"/>
        </w:rPr>
        <w:t>（一）应当具备相应的教师资格或者其他相应的专业资格、资质。</w:t>
      </w:r>
    </w:p>
    <w:p w14:paraId="3553EC44">
      <w:pPr>
        <w:spacing w:line="460" w:lineRule="exact"/>
        <w:ind w:firstLine="560" w:firstLineChars="200"/>
        <w:jc w:val="left"/>
        <w:rPr>
          <w:rFonts w:ascii="仿宋_GB2312" w:hAnsi="黑体" w:eastAsia="仿宋_GB2312"/>
          <w:sz w:val="28"/>
          <w:szCs w:val="28"/>
        </w:rPr>
      </w:pPr>
      <w:r>
        <w:rPr>
          <w:rFonts w:hint="eastAsia" w:ascii="仿宋_GB2312" w:hAnsi="黑体" w:eastAsia="仿宋_GB2312"/>
          <w:sz w:val="28"/>
          <w:szCs w:val="28"/>
        </w:rPr>
        <w:t>（二）专业理论课教师应当具有相关专业大学本科及以上学历或者技工院校技师班毕业，相关职业（工种）职业资格（技能等级）或者相关专业技术职务任职资格。</w:t>
      </w:r>
    </w:p>
    <w:p w14:paraId="2ED5928A">
      <w:pPr>
        <w:spacing w:line="460" w:lineRule="exact"/>
        <w:ind w:firstLine="560" w:firstLineChars="200"/>
        <w:jc w:val="left"/>
        <w:rPr>
          <w:rFonts w:ascii="仿宋_GB2312" w:hAnsi="黑体" w:eastAsia="仿宋_GB2312"/>
          <w:sz w:val="28"/>
          <w:szCs w:val="28"/>
        </w:rPr>
      </w:pPr>
      <w:r>
        <w:rPr>
          <w:rFonts w:hint="eastAsia" w:ascii="仿宋_GB2312" w:hAnsi="黑体" w:eastAsia="仿宋_GB2312"/>
          <w:sz w:val="28"/>
          <w:szCs w:val="28"/>
        </w:rPr>
        <w:t>（三）专业实训课教师应当具有相关专业大学专科及以上学历或者技工院校高级工班及以上毕业，相关职业（工种）三级及以上职业资格（技能等级）或者相关专业中级及以上专业技术职务任职资格。专业实训课教师的职业资格（技能等级）应当不低于所执教的职业（工种）等级。</w:t>
      </w:r>
    </w:p>
    <w:p w14:paraId="07D55F7A">
      <w:pPr>
        <w:spacing w:line="460" w:lineRule="exact"/>
        <w:ind w:firstLine="560" w:firstLineChars="200"/>
        <w:jc w:val="left"/>
        <w:rPr>
          <w:rFonts w:ascii="仿宋_GB2312" w:hAnsi="黑体" w:eastAsia="仿宋_GB2312"/>
          <w:sz w:val="28"/>
          <w:szCs w:val="28"/>
        </w:rPr>
      </w:pPr>
      <w:r>
        <w:rPr>
          <w:rFonts w:hint="eastAsia" w:ascii="仿宋_GB2312" w:hAnsi="黑体" w:eastAsia="仿宋_GB2312"/>
          <w:sz w:val="28"/>
          <w:szCs w:val="28"/>
        </w:rPr>
        <w:t>（四）民办职业培训学校聘任公办学校教师应当经其所在学校书面同意；聘任外籍教师，应当符合国家有关规定。</w:t>
      </w:r>
    </w:p>
    <w:p w14:paraId="5B54C1BE">
      <w:pPr>
        <w:spacing w:line="460" w:lineRule="exact"/>
        <w:ind w:firstLine="560" w:firstLineChars="200"/>
        <w:jc w:val="left"/>
        <w:rPr>
          <w:rFonts w:ascii="仿宋_GB2312" w:hAnsi="黑体" w:eastAsia="仿宋_GB2312"/>
          <w:sz w:val="28"/>
          <w:szCs w:val="28"/>
        </w:rPr>
        <w:sectPr>
          <w:pgSz w:w="11906" w:h="16838"/>
          <w:pgMar w:top="1440" w:right="1800" w:bottom="1440" w:left="1800" w:header="851" w:footer="992" w:gutter="0"/>
          <w:cols w:space="425" w:num="1"/>
          <w:docGrid w:linePitch="312" w:charSpace="0"/>
        </w:sectPr>
      </w:pPr>
      <w:r>
        <w:rPr>
          <w:rFonts w:hint="eastAsia" w:ascii="仿宋_GB2312" w:hAnsi="黑体" w:eastAsia="仿宋_GB2312"/>
          <w:sz w:val="28"/>
          <w:szCs w:val="28"/>
        </w:rPr>
        <w:t>（五）中小学、幼儿园在职教师、被纳入“校外培训机构从业人员黑名单”管理及受到剥夺政治权利或者故意犯罪受到有期徒刑以上刑事处罚的人员，不得担任民办职业培训学校教师。</w:t>
      </w:r>
      <w:bookmarkStart w:id="0" w:name="_GoBack"/>
      <w:bookmarkEnd w:id="0"/>
    </w:p>
    <w:p w14:paraId="711AEF3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58543B"/>
    <w:rsid w:val="24585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2024-12-25T00:59:00Z</dcterms:created>
  <dc:creator>Lawliet</dc:creator>
  <cp:lastModifiedBy>Lawliet</cp:lastModifiedBy>
  <dcterms:modified xsi:type="dcterms:W3CDTF">2024-12-25T00:59:53Z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196AE129F9F9480D8746C110164E9096_11</vt:lpwstr>
  </property>
</Properties>
</file>