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仿宋_GB2312"/>
          <w:szCs w:val="32"/>
          <w:lang w:val="en-US" w:eastAsia="zh"/>
        </w:rPr>
      </w:pPr>
      <w:r>
        <w:rPr>
          <w:rFonts w:hint="eastAsia" w:ascii="黑体" w:hAnsi="黑体" w:eastAsia="黑体" w:cs="仿宋_GB2312"/>
          <w:szCs w:val="32"/>
        </w:rPr>
        <w:t>附件</w:t>
      </w:r>
      <w:r>
        <w:rPr>
          <w:rFonts w:hint="eastAsia" w:ascii="黑体" w:hAnsi="黑体" w:eastAsia="黑体" w:cs="仿宋_GB2312"/>
          <w:szCs w:val="32"/>
          <w:lang w:val="en-US" w:eastAsia="zh"/>
        </w:rPr>
        <w:t>5</w:t>
      </w:r>
    </w:p>
    <w:p>
      <w:pPr>
        <w:spacing w:line="54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五河县商务局</w:t>
      </w:r>
      <w:r>
        <w:rPr>
          <w:rFonts w:hint="eastAsia" w:ascii="方正小标宋简体" w:hAnsi="方正小标宋简体" w:eastAsia="方正小标宋简体" w:cs="方正小标宋简体"/>
          <w:b w:val="0"/>
          <w:bCs w:val="0"/>
          <w:color w:val="000000"/>
          <w:sz w:val="44"/>
          <w:szCs w:val="44"/>
          <w:lang w:val="en-US" w:eastAsia="zh-CN"/>
        </w:rPr>
        <w:t>2021年度商贸流通业和外向型经济发展专项资金项目</w:t>
      </w:r>
      <w:r>
        <w:rPr>
          <w:rFonts w:hint="eastAsia" w:ascii="方正小标宋简体" w:hAnsi="方正小标宋简体" w:eastAsia="方正小标宋简体" w:cs="方正小标宋简体"/>
          <w:sz w:val="44"/>
          <w:szCs w:val="44"/>
        </w:rPr>
        <w:t>绩效评价报告</w:t>
      </w:r>
    </w:p>
    <w:p>
      <w:pPr>
        <w:spacing w:line="540" w:lineRule="exact"/>
        <w:ind w:firstLine="600"/>
        <w:rPr>
          <w:rFonts w:hint="eastAsia" w:ascii="黑体" w:hAnsi="黑体" w:eastAsia="黑体" w:cs="黑体"/>
          <w:szCs w:val="32"/>
        </w:rPr>
      </w:pPr>
    </w:p>
    <w:p>
      <w:pPr>
        <w:spacing w:line="540" w:lineRule="exact"/>
        <w:ind w:firstLine="600"/>
        <w:rPr>
          <w:rFonts w:ascii="黑体" w:hAnsi="黑体" w:eastAsia="黑体" w:cs="黑体"/>
          <w:szCs w:val="32"/>
        </w:rPr>
      </w:pPr>
      <w:r>
        <w:rPr>
          <w:rFonts w:hint="eastAsia" w:ascii="黑体" w:hAnsi="黑体" w:eastAsia="黑体" w:cs="黑体"/>
          <w:szCs w:val="32"/>
        </w:rPr>
        <w:t>一、项目基本情况</w:t>
      </w:r>
    </w:p>
    <w:p>
      <w:pPr>
        <w:spacing w:line="560" w:lineRule="exact"/>
        <w:ind w:firstLine="659" w:firstLineChars="205"/>
        <w:rPr>
          <w:rFonts w:hint="eastAsia" w:ascii="楷体_GB2312" w:hAnsi="楷体_GB2312" w:eastAsia="楷体_GB2312" w:cs="楷体_GB2312"/>
          <w:b/>
          <w:bCs/>
          <w:szCs w:val="32"/>
        </w:rPr>
      </w:pPr>
      <w:r>
        <w:rPr>
          <w:rFonts w:hint="eastAsia" w:ascii="楷体_GB2312" w:hAnsi="楷体_GB2312" w:eastAsia="楷体_GB2312" w:cs="楷体_GB2312"/>
          <w:b/>
          <w:bCs/>
          <w:szCs w:val="32"/>
        </w:rPr>
        <w:t>（一）项目概况</w:t>
      </w:r>
    </w:p>
    <w:p>
      <w:pPr>
        <w:spacing w:line="560" w:lineRule="exact"/>
        <w:ind w:firstLine="659" w:firstLineChars="205"/>
        <w:rPr>
          <w:rFonts w:hint="eastAsia" w:ascii="仿宋_GB2312" w:hAnsi="仿宋_GB2312" w:cs="仿宋_GB2312"/>
          <w:b/>
          <w:bCs/>
          <w:szCs w:val="32"/>
          <w:lang w:val="en-US" w:eastAsia="zh-CN"/>
        </w:rPr>
      </w:pPr>
      <w:r>
        <w:rPr>
          <w:rFonts w:hint="eastAsia" w:ascii="仿宋_GB2312" w:hAnsi="仿宋_GB2312" w:cs="仿宋_GB2312"/>
          <w:b/>
          <w:bCs/>
          <w:szCs w:val="32"/>
          <w:lang w:val="en-US" w:eastAsia="zh-CN"/>
        </w:rPr>
        <w:t>1、项目背景</w:t>
      </w:r>
    </w:p>
    <w:p>
      <w:pPr>
        <w:spacing w:line="560" w:lineRule="exact"/>
        <w:ind w:firstLine="656" w:firstLineChars="205"/>
        <w:rPr>
          <w:rFonts w:hint="eastAsia" w:ascii="仿宋_GB2312" w:hAnsi="仿宋_GB2312" w:cs="仿宋_GB2312"/>
          <w:sz w:val="32"/>
          <w:szCs w:val="32"/>
        </w:rPr>
      </w:pPr>
      <w:r>
        <w:rPr>
          <w:rFonts w:hint="eastAsia" w:ascii="仿宋_GB2312" w:hAnsi="仿宋_GB2312" w:cs="仿宋_GB2312"/>
          <w:szCs w:val="32"/>
          <w:lang w:eastAsia="zh-CN"/>
        </w:rPr>
        <w:t>为</w:t>
      </w:r>
      <w:r>
        <w:rPr>
          <w:rFonts w:hint="eastAsia" w:ascii="仿宋_GB2312" w:hAnsi="仿宋_GB2312" w:cs="仿宋_GB2312"/>
          <w:sz w:val="32"/>
          <w:szCs w:val="32"/>
        </w:rPr>
        <w:t>贯彻县委县政府及上级安排的工作部署，推进商贸流通业发展，执行国家和省、市开拓市场、促进消费的政策和措施；提出培育商贸流通企业、促进商贸流通中小企业发展的政策建议；推动商贸流通标准化和连锁经营、特许经营、物流配送、电子商务等现代流通方式的发展；202</w:t>
      </w:r>
      <w:r>
        <w:rPr>
          <w:rFonts w:hint="eastAsia" w:ascii="仿宋_GB2312" w:hAnsi="仿宋_GB2312" w:cs="仿宋_GB2312"/>
          <w:sz w:val="32"/>
          <w:szCs w:val="32"/>
          <w:lang w:val="en-US" w:eastAsia="zh-CN"/>
        </w:rPr>
        <w:t>2</w:t>
      </w:r>
      <w:r>
        <w:rPr>
          <w:rFonts w:hint="eastAsia" w:ascii="仿宋_GB2312" w:hAnsi="仿宋_GB2312" w:cs="仿宋_GB2312"/>
          <w:sz w:val="32"/>
          <w:szCs w:val="32"/>
        </w:rPr>
        <w:t>年</w:t>
      </w:r>
      <w:r>
        <w:rPr>
          <w:rFonts w:hint="eastAsia" w:ascii="仿宋_GB2312" w:hAnsi="仿宋_GB2312" w:cs="仿宋_GB2312"/>
          <w:sz w:val="32"/>
          <w:szCs w:val="32"/>
          <w:lang w:eastAsia="zh-CN"/>
        </w:rPr>
        <w:t>本</w:t>
      </w:r>
      <w:r>
        <w:rPr>
          <w:rFonts w:hint="eastAsia" w:ascii="仿宋_GB2312" w:hAnsi="仿宋_GB2312" w:cs="仿宋_GB2312"/>
          <w:sz w:val="32"/>
          <w:szCs w:val="32"/>
        </w:rPr>
        <w:t>项目安排</w:t>
      </w:r>
      <w:r>
        <w:rPr>
          <w:rFonts w:hint="eastAsia" w:ascii="仿宋_GB2312" w:hAnsi="仿宋_GB2312" w:cs="仿宋_GB2312"/>
          <w:sz w:val="32"/>
          <w:szCs w:val="32"/>
          <w:lang w:val="en-US" w:eastAsia="zh-CN"/>
        </w:rPr>
        <w:t>商贸流通业和外向型经济发展专项资金310</w:t>
      </w:r>
      <w:r>
        <w:rPr>
          <w:rFonts w:hint="eastAsia" w:ascii="仿宋_GB2312" w:hAnsi="仿宋_GB2312" w:cs="仿宋_GB2312"/>
          <w:sz w:val="32"/>
          <w:szCs w:val="32"/>
        </w:rPr>
        <w:t>万元，项目资金由县财政预算安排，当年项目资金使用</w:t>
      </w:r>
      <w:r>
        <w:rPr>
          <w:rFonts w:hint="eastAsia" w:ascii="仿宋_GB2312" w:hAnsi="仿宋_GB2312" w:cs="仿宋_GB2312"/>
          <w:sz w:val="32"/>
          <w:szCs w:val="32"/>
          <w:lang w:val="en-US" w:eastAsia="zh-CN"/>
        </w:rPr>
        <w:t>310</w:t>
      </w:r>
      <w:r>
        <w:rPr>
          <w:rFonts w:hint="eastAsia" w:ascii="仿宋_GB2312" w:hAnsi="仿宋_GB2312" w:cs="仿宋_GB2312"/>
          <w:sz w:val="32"/>
          <w:szCs w:val="32"/>
        </w:rPr>
        <w:t>万元</w:t>
      </w:r>
      <w:r>
        <w:rPr>
          <w:rFonts w:hint="default" w:ascii="Times New Roman" w:hAnsi="Times New Roman" w:cs="Times New Roman"/>
          <w:color w:val="000000"/>
          <w:szCs w:val="32"/>
        </w:rPr>
        <w:t>。</w:t>
      </w:r>
      <w:r>
        <w:rPr>
          <w:rFonts w:hint="eastAsia" w:ascii="仿宋_GB2312" w:hAnsi="仿宋_GB2312" w:cs="仿宋_GB2312"/>
          <w:sz w:val="32"/>
          <w:szCs w:val="32"/>
        </w:rPr>
        <w:t>在县委、县政府的正确领导下，县商务局围绕经济发展总目标，充分履行商务职能，积极完成各项经济指标</w:t>
      </w:r>
      <w:r>
        <w:rPr>
          <w:rFonts w:hint="eastAsia" w:ascii="仿宋_GB2312" w:hAnsi="Calibri" w:cs="仿宋_GB2312"/>
          <w:sz w:val="32"/>
          <w:szCs w:val="32"/>
        </w:rPr>
        <w:t>任务</w:t>
      </w:r>
      <w:r>
        <w:rPr>
          <w:rFonts w:hint="eastAsia" w:ascii="仿宋_GB2312" w:hAnsi="仿宋_GB2312" w:cs="仿宋_GB2312"/>
          <w:sz w:val="32"/>
          <w:szCs w:val="32"/>
        </w:rPr>
        <w:t>。</w:t>
      </w:r>
    </w:p>
    <w:p>
      <w:pPr>
        <w:spacing w:line="560" w:lineRule="exact"/>
        <w:ind w:firstLine="659" w:firstLineChars="205"/>
        <w:rPr>
          <w:rFonts w:hint="eastAsia" w:ascii="仿宋_GB2312" w:hAnsi="仿宋_GB2312" w:cs="仿宋_GB2312"/>
          <w:b/>
          <w:bCs/>
          <w:sz w:val="32"/>
          <w:szCs w:val="32"/>
          <w:lang w:val="en-US" w:eastAsia="zh-CN"/>
        </w:rPr>
      </w:pPr>
      <w:r>
        <w:rPr>
          <w:rFonts w:hint="eastAsia" w:ascii="仿宋_GB2312" w:hAnsi="仿宋_GB2312" w:cs="仿宋_GB2312"/>
          <w:b/>
          <w:bCs/>
          <w:sz w:val="32"/>
          <w:szCs w:val="32"/>
          <w:lang w:val="en-US" w:eastAsia="zh-CN"/>
        </w:rPr>
        <w:t>2、主要内容及实施情况</w:t>
      </w:r>
    </w:p>
    <w:p>
      <w:pPr>
        <w:spacing w:line="560" w:lineRule="exact"/>
        <w:ind w:firstLine="659" w:firstLineChars="205"/>
        <w:rPr>
          <w:rFonts w:hint="eastAsia" w:ascii="仿宋_GB2312" w:hAnsi="仿宋_GB2312" w:cs="仿宋_GB2312"/>
          <w:sz w:val="32"/>
          <w:szCs w:val="32"/>
          <w:lang w:val="en-US" w:eastAsia="zh-CN"/>
        </w:rPr>
      </w:pPr>
      <w:r>
        <w:rPr>
          <w:rFonts w:hint="eastAsia" w:ascii="仿宋_GB2312" w:hAnsi="仿宋_GB2312" w:cs="仿宋_GB2312"/>
          <w:b/>
          <w:bCs/>
          <w:sz w:val="32"/>
          <w:szCs w:val="32"/>
        </w:rPr>
        <w:t>一</w:t>
      </w:r>
      <w:r>
        <w:rPr>
          <w:rFonts w:hint="eastAsia" w:ascii="仿宋_GB2312" w:hAnsi="仿宋_GB2312" w:cs="仿宋_GB2312"/>
          <w:sz w:val="32"/>
          <w:szCs w:val="32"/>
        </w:rPr>
        <w:t>是加强党对商务工作的全面领导。加强政治建设，坚持用习近平新时代中国特色社会主义思想武装头脑、指导实践、推动工作。加强“党史”教育，推动党建与业务深度融合，在商务改革发展中充分发挥基层党组织战斗堡垒作用和党员先锋模范作用。二是针对自身和发展中的短板弱项，积极开展剖析整改，不断增强责任担当意识，全力打通阻碍发展的痛点、难点。要将推动目标任务完成，实现争先进位作为活动的重要内容，进一步强化压力传导，推动商务经济发展的积极性和主动性，着力形成上下联动的工作合力。三是加强规划引领。加强前瞻性思考、全局性谋划，高标准、高质量做好专项规划，为全县商务经济行稳致远提供科学指引。四是强化正风肃纪净化政治生态。严格落实中央八项规定及其实施细则，全力支持配合好派驻纪检监察组的工作主动接受监督积极推动部门党风廉政建设工作取得新成效。全面贯彻新时代党的组织路线，坚持正确用人导向，强化教育培养，打造政治强、业务精、作风实的商务干部队伍。五是着力优化营商环境。继续加大包保服务力度，继续实施企业联系制度和重点企业包保服务。</w:t>
      </w:r>
    </w:p>
    <w:p>
      <w:pPr>
        <w:spacing w:line="560" w:lineRule="exact"/>
        <w:ind w:firstLine="659" w:firstLineChars="205"/>
        <w:rPr>
          <w:rFonts w:hint="eastAsia" w:ascii="仿宋_GB2312" w:hAnsi="仿宋_GB2312" w:cs="仿宋_GB2312"/>
          <w:b/>
          <w:bCs/>
          <w:sz w:val="32"/>
          <w:szCs w:val="32"/>
          <w:lang w:val="en-US" w:eastAsia="zh-CN"/>
        </w:rPr>
      </w:pPr>
      <w:r>
        <w:rPr>
          <w:rFonts w:hint="eastAsia" w:ascii="仿宋_GB2312" w:hAnsi="仿宋_GB2312" w:cs="仿宋_GB2312"/>
          <w:b/>
          <w:bCs/>
          <w:sz w:val="32"/>
          <w:szCs w:val="32"/>
          <w:lang w:val="en-US" w:eastAsia="zh-CN"/>
        </w:rPr>
        <w:t>3、资金投入和使用情况</w:t>
      </w:r>
    </w:p>
    <w:p>
      <w:pPr>
        <w:spacing w:line="560" w:lineRule="exact"/>
        <w:ind w:firstLine="656" w:firstLineChars="205"/>
        <w:jc w:val="left"/>
        <w:rPr>
          <w:rFonts w:ascii="仿宋_GB2312" w:hAnsi="仿宋_GB2312" w:cs="仿宋_GB2312"/>
          <w:szCs w:val="32"/>
        </w:rPr>
      </w:pPr>
      <w:r>
        <w:rPr>
          <w:rFonts w:hint="eastAsia" w:ascii="仿宋_GB2312" w:hAnsi="仿宋_GB2312" w:cs="仿宋_GB2312"/>
          <w:sz w:val="32"/>
          <w:szCs w:val="32"/>
          <w:lang w:val="en-US" w:eastAsia="zh-CN"/>
        </w:rPr>
        <w:t>2</w:t>
      </w:r>
      <w:r>
        <w:rPr>
          <w:rFonts w:hint="eastAsia" w:ascii="仿宋_GB2312" w:hAnsi="仿宋_GB2312" w:cs="仿宋_GB2312"/>
          <w:sz w:val="32"/>
          <w:szCs w:val="32"/>
          <w:lang w:val="en-US" w:eastAsia="zh-CN"/>
        </w:rPr>
        <w:t>021年度商贸流通业和外向型经济发展专项资金项目</w:t>
      </w:r>
      <w:r>
        <w:rPr>
          <w:rFonts w:hint="eastAsia" w:ascii="仿宋_GB2312" w:hAnsi="仿宋_GB2312" w:cs="仿宋_GB2312"/>
          <w:sz w:val="32"/>
          <w:szCs w:val="32"/>
        </w:rPr>
        <w:t>年度预算资金总额为</w:t>
      </w:r>
      <w:r>
        <w:rPr>
          <w:rFonts w:hint="eastAsia" w:ascii="仿宋_GB2312" w:hAnsi="仿宋_GB2312" w:cs="仿宋_GB2312"/>
          <w:sz w:val="32"/>
          <w:szCs w:val="32"/>
          <w:lang w:val="en-US" w:eastAsia="zh-CN"/>
        </w:rPr>
        <w:t>310</w:t>
      </w:r>
      <w:r>
        <w:rPr>
          <w:rFonts w:hint="eastAsia" w:ascii="仿宋_GB2312" w:hAnsi="仿宋_GB2312" w:cs="仿宋_GB2312"/>
          <w:sz w:val="32"/>
          <w:szCs w:val="32"/>
        </w:rPr>
        <w:t>万元，其中财政拨款</w:t>
      </w:r>
      <w:r>
        <w:rPr>
          <w:rFonts w:hint="eastAsia" w:ascii="仿宋_GB2312" w:hAnsi="仿宋_GB2312" w:cs="仿宋_GB2312"/>
          <w:sz w:val="32"/>
          <w:szCs w:val="32"/>
          <w:lang w:val="en-US" w:eastAsia="zh-CN"/>
        </w:rPr>
        <w:t>310</w:t>
      </w:r>
      <w:r>
        <w:rPr>
          <w:rFonts w:hint="eastAsia" w:ascii="仿宋_GB2312" w:hAnsi="仿宋_GB2312" w:cs="仿宋_GB2312"/>
          <w:sz w:val="32"/>
          <w:szCs w:val="32"/>
        </w:rPr>
        <w:t>万元，实际总投入金额</w:t>
      </w:r>
      <w:r>
        <w:rPr>
          <w:rFonts w:hint="eastAsia" w:ascii="仿宋_GB2312" w:hAnsi="仿宋_GB2312" w:cs="仿宋_GB2312"/>
          <w:sz w:val="32"/>
          <w:szCs w:val="32"/>
          <w:lang w:val="en-US" w:eastAsia="zh-CN"/>
        </w:rPr>
        <w:t>310</w:t>
      </w:r>
      <w:r>
        <w:rPr>
          <w:rFonts w:hint="eastAsia" w:ascii="仿宋_GB2312" w:hAnsi="仿宋_GB2312" w:cs="仿宋_GB2312"/>
          <w:sz w:val="32"/>
          <w:szCs w:val="32"/>
        </w:rPr>
        <w:t>万元</w:t>
      </w:r>
      <w:r>
        <w:rPr>
          <w:rFonts w:hint="eastAsia" w:ascii="仿宋_GB2312" w:hAnsi="仿宋_GB2312" w:cs="仿宋_GB2312"/>
          <w:sz w:val="32"/>
          <w:szCs w:val="32"/>
          <w:lang w:eastAsia="zh-CN"/>
        </w:rPr>
        <w:t>，</w:t>
      </w:r>
      <w:r>
        <w:rPr>
          <w:rFonts w:hint="default" w:ascii="Times New Roman" w:hAnsi="Times New Roman" w:cs="Times New Roman"/>
          <w:color w:val="000000"/>
          <w:szCs w:val="32"/>
        </w:rPr>
        <w:t>完成</w:t>
      </w:r>
      <w:r>
        <w:rPr>
          <w:rFonts w:hint="eastAsia" w:cs="Times New Roman"/>
          <w:color w:val="000000"/>
          <w:szCs w:val="32"/>
          <w:lang w:eastAsia="zh-CN"/>
        </w:rPr>
        <w:t>了</w:t>
      </w:r>
      <w:r>
        <w:rPr>
          <w:rFonts w:hint="default" w:ascii="Times New Roman" w:hAnsi="Times New Roman" w:cs="Times New Roman"/>
          <w:color w:val="000000"/>
          <w:szCs w:val="32"/>
        </w:rPr>
        <w:t>预算的</w:t>
      </w:r>
      <w:r>
        <w:rPr>
          <w:rFonts w:hint="default" w:ascii="Times New Roman" w:hAnsi="Times New Roman" w:cs="Times New Roman"/>
          <w:color w:val="000000"/>
          <w:szCs w:val="32"/>
          <w:lang w:val="en-US" w:eastAsia="zh-CN"/>
        </w:rPr>
        <w:t>100</w:t>
      </w:r>
      <w:r>
        <w:rPr>
          <w:rFonts w:hint="default" w:ascii="Times New Roman" w:hAnsi="Times New Roman" w:cs="Times New Roman"/>
          <w:color w:val="000000"/>
          <w:szCs w:val="32"/>
        </w:rPr>
        <w:t>%。</w:t>
      </w:r>
    </w:p>
    <w:p>
      <w:pPr>
        <w:spacing w:line="560" w:lineRule="exact"/>
        <w:ind w:firstLine="659" w:firstLineChars="205"/>
        <w:rPr>
          <w:rFonts w:hint="eastAsia" w:ascii="楷体_GB2312" w:hAnsi="楷体_GB2312" w:eastAsia="楷体_GB2312" w:cs="楷体_GB2312"/>
          <w:b/>
          <w:bCs/>
          <w:szCs w:val="32"/>
        </w:rPr>
      </w:pPr>
      <w:r>
        <w:rPr>
          <w:rFonts w:hint="eastAsia" w:ascii="楷体_GB2312" w:hAnsi="楷体_GB2312" w:eastAsia="楷体_GB2312" w:cs="楷体_GB2312"/>
          <w:b/>
          <w:bCs/>
          <w:szCs w:val="32"/>
        </w:rPr>
        <w:t>（二）项目绩效目标</w:t>
      </w:r>
    </w:p>
    <w:p>
      <w:pPr>
        <w:spacing w:line="560" w:lineRule="exact"/>
        <w:ind w:firstLine="640" w:firstLineChars="200"/>
        <w:rPr>
          <w:rFonts w:hint="eastAsia" w:ascii="仿宋_GB2312" w:hAnsi="仿宋_GB2312" w:cs="仿宋_GB2312"/>
          <w:sz w:val="32"/>
          <w:szCs w:val="32"/>
        </w:rPr>
      </w:pPr>
      <w:r>
        <w:rPr>
          <w:rFonts w:hint="eastAsia" w:ascii="仿宋_GB2312" w:hAnsi="仿宋_GB2312" w:cs="仿宋_GB2312"/>
          <w:sz w:val="32"/>
          <w:szCs w:val="32"/>
        </w:rPr>
        <w:t>项目总体目标</w:t>
      </w:r>
      <w:r>
        <w:rPr>
          <w:rFonts w:hint="eastAsia" w:ascii="仿宋_GB2312" w:hAnsi="仿宋_GB2312" w:cs="仿宋_GB2312"/>
          <w:sz w:val="32"/>
          <w:szCs w:val="32"/>
          <w:lang w:eastAsia="zh-CN"/>
        </w:rPr>
        <w:t>一</w:t>
      </w:r>
      <w:r>
        <w:rPr>
          <w:rFonts w:hint="eastAsia" w:ascii="仿宋_GB2312" w:hAnsi="仿宋_GB2312" w:cs="仿宋_GB2312"/>
          <w:sz w:val="32"/>
          <w:szCs w:val="32"/>
        </w:rPr>
        <w:t>是我局始终按照“流程最优、环节最少、时间最短、服务最佳”的思路，进一步明确任务，精心组织，不断推进商务营商环境明显改善。二是加大招商引资力度、拓宽招商引资渠道、多方位捕捉招商引资信息。跟踪现有再谈项目。</w:t>
      </w:r>
    </w:p>
    <w:p>
      <w:pPr>
        <w:snapToGrid w:val="0"/>
        <w:spacing w:line="560" w:lineRule="exact"/>
        <w:ind w:firstLine="660"/>
        <w:rPr>
          <w:rFonts w:hint="default" w:ascii="Times New Roman" w:hAnsi="Times New Roman" w:cs="Times New Roman"/>
          <w:color w:val="000000"/>
          <w:szCs w:val="32"/>
          <w:lang w:eastAsia="zh-CN"/>
        </w:rPr>
      </w:pPr>
      <w:r>
        <w:rPr>
          <w:rFonts w:hint="eastAsia" w:cs="Times New Roman"/>
          <w:color w:val="000000"/>
          <w:szCs w:val="32"/>
          <w:lang w:eastAsia="zh-CN"/>
        </w:rPr>
        <w:t>项目阶段性目标</w:t>
      </w:r>
      <w:r>
        <w:rPr>
          <w:rFonts w:hint="default" w:ascii="Times New Roman" w:hAnsi="Times New Roman" w:cs="Times New Roman"/>
          <w:color w:val="000000"/>
          <w:szCs w:val="32"/>
        </w:rPr>
        <w:t>一是</w:t>
      </w:r>
      <w:r>
        <w:rPr>
          <w:rFonts w:hint="default" w:ascii="Times New Roman" w:hAnsi="Times New Roman" w:cs="Times New Roman"/>
          <w:color w:val="000000"/>
          <w:szCs w:val="32"/>
          <w:lang w:eastAsia="zh-CN"/>
        </w:rPr>
        <w:t>达成了加快现代服务业高质量发展的目标</w:t>
      </w:r>
      <w:r>
        <w:rPr>
          <w:rFonts w:hint="default" w:ascii="Times New Roman" w:hAnsi="Times New Roman" w:cs="Times New Roman"/>
          <w:color w:val="000000"/>
          <w:szCs w:val="32"/>
        </w:rPr>
        <w:t>；二是</w:t>
      </w:r>
      <w:r>
        <w:rPr>
          <w:rFonts w:hint="eastAsia" w:cs="Times New Roman"/>
          <w:color w:val="000000"/>
          <w:szCs w:val="32"/>
          <w:lang w:eastAsia="zh-CN"/>
        </w:rPr>
        <w:t>达成了</w:t>
      </w:r>
      <w:r>
        <w:rPr>
          <w:rFonts w:hint="default" w:ascii="Times New Roman" w:hAnsi="Times New Roman" w:cs="Times New Roman"/>
          <w:color w:val="000000"/>
          <w:szCs w:val="32"/>
          <w:lang w:eastAsia="zh-CN"/>
        </w:rPr>
        <w:t>持续促进企业发展</w:t>
      </w:r>
      <w:r>
        <w:rPr>
          <w:rFonts w:hint="eastAsia" w:cs="Times New Roman"/>
          <w:color w:val="000000"/>
          <w:szCs w:val="32"/>
          <w:lang w:eastAsia="zh-CN"/>
        </w:rPr>
        <w:t>的目标</w:t>
      </w:r>
      <w:r>
        <w:rPr>
          <w:rFonts w:hint="default" w:ascii="Times New Roman" w:hAnsi="Times New Roman" w:cs="Times New Roman"/>
          <w:color w:val="000000"/>
          <w:szCs w:val="32"/>
          <w:lang w:eastAsia="zh-CN"/>
        </w:rPr>
        <w:t>，有效促进了我县经济增长。</w:t>
      </w:r>
    </w:p>
    <w:p>
      <w:pPr>
        <w:spacing w:line="560" w:lineRule="exact"/>
        <w:ind w:firstLine="640" w:firstLineChars="200"/>
        <w:rPr>
          <w:rFonts w:hint="eastAsia" w:ascii="仿宋_GB2312" w:hAnsi="仿宋_GB2312" w:cs="仿宋_GB2312"/>
          <w:sz w:val="32"/>
          <w:szCs w:val="32"/>
        </w:rPr>
      </w:pPr>
    </w:p>
    <w:p>
      <w:pPr>
        <w:spacing w:line="540" w:lineRule="exact"/>
        <w:ind w:firstLine="600"/>
        <w:rPr>
          <w:rFonts w:ascii="黑体" w:hAnsi="黑体" w:eastAsia="黑体" w:cs="黑体"/>
          <w:szCs w:val="32"/>
        </w:rPr>
      </w:pPr>
      <w:r>
        <w:rPr>
          <w:rFonts w:hint="eastAsia" w:ascii="黑体" w:hAnsi="黑体" w:eastAsia="黑体" w:cs="黑体"/>
          <w:szCs w:val="32"/>
        </w:rPr>
        <w:t>二、绩效评价工作开展情况</w:t>
      </w:r>
    </w:p>
    <w:p>
      <w:pPr>
        <w:spacing w:line="540" w:lineRule="exact"/>
        <w:ind w:firstLine="600"/>
        <w:rPr>
          <w:rFonts w:hint="eastAsia" w:ascii="楷体_GB2312" w:hAnsi="楷体_GB2312" w:eastAsia="楷体_GB2312" w:cs="楷体_GB2312"/>
          <w:b/>
          <w:bCs/>
          <w:szCs w:val="32"/>
        </w:rPr>
      </w:pPr>
      <w:r>
        <w:rPr>
          <w:rFonts w:hint="eastAsia" w:ascii="楷体_GB2312" w:hAnsi="楷体_GB2312" w:eastAsia="楷体_GB2312" w:cs="楷体_GB2312"/>
          <w:b/>
          <w:bCs/>
          <w:szCs w:val="32"/>
        </w:rPr>
        <w:t>（一）绩效评价目的、对象和范围</w:t>
      </w:r>
    </w:p>
    <w:p>
      <w:pPr>
        <w:tabs>
          <w:tab w:val="left" w:pos="500"/>
        </w:tabs>
        <w:spacing w:line="560" w:lineRule="exact"/>
        <w:ind w:firstLine="640" w:firstLineChars="200"/>
        <w:rPr>
          <w:rFonts w:ascii="仿宋_GB2312" w:hAnsi="仿宋_GB2312" w:cs="仿宋_GB2312"/>
          <w:sz w:val="32"/>
          <w:szCs w:val="32"/>
        </w:rPr>
      </w:pPr>
      <w:r>
        <w:rPr>
          <w:rFonts w:hint="eastAsia" w:ascii="仿宋_GB2312" w:hAnsi="仿宋_GB2312" w:cs="仿宋_GB2312"/>
          <w:b w:val="0"/>
          <w:bCs w:val="0"/>
          <w:sz w:val="32"/>
          <w:szCs w:val="32"/>
        </w:rPr>
        <w:t>绩效评价目的：</w:t>
      </w:r>
      <w:r>
        <w:rPr>
          <w:rFonts w:hint="eastAsia" w:ascii="仿宋_GB2312" w:hAnsi="仿宋_GB2312" w:cs="仿宋_GB2312"/>
          <w:sz w:val="32"/>
          <w:szCs w:val="32"/>
        </w:rPr>
        <w:t>通过评价项目的推进情况和实际效果，查找项目资金管理过程中存在的问题，为政府决策提供依据，促进财政资金发挥最大效益。</w:t>
      </w:r>
    </w:p>
    <w:p>
      <w:pPr>
        <w:tabs>
          <w:tab w:val="left" w:pos="500"/>
        </w:tabs>
        <w:spacing w:line="560" w:lineRule="exact"/>
        <w:ind w:firstLine="645"/>
        <w:rPr>
          <w:rFonts w:hint="eastAsia" w:ascii="仿宋_GB2312" w:hAnsi="仿宋_GB2312" w:cs="仿宋_GB2312"/>
          <w:szCs w:val="32"/>
        </w:rPr>
      </w:pPr>
      <w:r>
        <w:rPr>
          <w:rFonts w:hint="eastAsia" w:ascii="仿宋_GB2312" w:hAnsi="仿宋_GB2312" w:cs="仿宋_GB2312"/>
          <w:b w:val="0"/>
          <w:bCs w:val="0"/>
          <w:sz w:val="32"/>
          <w:szCs w:val="32"/>
        </w:rPr>
        <w:t>对象和范围：</w:t>
      </w:r>
      <w:r>
        <w:rPr>
          <w:rFonts w:hint="eastAsia" w:ascii="仿宋_GB2312" w:hAnsi="仿宋_GB2312" w:cs="仿宋_GB2312"/>
          <w:sz w:val="32"/>
          <w:szCs w:val="32"/>
        </w:rPr>
        <w:t>环境监察工作项目规定的所有实施内容。</w:t>
      </w:r>
    </w:p>
    <w:p>
      <w:pPr>
        <w:spacing w:line="540" w:lineRule="exact"/>
        <w:ind w:firstLine="600"/>
        <w:rPr>
          <w:rFonts w:hint="eastAsia" w:ascii="楷体_GB2312" w:hAnsi="楷体_GB2312" w:eastAsia="楷体_GB2312" w:cs="楷体_GB2312"/>
          <w:b/>
          <w:bCs/>
          <w:szCs w:val="32"/>
        </w:rPr>
      </w:pPr>
      <w:r>
        <w:rPr>
          <w:rFonts w:hint="eastAsia" w:ascii="楷体_GB2312" w:hAnsi="楷体_GB2312" w:eastAsia="楷体_GB2312" w:cs="楷体_GB2312"/>
          <w:b/>
          <w:bCs/>
          <w:szCs w:val="32"/>
        </w:rPr>
        <w:t>（二）绩效评价原则、评价指标体系（附表说明）、评价方法、评价标准等</w:t>
      </w:r>
    </w:p>
    <w:p>
      <w:pPr>
        <w:tabs>
          <w:tab w:val="left" w:pos="0"/>
        </w:tabs>
        <w:adjustRightInd w:val="0"/>
        <w:snapToGrid w:val="0"/>
        <w:spacing w:line="560" w:lineRule="exact"/>
        <w:ind w:firstLine="601" w:firstLineChars="187"/>
        <w:rPr>
          <w:rFonts w:ascii="仿宋_GB2312" w:hAnsi="仿宋_GB2312" w:cs="仿宋_GB2312"/>
          <w:sz w:val="32"/>
          <w:szCs w:val="32"/>
        </w:rPr>
      </w:pPr>
      <w:r>
        <w:rPr>
          <w:rFonts w:hint="eastAsia" w:ascii="仿宋_GB2312" w:hAnsi="仿宋_GB2312" w:cs="仿宋_GB2312"/>
          <w:b/>
          <w:bCs/>
          <w:sz w:val="32"/>
          <w:szCs w:val="32"/>
        </w:rPr>
        <w:t xml:space="preserve"> 1、绩效评价的原则</w:t>
      </w:r>
    </w:p>
    <w:p>
      <w:pPr>
        <w:tabs>
          <w:tab w:val="left" w:pos="0"/>
        </w:tabs>
        <w:adjustRightInd w:val="0"/>
        <w:snapToGrid w:val="0"/>
        <w:spacing w:line="560" w:lineRule="exact"/>
        <w:ind w:firstLine="640" w:firstLineChars="200"/>
        <w:rPr>
          <w:rFonts w:ascii="仿宋_GB2312" w:hAnsi="仿宋_GB2312" w:cs="仿宋_GB2312"/>
          <w:sz w:val="32"/>
          <w:szCs w:val="32"/>
        </w:rPr>
      </w:pPr>
      <w:r>
        <w:rPr>
          <w:rFonts w:hint="eastAsia" w:ascii="仿宋_GB2312" w:hAnsi="仿宋_GB2312" w:cs="仿宋_GB2312"/>
          <w:sz w:val="32"/>
          <w:szCs w:val="32"/>
        </w:rPr>
        <w:t>（1）系统性原则。本次绩效评价严格执行规定的程序，按照科学可行的要求，采用定量与定性分析相结合的方法，系统反映财政支出所产生的社会效益、可持续影响。</w:t>
      </w:r>
    </w:p>
    <w:p>
      <w:pPr>
        <w:tabs>
          <w:tab w:val="left" w:pos="0"/>
        </w:tabs>
        <w:adjustRightInd w:val="0"/>
        <w:snapToGrid w:val="0"/>
        <w:spacing w:line="560" w:lineRule="exact"/>
        <w:ind w:firstLine="640" w:firstLineChars="200"/>
        <w:rPr>
          <w:rFonts w:ascii="仿宋_GB2312" w:hAnsi="仿宋_GB2312" w:cs="仿宋_GB2312"/>
          <w:sz w:val="32"/>
          <w:szCs w:val="32"/>
        </w:rPr>
      </w:pPr>
      <w:r>
        <w:rPr>
          <w:rFonts w:hint="eastAsia" w:ascii="仿宋_GB2312" w:hAnsi="仿宋_GB2312" w:cs="仿宋_GB2312"/>
          <w:sz w:val="32"/>
          <w:szCs w:val="32"/>
        </w:rPr>
        <w:t>（2）公正公开原则。本次绩效评价真实、客观、公正，依法公开并接受监督。</w:t>
      </w:r>
    </w:p>
    <w:p>
      <w:pPr>
        <w:tabs>
          <w:tab w:val="left" w:pos="0"/>
        </w:tabs>
        <w:adjustRightInd w:val="0"/>
        <w:snapToGrid w:val="0"/>
        <w:spacing w:line="560" w:lineRule="exact"/>
        <w:ind w:firstLine="640" w:firstLineChars="200"/>
        <w:rPr>
          <w:rFonts w:ascii="仿宋_GB2312" w:hAnsi="仿宋_GB2312" w:cs="仿宋_GB2312"/>
          <w:sz w:val="32"/>
          <w:szCs w:val="32"/>
        </w:rPr>
      </w:pPr>
      <w:r>
        <w:rPr>
          <w:rFonts w:hint="eastAsia" w:ascii="仿宋_GB2312" w:hAnsi="仿宋_GB2312" w:cs="仿宋_GB2312"/>
          <w:sz w:val="32"/>
          <w:szCs w:val="32"/>
        </w:rPr>
        <w:t>（3）绩效相关原则。绩效评价针对具体支出及其产出绩效进行，评价结果清晰反映支出和产出绩效之间的紧密对应关系。</w:t>
      </w:r>
    </w:p>
    <w:p>
      <w:pPr>
        <w:tabs>
          <w:tab w:val="left" w:pos="0"/>
        </w:tabs>
        <w:adjustRightInd w:val="0"/>
        <w:snapToGrid w:val="0"/>
        <w:spacing w:line="560" w:lineRule="exact"/>
        <w:ind w:firstLine="640" w:firstLineChars="200"/>
        <w:rPr>
          <w:rFonts w:ascii="仿宋_GB2312" w:hAnsi="仿宋_GB2312" w:cs="仿宋_GB2312"/>
          <w:sz w:val="32"/>
          <w:szCs w:val="32"/>
        </w:rPr>
      </w:pPr>
      <w:r>
        <w:rPr>
          <w:rFonts w:hint="eastAsia" w:ascii="仿宋_GB2312" w:hAnsi="仿宋_GB2312" w:cs="仿宋_GB2312"/>
          <w:sz w:val="32"/>
          <w:szCs w:val="32"/>
        </w:rPr>
        <w:t>（4）经济性原则。</w:t>
      </w:r>
    </w:p>
    <w:p>
      <w:pPr>
        <w:tabs>
          <w:tab w:val="left" w:pos="0"/>
        </w:tabs>
        <w:adjustRightInd w:val="0"/>
        <w:snapToGrid w:val="0"/>
        <w:spacing w:line="560" w:lineRule="exact"/>
        <w:ind w:firstLine="643" w:firstLineChars="200"/>
        <w:rPr>
          <w:rFonts w:ascii="仿宋_GB2312" w:hAnsi="仿宋_GB2312" w:cs="仿宋_GB2312"/>
          <w:b/>
          <w:bCs/>
          <w:sz w:val="32"/>
          <w:szCs w:val="32"/>
        </w:rPr>
      </w:pPr>
      <w:r>
        <w:rPr>
          <w:rFonts w:hint="eastAsia" w:ascii="仿宋_GB2312" w:hAnsi="仿宋_GB2312" w:cs="仿宋_GB2312"/>
          <w:b/>
          <w:bCs/>
          <w:sz w:val="32"/>
          <w:szCs w:val="32"/>
        </w:rPr>
        <w:t>2、评价指标体系</w:t>
      </w:r>
    </w:p>
    <w:p>
      <w:pPr>
        <w:tabs>
          <w:tab w:val="left" w:pos="0"/>
        </w:tabs>
        <w:adjustRightInd w:val="0"/>
        <w:snapToGrid w:val="0"/>
        <w:spacing w:line="560" w:lineRule="exact"/>
        <w:ind w:firstLine="640" w:firstLineChars="200"/>
        <w:rPr>
          <w:rFonts w:ascii="仿宋_GB2312" w:hAnsi="仿宋_GB2312" w:cs="仿宋_GB2312"/>
          <w:sz w:val="32"/>
          <w:szCs w:val="32"/>
        </w:rPr>
      </w:pPr>
      <w:r>
        <w:rPr>
          <w:rFonts w:hint="eastAsia" w:ascii="仿宋_GB2312" w:hAnsi="仿宋_GB2312" w:cs="仿宋_GB2312"/>
          <w:sz w:val="32"/>
          <w:szCs w:val="32"/>
        </w:rPr>
        <w:t>根据《财政部关于印发&lt;财政支出绩效评价管理暂行办法&gt;的通知》（财预〔2011〕285号）、《关于加强民生工程绩效评价工作的通知》（民生办〔2017〕7号）、《关于印发安徽省计生卫生民生工程绩效评价办法的通知》(皖卫财〔2017〕49号)的有关规定，本次评价指标分体系由三级指标组成，一级指标分值统一设置为：产出指标50分、效益指标30分、服务对象满意度指标10分、预算资金执行率10分。定性指标根据指标完成情况分为：达成预期指标、部分达成预期指标并具有一定效果、未达成预期指标且效果较差三档，分别按照该指标对应分值区间100-80%(含80%)、80-60%(含60%)、60-0%合理确定分值。总分共计100分。</w:t>
      </w:r>
    </w:p>
    <w:p>
      <w:pPr>
        <w:tabs>
          <w:tab w:val="left" w:pos="0"/>
        </w:tabs>
        <w:adjustRightInd w:val="0"/>
        <w:snapToGrid w:val="0"/>
        <w:spacing w:line="560" w:lineRule="exact"/>
        <w:ind w:firstLine="640" w:firstLineChars="200"/>
        <w:rPr>
          <w:rFonts w:ascii="宋体"/>
          <w:sz w:val="32"/>
          <w:szCs w:val="32"/>
        </w:rPr>
      </w:pPr>
      <w:r>
        <w:rPr>
          <w:rFonts w:hint="eastAsia" w:ascii="仿宋_GB2312" w:hAnsi="仿宋_GB2312" w:cs="仿宋_GB2312"/>
          <w:sz w:val="32"/>
          <w:szCs w:val="32"/>
        </w:rPr>
        <w:t>绩效评价实行百分制，计分采用量化指标，满分为100分。根据得分的不同情况将评价结果划分为四个等级：得分S≥85为优；85＞S≥75为良好；75＞S≥60为中等； S＜60分为差。</w:t>
      </w:r>
    </w:p>
    <w:p>
      <w:pPr>
        <w:tabs>
          <w:tab w:val="left" w:pos="0"/>
        </w:tabs>
        <w:adjustRightInd w:val="0"/>
        <w:snapToGrid w:val="0"/>
        <w:spacing w:line="360" w:lineRule="auto"/>
        <w:ind w:firstLine="640" w:firstLineChars="200"/>
        <w:rPr>
          <w:rFonts w:ascii="宋体"/>
          <w:sz w:val="32"/>
          <w:szCs w:val="32"/>
        </w:rPr>
      </w:pPr>
      <w:r>
        <w:rPr>
          <w:rFonts w:hint="eastAsia" w:ascii="仿宋_GB2312" w:hAnsi="仿宋_GB2312" w:cs="仿宋_GB2312"/>
          <w:sz w:val="32"/>
          <w:szCs w:val="32"/>
        </w:rPr>
        <w:t>指标体系及分值详见下表。</w:t>
      </w:r>
    </w:p>
    <w:tbl>
      <w:tblPr>
        <w:tblStyle w:val="5"/>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40"/>
        <w:gridCol w:w="888"/>
        <w:gridCol w:w="1315"/>
        <w:gridCol w:w="1500"/>
        <w:gridCol w:w="738"/>
        <w:gridCol w:w="1462"/>
        <w:gridCol w:w="502"/>
        <w:gridCol w:w="11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年度总体目标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预期目标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u w:val="none"/>
              </w:rPr>
            </w:pP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加快现代服务业高质量发展</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加快现代服务业高质量发展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wAfter w:w="0" w:type="auto"/>
          <w:trHeight w:val="72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绩效指标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实际完成值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分值</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wAfter w:w="0" w:type="auto"/>
          <w:trHeight w:val="7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产出指标(50分)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项目支持企业数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1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wAfter w:w="0" w:type="auto"/>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严格按照规定程序项目扶持</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明显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达成预期指标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1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wAfter w:w="0" w:type="auto"/>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是否持续促进企业发展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达成预期指标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1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wAfter w:w="0" w:type="auto"/>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项目总成本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≤310万元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11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wAfter w:w="0" w:type="auto"/>
          <w:trHeight w:val="7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效益指标(30分)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经济效益指标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是否持续促进企业发展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明显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达成预期指标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1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wAfter w:w="0" w:type="auto"/>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是否持续促进企业发展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明显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达成预期指标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1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可持续影响指标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是否持续促进企业发展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达成预期指标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1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wAfter w:w="0" w:type="auto"/>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生态效益指标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7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项目群众满意度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1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r>
    </w:tbl>
    <w:p>
      <w:pPr>
        <w:tabs>
          <w:tab w:val="left" w:pos="0"/>
        </w:tabs>
        <w:adjustRightInd w:val="0"/>
        <w:snapToGrid w:val="0"/>
        <w:spacing w:line="360" w:lineRule="auto"/>
        <w:ind w:firstLine="640" w:firstLineChars="200"/>
        <w:rPr>
          <w:rFonts w:ascii="宋体"/>
          <w:sz w:val="32"/>
          <w:szCs w:val="32"/>
        </w:rPr>
      </w:pPr>
    </w:p>
    <w:p>
      <w:pPr>
        <w:tabs>
          <w:tab w:val="left" w:pos="0"/>
        </w:tabs>
        <w:adjustRightInd w:val="0"/>
        <w:snapToGrid w:val="0"/>
        <w:spacing w:line="360" w:lineRule="auto"/>
        <w:ind w:firstLine="640" w:firstLineChars="200"/>
        <w:rPr>
          <w:rFonts w:ascii="宋体"/>
          <w:sz w:val="32"/>
          <w:szCs w:val="32"/>
        </w:rPr>
      </w:pPr>
      <w:bookmarkStart w:id="0" w:name="_GoBack"/>
      <w:bookmarkEnd w:id="0"/>
    </w:p>
    <w:p>
      <w:pPr>
        <w:tabs>
          <w:tab w:val="left" w:pos="0"/>
        </w:tabs>
        <w:adjustRightInd w:val="0"/>
        <w:snapToGrid w:val="0"/>
        <w:spacing w:line="560" w:lineRule="exact"/>
        <w:ind w:firstLine="643" w:firstLineChars="200"/>
        <w:rPr>
          <w:rFonts w:ascii="宋体"/>
          <w:sz w:val="32"/>
          <w:szCs w:val="32"/>
        </w:rPr>
      </w:pPr>
      <w:r>
        <w:rPr>
          <w:rFonts w:hint="eastAsia" w:ascii="仿宋_GB2312" w:hAnsi="仿宋_GB2312" w:cs="仿宋_GB2312"/>
          <w:b/>
          <w:bCs/>
          <w:sz w:val="32"/>
          <w:szCs w:val="32"/>
        </w:rPr>
        <w:t>3、评价方法</w:t>
      </w:r>
    </w:p>
    <w:p>
      <w:pPr>
        <w:tabs>
          <w:tab w:val="left" w:pos="0"/>
        </w:tabs>
        <w:adjustRightInd w:val="0"/>
        <w:snapToGrid w:val="0"/>
        <w:spacing w:line="560" w:lineRule="exact"/>
        <w:ind w:firstLine="640" w:firstLineChars="200"/>
        <w:rPr>
          <w:rFonts w:ascii="仿宋_GB2312" w:hAnsi="仿宋_GB2312" w:cs="仿宋_GB2312"/>
          <w:sz w:val="32"/>
          <w:szCs w:val="32"/>
        </w:rPr>
      </w:pPr>
      <w:r>
        <w:rPr>
          <w:rFonts w:hint="eastAsia" w:ascii="仿宋_GB2312" w:hAnsi="仿宋_GB2312" w:cs="仿宋_GB2312"/>
          <w:sz w:val="32"/>
          <w:szCs w:val="32"/>
        </w:rPr>
        <w:t>本次绩效评价方法主要采用成本效益分析法、比较法、因素分析法、公众评判法等。</w:t>
      </w:r>
    </w:p>
    <w:p>
      <w:pPr>
        <w:tabs>
          <w:tab w:val="left" w:pos="0"/>
        </w:tabs>
        <w:adjustRightInd w:val="0"/>
        <w:snapToGrid w:val="0"/>
        <w:spacing w:line="560" w:lineRule="exact"/>
        <w:ind w:firstLine="640" w:firstLineChars="200"/>
        <w:rPr>
          <w:rFonts w:ascii="仿宋_GB2312" w:hAnsi="仿宋_GB2312" w:cs="仿宋_GB2312"/>
          <w:sz w:val="32"/>
          <w:szCs w:val="32"/>
        </w:rPr>
      </w:pPr>
      <w:r>
        <w:rPr>
          <w:rFonts w:hint="eastAsia" w:ascii="仿宋_GB2312" w:hAnsi="仿宋_GB2312" w:cs="仿宋_GB2312"/>
          <w:sz w:val="32"/>
          <w:szCs w:val="32"/>
        </w:rPr>
        <w:t>（1）成本效益分析法。将一定时期内的支出与效益进行对比分析，以评价绩效目标实现程度。</w:t>
      </w:r>
    </w:p>
    <w:p>
      <w:pPr>
        <w:tabs>
          <w:tab w:val="left" w:pos="0"/>
        </w:tabs>
        <w:adjustRightInd w:val="0"/>
        <w:snapToGrid w:val="0"/>
        <w:spacing w:line="560" w:lineRule="exact"/>
        <w:ind w:firstLine="640" w:firstLineChars="200"/>
        <w:rPr>
          <w:rFonts w:ascii="仿宋_GB2312" w:hAnsi="仿宋_GB2312" w:cs="仿宋_GB2312"/>
          <w:sz w:val="32"/>
          <w:szCs w:val="32"/>
        </w:rPr>
      </w:pPr>
      <w:r>
        <w:rPr>
          <w:rFonts w:hint="eastAsia" w:ascii="仿宋_GB2312" w:hAnsi="仿宋_GB2312" w:cs="仿宋_GB2312"/>
          <w:sz w:val="32"/>
          <w:szCs w:val="32"/>
        </w:rPr>
        <w:t>（2）比较法。是指通过对绩效目标计划与实施效果比较，综合分析绩效目标实现程度。</w:t>
      </w:r>
    </w:p>
    <w:p>
      <w:pPr>
        <w:tabs>
          <w:tab w:val="left" w:pos="0"/>
        </w:tabs>
        <w:adjustRightInd w:val="0"/>
        <w:snapToGrid w:val="0"/>
        <w:spacing w:line="560" w:lineRule="exact"/>
        <w:ind w:firstLine="640" w:firstLineChars="200"/>
        <w:rPr>
          <w:rFonts w:ascii="仿宋_GB2312" w:hAnsi="仿宋_GB2312" w:cs="仿宋_GB2312"/>
          <w:sz w:val="32"/>
          <w:szCs w:val="32"/>
        </w:rPr>
      </w:pPr>
      <w:r>
        <w:rPr>
          <w:rFonts w:hint="eastAsia" w:ascii="仿宋_GB2312" w:hAnsi="仿宋_GB2312" w:cs="仿宋_GB2312"/>
          <w:sz w:val="32"/>
          <w:szCs w:val="32"/>
        </w:rPr>
        <w:t>（3）因素分析法。是指通过综合分析影响绩效目标实现、实施效果的内外因素，评价绩效目标实现程度。</w:t>
      </w:r>
    </w:p>
    <w:p>
      <w:pPr>
        <w:tabs>
          <w:tab w:val="left" w:pos="0"/>
        </w:tabs>
        <w:adjustRightInd w:val="0"/>
        <w:snapToGrid w:val="0"/>
        <w:spacing w:line="560" w:lineRule="exact"/>
        <w:ind w:firstLine="640" w:firstLineChars="200"/>
        <w:rPr>
          <w:rFonts w:ascii="仿宋_GB2312" w:hAnsi="仿宋_GB2312" w:cs="仿宋_GB2312"/>
          <w:sz w:val="32"/>
          <w:szCs w:val="32"/>
        </w:rPr>
      </w:pPr>
      <w:r>
        <w:rPr>
          <w:rFonts w:hint="eastAsia" w:ascii="仿宋_GB2312" w:hAnsi="仿宋_GB2312" w:cs="仿宋_GB2312"/>
          <w:sz w:val="32"/>
          <w:szCs w:val="32"/>
        </w:rPr>
        <w:t>（4）公众评判法。是指通过公众问卷调查等对财政支出效果和影响进行评判，评价绩效目标的满意度。</w:t>
      </w:r>
    </w:p>
    <w:p>
      <w:pPr>
        <w:tabs>
          <w:tab w:val="left" w:pos="0"/>
        </w:tabs>
        <w:adjustRightInd w:val="0"/>
        <w:snapToGrid w:val="0"/>
        <w:spacing w:line="560" w:lineRule="exact"/>
        <w:ind w:firstLine="643" w:firstLineChars="200"/>
        <w:rPr>
          <w:rFonts w:ascii="仿宋_GB2312" w:hAnsi="仿宋_GB2312" w:cs="仿宋_GB2312"/>
          <w:sz w:val="32"/>
          <w:szCs w:val="32"/>
        </w:rPr>
      </w:pPr>
      <w:r>
        <w:rPr>
          <w:rFonts w:hint="eastAsia" w:ascii="仿宋_GB2312" w:hAnsi="仿宋_GB2312" w:cs="仿宋_GB2312"/>
          <w:b/>
          <w:bCs/>
          <w:sz w:val="32"/>
          <w:szCs w:val="32"/>
        </w:rPr>
        <w:t>4、评价标准</w:t>
      </w:r>
    </w:p>
    <w:p>
      <w:pPr>
        <w:tabs>
          <w:tab w:val="left" w:pos="0"/>
        </w:tabs>
        <w:adjustRightInd w:val="0"/>
        <w:snapToGrid w:val="0"/>
        <w:spacing w:line="560" w:lineRule="exact"/>
        <w:ind w:firstLine="640" w:firstLineChars="200"/>
        <w:rPr>
          <w:rFonts w:ascii="仿宋_GB2312" w:hAnsi="仿宋_GB2312" w:cs="仿宋_GB2312"/>
          <w:sz w:val="32"/>
          <w:szCs w:val="32"/>
        </w:rPr>
      </w:pPr>
      <w:r>
        <w:rPr>
          <w:rFonts w:hint="eastAsia" w:ascii="仿宋_GB2312" w:hAnsi="仿宋_GB2312" w:cs="仿宋_GB2312"/>
          <w:sz w:val="32"/>
          <w:szCs w:val="32"/>
        </w:rPr>
        <w:t>绩效评价标准是指衡量财政支出绩效目标完成程度的尺度。本次绩效评价标准主要采用计划标准和行业标准，以预先制定的绩效目标、计划、预算等数据和相关法律、法规、文件等作为评价的标准。</w:t>
      </w:r>
    </w:p>
    <w:p>
      <w:pPr>
        <w:spacing w:line="540" w:lineRule="exact"/>
        <w:ind w:firstLine="600"/>
        <w:rPr>
          <w:rFonts w:hint="eastAsia" w:ascii="仿宋_GB2312" w:hAnsi="仿宋_GB2312" w:cs="仿宋_GB2312"/>
          <w:szCs w:val="32"/>
        </w:rPr>
      </w:pPr>
    </w:p>
    <w:p>
      <w:pPr>
        <w:spacing w:line="540" w:lineRule="exact"/>
        <w:ind w:firstLine="600"/>
        <w:rPr>
          <w:rFonts w:hint="eastAsia" w:ascii="仿宋_GB2312" w:hAnsi="仿宋_GB2312" w:cs="仿宋_GB2312"/>
          <w:szCs w:val="32"/>
        </w:rPr>
      </w:pPr>
      <w:r>
        <w:rPr>
          <w:rFonts w:hint="eastAsia" w:ascii="仿宋_GB2312" w:hAnsi="仿宋_GB2312" w:cs="仿宋_GB2312"/>
          <w:szCs w:val="32"/>
        </w:rPr>
        <w:t>（三）绩效评价工作过程。</w:t>
      </w:r>
    </w:p>
    <w:p>
      <w:pPr>
        <w:spacing w:line="560" w:lineRule="exact"/>
        <w:ind w:firstLine="640" w:firstLineChars="200"/>
        <w:rPr>
          <w:rFonts w:ascii="仿宋_GB2312" w:hAnsi="仿宋_GB2312" w:cs="仿宋_GB2312"/>
          <w:sz w:val="32"/>
          <w:szCs w:val="32"/>
        </w:rPr>
      </w:pPr>
      <w:r>
        <w:rPr>
          <w:rFonts w:hint="eastAsia" w:ascii="仿宋_GB2312" w:hAnsi="仿宋_GB2312" w:cs="仿宋_GB2312"/>
          <w:sz w:val="32"/>
          <w:szCs w:val="32"/>
        </w:rPr>
        <w:t>局党组</w:t>
      </w:r>
      <w:r>
        <w:rPr>
          <w:rFonts w:hint="eastAsia" w:ascii="仿宋_GB2312" w:hAnsi="仿宋_GB2312" w:cs="仿宋_GB2312"/>
          <w:sz w:val="32"/>
          <w:szCs w:val="32"/>
          <w:lang w:eastAsia="zh-CN"/>
        </w:rPr>
        <w:t>高度</w:t>
      </w:r>
      <w:r>
        <w:rPr>
          <w:rFonts w:hint="eastAsia" w:ascii="仿宋_GB2312" w:hAnsi="仿宋_GB2312" w:cs="仿宋_GB2312"/>
          <w:sz w:val="32"/>
          <w:szCs w:val="32"/>
        </w:rPr>
        <w:t>重视202</w:t>
      </w:r>
      <w:r>
        <w:rPr>
          <w:rFonts w:hint="eastAsia" w:ascii="仿宋_GB2312" w:hAnsi="仿宋_GB2312" w:cs="仿宋_GB2312"/>
          <w:sz w:val="32"/>
          <w:szCs w:val="32"/>
          <w:lang w:val="en-US" w:eastAsia="zh-CN"/>
        </w:rPr>
        <w:t>2</w:t>
      </w:r>
      <w:r>
        <w:rPr>
          <w:rFonts w:hint="eastAsia" w:ascii="仿宋_GB2312" w:hAnsi="仿宋_GB2312" w:cs="仿宋_GB2312"/>
          <w:sz w:val="32"/>
          <w:szCs w:val="32"/>
        </w:rPr>
        <w:t>年部门绩效自评工作，抽调人员组成自评小组，在商务流通工作项目实施过程中同时进行绩效自评，比如项目进展进度、资金拨付是否及时，预算是否需要调整等。自评小组通过实地察看、询问相关人员，了解项目的投入、管理、效果、各项规章制度建设，查阅并收集相关资料，核实资金的拨入及支出，了解财务核算等情况。</w:t>
      </w:r>
    </w:p>
    <w:p>
      <w:pPr>
        <w:spacing w:line="560" w:lineRule="exact"/>
        <w:ind w:firstLine="640" w:firstLineChars="200"/>
        <w:rPr>
          <w:rFonts w:ascii="仿宋_GB2312" w:hAnsi="仿宋_GB2312" w:cs="仿宋_GB2312"/>
          <w:sz w:val="32"/>
          <w:szCs w:val="32"/>
        </w:rPr>
      </w:pPr>
      <w:r>
        <w:rPr>
          <w:rFonts w:hint="eastAsia" w:ascii="仿宋_GB2312" w:hAnsi="仿宋_GB2312" w:cs="仿宋_GB2312"/>
          <w:sz w:val="32"/>
          <w:szCs w:val="32"/>
        </w:rPr>
        <w:t>在执行评价工作过程中，绩效评价小组详细审查项目涉及金额</w:t>
      </w:r>
      <w:r>
        <w:rPr>
          <w:rFonts w:hint="eastAsia" w:ascii="仿宋_GB2312" w:hAnsi="仿宋_GB2312" w:cs="仿宋_GB2312"/>
          <w:sz w:val="32"/>
          <w:szCs w:val="32"/>
          <w:lang w:val="en-US" w:eastAsia="zh-CN"/>
        </w:rPr>
        <w:t>310</w:t>
      </w:r>
      <w:r>
        <w:rPr>
          <w:rFonts w:hint="eastAsia" w:ascii="仿宋_GB2312" w:hAnsi="仿宋_GB2312" w:cs="仿宋_GB2312"/>
          <w:sz w:val="32"/>
          <w:szCs w:val="32"/>
        </w:rPr>
        <w:t>万元，占全部项目支出的100%，并进行实地查看，实地查看结果和资料审查结果无差异。</w:t>
      </w:r>
    </w:p>
    <w:p>
      <w:pPr>
        <w:spacing w:line="540" w:lineRule="exact"/>
        <w:ind w:firstLine="600"/>
        <w:rPr>
          <w:rFonts w:hint="eastAsia" w:ascii="仿宋_GB2312" w:hAnsi="仿宋_GB2312" w:cs="仿宋_GB2312"/>
          <w:szCs w:val="32"/>
        </w:rPr>
      </w:pPr>
    </w:p>
    <w:p>
      <w:pPr>
        <w:spacing w:line="540" w:lineRule="exact"/>
        <w:ind w:firstLine="600"/>
        <w:rPr>
          <w:rFonts w:hint="eastAsia" w:ascii="仿宋_GB2312" w:hAnsi="仿宋_GB2312" w:cs="仿宋_GB2312"/>
          <w:szCs w:val="32"/>
        </w:rPr>
      </w:pPr>
      <w:r>
        <w:rPr>
          <w:rFonts w:hint="eastAsia" w:ascii="黑体" w:hAnsi="黑体" w:eastAsia="黑体" w:cs="黑体"/>
          <w:szCs w:val="32"/>
        </w:rPr>
        <w:t>三、综合评价情况及评价结论</w:t>
      </w:r>
      <w:r>
        <w:rPr>
          <w:rFonts w:hint="eastAsia" w:ascii="仿宋_GB2312" w:hAnsi="仿宋_GB2312" w:cs="仿宋_GB2312"/>
          <w:szCs w:val="32"/>
        </w:rPr>
        <w:t>（附相关评分表）</w:t>
      </w:r>
    </w:p>
    <w:p>
      <w:pPr>
        <w:pStyle w:val="3"/>
        <w:spacing w:line="560" w:lineRule="exact"/>
        <w:ind w:right="35" w:rightChars="11" w:firstLine="630" w:firstLineChars="196"/>
        <w:rPr>
          <w:rFonts w:ascii="仿宋_GB2312" w:hAnsi="仿宋_GB2312" w:eastAsia="仿宋_GB2312" w:cs="仿宋_GB2312"/>
          <w:bCs/>
          <w:kern w:val="0"/>
          <w:sz w:val="32"/>
          <w:szCs w:val="32"/>
        </w:rPr>
      </w:pPr>
      <w:r>
        <w:rPr>
          <w:rFonts w:hint="eastAsia" w:ascii="楷体" w:hAnsi="楷体" w:eastAsia="楷体" w:cs="楷体"/>
          <w:b/>
          <w:kern w:val="0"/>
          <w:sz w:val="32"/>
          <w:szCs w:val="32"/>
        </w:rPr>
        <w:t>（一）综合评价情况</w:t>
      </w:r>
    </w:p>
    <w:p>
      <w:pPr>
        <w:spacing w:line="600" w:lineRule="exact"/>
        <w:ind w:firstLine="640" w:firstLineChars="200"/>
        <w:rPr>
          <w:rFonts w:hint="eastAsia" w:ascii="仿宋_GB2312" w:hAnsi="仿宋_GB2312" w:cs="仿宋_GB2312"/>
          <w:bCs/>
          <w:kern w:val="0"/>
          <w:sz w:val="32"/>
          <w:szCs w:val="32"/>
        </w:rPr>
      </w:pPr>
      <w:r>
        <w:rPr>
          <w:rFonts w:hint="default" w:ascii="仿宋_GB2312" w:hAnsi="仿宋_GB2312" w:cs="仿宋_GB2312"/>
          <w:bCs/>
          <w:kern w:val="0"/>
          <w:sz w:val="32"/>
          <w:szCs w:val="32"/>
          <w:lang w:val="en-US" w:eastAsia="zh-CN"/>
        </w:rPr>
        <w:t>2021年度商贸流通业和外向型经济发展专项资金</w:t>
      </w:r>
      <w:r>
        <w:rPr>
          <w:rFonts w:hint="eastAsia" w:ascii="仿宋_GB2312" w:hAnsi="仿宋_GB2312" w:cs="仿宋_GB2312"/>
          <w:bCs/>
          <w:kern w:val="0"/>
          <w:sz w:val="32"/>
          <w:szCs w:val="32"/>
        </w:rPr>
        <w:t>项目的实施，加快了我县发展商贸流通服务业，促进消费快速增长。商务流通专项经费项目立项依据充分，绩效目标设置合理明确，资金筹措机制明确；项目管理规范，制度健全，资金使用基本规范，能把考核结果运用到实际工作中；各项指标均达到年度目标值，项目产出完成情况良好；群众满意度高。</w:t>
      </w:r>
    </w:p>
    <w:p>
      <w:pPr>
        <w:pStyle w:val="3"/>
        <w:spacing w:line="560" w:lineRule="exact"/>
        <w:ind w:right="35" w:rightChars="11" w:firstLine="643"/>
        <w:rPr>
          <w:rFonts w:ascii="仿宋_GB2312" w:hAnsi="仿宋_GB2312" w:eastAsia="仿宋_GB2312" w:cs="仿宋_GB2312"/>
          <w:bCs/>
          <w:kern w:val="0"/>
          <w:sz w:val="32"/>
          <w:szCs w:val="32"/>
        </w:rPr>
      </w:pPr>
      <w:r>
        <w:rPr>
          <w:rFonts w:hint="eastAsia" w:ascii="楷体" w:hAnsi="楷体" w:eastAsia="楷体" w:cs="楷体"/>
          <w:b/>
          <w:kern w:val="0"/>
          <w:sz w:val="32"/>
          <w:szCs w:val="32"/>
        </w:rPr>
        <w:t>（二）评价结论</w:t>
      </w:r>
    </w:p>
    <w:p>
      <w:pPr>
        <w:tabs>
          <w:tab w:val="left" w:pos="500"/>
        </w:tabs>
        <w:spacing w:line="560" w:lineRule="exact"/>
        <w:ind w:firstLine="640" w:firstLineChars="200"/>
        <w:rPr>
          <w:rFonts w:hint="eastAsia" w:ascii="仿宋_GB2312" w:hAnsi="仿宋_GB2312" w:cs="仿宋_GB2312"/>
          <w:bCs/>
          <w:kern w:val="0"/>
          <w:sz w:val="32"/>
          <w:szCs w:val="32"/>
        </w:rPr>
      </w:pPr>
      <w:r>
        <w:rPr>
          <w:rFonts w:hint="eastAsia" w:ascii="仿宋_GB2312" w:hAnsi="仿宋_GB2312" w:cs="仿宋_GB2312"/>
          <w:bCs/>
          <w:kern w:val="0"/>
          <w:sz w:val="32"/>
          <w:szCs w:val="32"/>
        </w:rPr>
        <w:t>本次绩效评价结果为优，综合评分为100分。</w:t>
      </w:r>
    </w:p>
    <w:tbl>
      <w:tblPr>
        <w:tblStyle w:val="5"/>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76"/>
        <w:gridCol w:w="482"/>
        <w:gridCol w:w="925"/>
        <w:gridCol w:w="934"/>
        <w:gridCol w:w="934"/>
        <w:gridCol w:w="691"/>
        <w:gridCol w:w="672"/>
        <w:gridCol w:w="1102"/>
        <w:gridCol w:w="497"/>
        <w:gridCol w:w="836"/>
        <w:gridCol w:w="6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0" w:type="auto"/>
            <w:gridSpan w:val="11"/>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 xml:space="preserve">       项目支出绩效自评表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0" w:type="auto"/>
            <w:gridSpan w:val="11"/>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0" w:type="auto"/>
            <w:tcBorders>
              <w:top w:val="nil"/>
              <w:left w:val="nil"/>
              <w:bottom w:val="single" w:color="000000" w:sz="4" w:space="0"/>
              <w:right w:val="nil"/>
            </w:tcBorders>
            <w:shd w:val="clear" w:color="auto" w:fill="auto"/>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nil"/>
            </w:tcBorders>
            <w:shd w:val="clear" w:color="auto" w:fill="auto"/>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nil"/>
            </w:tcBorders>
            <w:shd w:val="clear" w:color="auto" w:fill="auto"/>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nil"/>
            </w:tcBorders>
            <w:shd w:val="clear" w:color="auto" w:fill="auto"/>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nil"/>
            </w:tcBorders>
            <w:shd w:val="clear" w:color="auto" w:fill="auto"/>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nil"/>
            </w:tcBorders>
            <w:shd w:val="clear" w:color="auto" w:fill="auto"/>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nil"/>
            </w:tcBorders>
            <w:shd w:val="clear" w:color="auto" w:fill="auto"/>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nil"/>
            </w:tcBorders>
            <w:shd w:val="clear" w:color="auto" w:fill="auto"/>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nil"/>
            </w:tcBorders>
            <w:shd w:val="clear" w:color="auto" w:fill="auto"/>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nil"/>
            </w:tcBorders>
            <w:shd w:val="clear" w:color="auto" w:fill="auto"/>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nil"/>
            </w:tcBorders>
            <w:shd w:val="clear" w:color="auto" w:fill="auto"/>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0" w:type="auto"/>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2021年度商贸流通业和外向型经济发展专项资金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主管部门</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161-五河县商务局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实施单位</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161001-五河县商务局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0" w:hRule="atLeast"/>
        </w:trPr>
        <w:tc>
          <w:tcPr>
            <w:tcW w:w="0" w:type="auto"/>
            <w:gridSpan w:val="3"/>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项目资金                    （万元）</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年初预算数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全年预算数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全年执行数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分值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0" w:hRule="atLeast"/>
        </w:trPr>
        <w:tc>
          <w:tcPr>
            <w:tcW w:w="0" w:type="auto"/>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年度资金总额：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0" w:hRule="atLeast"/>
        </w:trPr>
        <w:tc>
          <w:tcPr>
            <w:tcW w:w="0" w:type="auto"/>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其中：本年财政拨款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0" w:hRule="atLeast"/>
        </w:trPr>
        <w:tc>
          <w:tcPr>
            <w:tcW w:w="0" w:type="auto"/>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上年结转资金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0" w:hRule="atLeast"/>
        </w:trPr>
        <w:tc>
          <w:tcPr>
            <w:tcW w:w="0" w:type="auto"/>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0" w:type="auto"/>
            <w:gridSpan w:val="2"/>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其他资金</w:t>
            </w:r>
          </w:p>
        </w:tc>
        <w:tc>
          <w:tcPr>
            <w:tcW w:w="0" w:type="auto"/>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0" w:type="auto"/>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0" w:type="auto"/>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年度总体目标</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预期目标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u w:val="none"/>
              </w:rPr>
            </w:pP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加快现代服务业高质量发展</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加快现代服务业高质量发展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绩效指标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二级指标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实际完成值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分值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产出指标(50分)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项目支持企业数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质量指标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严格按照规定程序项目扶持</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明显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达成预期指标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时效指标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是否持续促进企业发展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达成预期指标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项目总成本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≤310万元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效益指标(30分)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经济效益指标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是否持续促进企业发展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明显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达成预期指标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社会效益指标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是否持续促进企业发展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明显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达成预期指标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可持续影响指标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是否持续促进企业发展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达成预期指标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生态效益指标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项目群众满意度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0" w:type="auto"/>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总分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bl>
    <w:p>
      <w:pPr>
        <w:tabs>
          <w:tab w:val="left" w:pos="500"/>
        </w:tabs>
        <w:spacing w:line="560" w:lineRule="exact"/>
        <w:ind w:firstLine="640" w:firstLineChars="200"/>
        <w:rPr>
          <w:rFonts w:hint="eastAsia" w:ascii="仿宋_GB2312" w:hAnsi="仿宋_GB2312" w:cs="仿宋_GB2312"/>
          <w:bCs/>
          <w:kern w:val="0"/>
          <w:sz w:val="32"/>
          <w:szCs w:val="32"/>
        </w:rPr>
      </w:pPr>
    </w:p>
    <w:p>
      <w:pPr>
        <w:spacing w:line="540" w:lineRule="exact"/>
        <w:ind w:firstLine="600"/>
        <w:rPr>
          <w:rFonts w:ascii="黑体" w:hAnsi="黑体" w:eastAsia="黑体" w:cs="黑体"/>
          <w:szCs w:val="32"/>
        </w:rPr>
      </w:pPr>
      <w:r>
        <w:rPr>
          <w:rFonts w:hint="eastAsia" w:ascii="黑体" w:hAnsi="黑体" w:eastAsia="黑体" w:cs="黑体"/>
          <w:szCs w:val="32"/>
        </w:rPr>
        <w:t>四、绩效评价指标分析</w:t>
      </w:r>
      <w:r>
        <w:rPr>
          <w:rFonts w:hint="eastAsia" w:ascii="仿宋_GB2312" w:hAnsi="黑体" w:cs="黑体"/>
          <w:szCs w:val="32"/>
        </w:rPr>
        <w:t>（可附表进行分析）</w:t>
      </w:r>
    </w:p>
    <w:p>
      <w:pPr>
        <w:spacing w:line="540" w:lineRule="exact"/>
        <w:ind w:firstLine="600"/>
        <w:outlineLvl w:val="0"/>
        <w:rPr>
          <w:rFonts w:ascii="仿宋_GB2312" w:hAnsi="仿宋_GB2312" w:cs="仿宋_GB2312"/>
          <w:szCs w:val="32"/>
        </w:rPr>
      </w:pPr>
      <w:r>
        <w:rPr>
          <w:rFonts w:hint="eastAsia" w:ascii="仿宋_GB2312" w:hAnsi="仿宋_GB2312" w:cs="仿宋_GB2312"/>
          <w:szCs w:val="32"/>
        </w:rPr>
        <w:t>（一）项目决策情况。</w:t>
      </w:r>
    </w:p>
    <w:p>
      <w:pPr>
        <w:spacing w:line="540" w:lineRule="exact"/>
        <w:ind w:firstLine="600"/>
        <w:outlineLvl w:val="0"/>
        <w:rPr>
          <w:rFonts w:ascii="仿宋_GB2312" w:hAnsi="仿宋_GB2312" w:cs="仿宋_GB2312"/>
          <w:szCs w:val="32"/>
        </w:rPr>
      </w:pPr>
      <w:r>
        <w:rPr>
          <w:rFonts w:hint="eastAsia" w:ascii="仿宋_GB2312" w:hAnsi="仿宋_GB2312" w:cs="仿宋_GB2312"/>
          <w:szCs w:val="32"/>
        </w:rPr>
        <w:t>（二）项目过程情况。</w:t>
      </w:r>
    </w:p>
    <w:p>
      <w:pPr>
        <w:spacing w:line="540" w:lineRule="exact"/>
        <w:ind w:firstLine="600"/>
        <w:outlineLvl w:val="0"/>
        <w:rPr>
          <w:rFonts w:ascii="仿宋_GB2312" w:hAnsi="仿宋_GB2312" w:cs="仿宋_GB2312"/>
          <w:szCs w:val="32"/>
        </w:rPr>
      </w:pPr>
      <w:r>
        <w:rPr>
          <w:rFonts w:hint="eastAsia" w:ascii="仿宋_GB2312" w:hAnsi="仿宋_GB2312" w:cs="仿宋_GB2312"/>
          <w:szCs w:val="32"/>
        </w:rPr>
        <w:t>（三）项目产出情况。</w:t>
      </w:r>
    </w:p>
    <w:p>
      <w:pPr>
        <w:spacing w:line="540" w:lineRule="exact"/>
        <w:ind w:firstLine="600"/>
        <w:outlineLvl w:val="0"/>
        <w:rPr>
          <w:rFonts w:ascii="仿宋_GB2312" w:hAnsi="仿宋_GB2312" w:cs="仿宋_GB2312"/>
          <w:szCs w:val="32"/>
        </w:rPr>
      </w:pPr>
      <w:r>
        <w:rPr>
          <w:rFonts w:hint="eastAsia" w:ascii="仿宋_GB2312" w:hAnsi="仿宋_GB2312" w:cs="仿宋_GB2312"/>
          <w:szCs w:val="32"/>
        </w:rPr>
        <w:t>（四）项目效益情况。</w:t>
      </w:r>
    </w:p>
    <w:p>
      <w:pPr>
        <w:spacing w:line="540" w:lineRule="exact"/>
        <w:ind w:firstLine="600"/>
        <w:rPr>
          <w:rFonts w:hint="eastAsia" w:ascii="黑体" w:hAnsi="黑体" w:eastAsia="黑体" w:cs="黑体"/>
          <w:szCs w:val="32"/>
        </w:rPr>
      </w:pPr>
      <w:r>
        <w:rPr>
          <w:rFonts w:hint="eastAsia" w:ascii="黑体" w:hAnsi="黑体" w:eastAsia="黑体" w:cs="黑体"/>
          <w:szCs w:val="32"/>
        </w:rPr>
        <w:t>五、主要经验及做法</w:t>
      </w:r>
    </w:p>
    <w:p>
      <w:pPr>
        <w:tabs>
          <w:tab w:val="left" w:pos="500"/>
        </w:tabs>
        <w:spacing w:line="560" w:lineRule="exact"/>
        <w:ind w:firstLine="645"/>
        <w:rPr>
          <w:rFonts w:ascii="仿宋_GB2312" w:hAnsi="仿宋_GB2312" w:cs="仿宋_GB2312"/>
          <w:sz w:val="32"/>
          <w:szCs w:val="32"/>
        </w:rPr>
      </w:pPr>
      <w:r>
        <w:rPr>
          <w:rFonts w:hint="eastAsia" w:ascii="仿宋_GB2312" w:hAnsi="仿宋_GB2312" w:cs="仿宋_GB2312"/>
          <w:sz w:val="32"/>
          <w:szCs w:val="32"/>
        </w:rPr>
        <w:t>（一）稳外贸优化发展。一是壮大外贸经营主体。二是加强国际市场开拓。引导企业线上线下融合发展，充分利用线上线下展会开拓国际市场。。三是推进外贸优进优出加快发展跨境电商。</w:t>
      </w:r>
    </w:p>
    <w:p>
      <w:pPr>
        <w:tabs>
          <w:tab w:val="left" w:pos="500"/>
        </w:tabs>
        <w:spacing w:line="560" w:lineRule="exact"/>
        <w:ind w:firstLine="645"/>
        <w:rPr>
          <w:rFonts w:ascii="仿宋_GB2312" w:hAnsi="仿宋_GB2312" w:cs="仿宋_GB2312"/>
          <w:sz w:val="32"/>
          <w:szCs w:val="32"/>
        </w:rPr>
      </w:pPr>
      <w:r>
        <w:rPr>
          <w:rFonts w:hint="eastAsia" w:ascii="仿宋_GB2312" w:hAnsi="仿宋_GB2312" w:cs="仿宋_GB2312"/>
          <w:sz w:val="32"/>
          <w:szCs w:val="32"/>
        </w:rPr>
        <w:t>（二）稳外资高质增长。一是扩大利用外资规模。围绕我县主导产业，推动各地加大产业链招商力度.二是强化外资服务保障。三是融入自贸区联动发展。高水平推进202</w:t>
      </w:r>
      <w:r>
        <w:rPr>
          <w:rFonts w:hint="eastAsia" w:ascii="仿宋_GB2312" w:hAnsi="仿宋_GB2312" w:cs="仿宋_GB2312"/>
          <w:sz w:val="32"/>
          <w:szCs w:val="32"/>
          <w:lang w:val="en-US" w:eastAsia="zh-CN"/>
        </w:rPr>
        <w:t>3</w:t>
      </w:r>
      <w:r>
        <w:rPr>
          <w:rFonts w:hint="eastAsia" w:ascii="仿宋_GB2312" w:hAnsi="仿宋_GB2312" w:cs="仿宋_GB2312"/>
          <w:sz w:val="32"/>
          <w:szCs w:val="32"/>
        </w:rPr>
        <w:t>年大会邀商工作，高标准遴选重点项目，形成一批产业层次高、发展潜力大、带动能力强的签约项目。</w:t>
      </w:r>
    </w:p>
    <w:p>
      <w:pPr>
        <w:tabs>
          <w:tab w:val="left" w:pos="500"/>
        </w:tabs>
        <w:spacing w:line="560" w:lineRule="exact"/>
        <w:ind w:firstLine="645"/>
        <w:rPr>
          <w:rFonts w:ascii="仿宋_GB2312" w:hAnsi="仿宋_GB2312" w:cs="仿宋_GB2312"/>
          <w:sz w:val="32"/>
          <w:szCs w:val="32"/>
        </w:rPr>
      </w:pPr>
      <w:r>
        <w:rPr>
          <w:rFonts w:hint="eastAsia" w:ascii="仿宋_GB2312" w:hAnsi="仿宋_GB2312" w:cs="仿宋_GB2312"/>
          <w:sz w:val="32"/>
          <w:szCs w:val="32"/>
        </w:rPr>
        <w:t>（三）促消费扩容提质。一是深挖消费潜力。二是搭建消费平台。三是完善市场体系。继续加强商贸主体纳限申报工作，</w:t>
      </w:r>
      <w:r>
        <w:rPr>
          <w:rFonts w:hint="eastAsia" w:ascii="仿宋_GB2312" w:hAnsi="仿宋_GB2312" w:cs="仿宋_GB2312"/>
          <w:sz w:val="32"/>
          <w:szCs w:val="32"/>
          <w:lang w:eastAsia="zh-CN"/>
        </w:rPr>
        <w:t>着力增加</w:t>
      </w:r>
      <w:r>
        <w:rPr>
          <w:rFonts w:hint="eastAsia" w:ascii="仿宋_GB2312" w:hAnsi="仿宋_GB2312" w:cs="仿宋_GB2312"/>
          <w:sz w:val="32"/>
          <w:szCs w:val="32"/>
        </w:rPr>
        <w:t>限上企业</w:t>
      </w:r>
      <w:r>
        <w:rPr>
          <w:rFonts w:hint="eastAsia" w:ascii="仿宋_GB2312" w:hAnsi="仿宋_GB2312" w:cs="仿宋_GB2312"/>
          <w:sz w:val="32"/>
          <w:szCs w:val="32"/>
          <w:lang w:eastAsia="zh-CN"/>
        </w:rPr>
        <w:t>数量。</w:t>
      </w:r>
      <w:r>
        <w:rPr>
          <w:rFonts w:hint="eastAsia" w:ascii="仿宋_GB2312" w:hAnsi="仿宋_GB2312" w:cs="仿宋_GB2312"/>
          <w:sz w:val="32"/>
          <w:szCs w:val="32"/>
        </w:rPr>
        <w:t>五是推进内外一体。探索培育内外贸一体化跨境电商平台和企业。六是强化安全监管。强化食品安全监管，督促餐饮企业落实“一汤一公勺”、“一菜一公筷”。加强行业监管规范成品油市场，合理规划成品油零售网点布局。抓好市场保供，强化市场监测，保障生活必需品市场供应稳定。</w:t>
      </w:r>
    </w:p>
    <w:p>
      <w:pPr>
        <w:tabs>
          <w:tab w:val="left" w:pos="500"/>
        </w:tabs>
        <w:spacing w:line="560" w:lineRule="exact"/>
        <w:ind w:firstLine="645"/>
        <w:rPr>
          <w:rFonts w:ascii="仿宋_GB2312" w:hAnsi="仿宋_GB2312" w:cs="仿宋_GB2312"/>
          <w:sz w:val="32"/>
          <w:szCs w:val="32"/>
        </w:rPr>
      </w:pPr>
      <w:r>
        <w:rPr>
          <w:rFonts w:hint="eastAsia" w:ascii="仿宋_GB2312" w:hAnsi="仿宋_GB2312" w:cs="仿宋_GB2312"/>
          <w:sz w:val="32"/>
          <w:szCs w:val="32"/>
        </w:rPr>
        <w:t>（四）提升电商质量效益。一是加强电商经营主体培育。二是强化电商公共服务。三是完善物流体系。整合商贸物流快递企业统仓共配。四是扩大电商直播销售。加强直播电商基地和市级电商直播中心建设，规范现在直播中心运营。五是打造</w:t>
      </w:r>
      <w:r>
        <w:rPr>
          <w:rFonts w:hint="eastAsia" w:ascii="仿宋_GB2312" w:hAnsi="仿宋_GB2312" w:cs="仿宋_GB2312"/>
          <w:sz w:val="32"/>
          <w:szCs w:val="32"/>
          <w:lang w:eastAsia="zh-CN"/>
        </w:rPr>
        <w:t>“五河螃蟹”“五水珍鲜”等</w:t>
      </w:r>
      <w:r>
        <w:rPr>
          <w:rFonts w:hint="eastAsia" w:ascii="仿宋_GB2312" w:hAnsi="仿宋_GB2312" w:cs="仿宋_GB2312"/>
          <w:sz w:val="32"/>
          <w:szCs w:val="32"/>
        </w:rPr>
        <w:t>区域公共品牌。</w:t>
      </w:r>
    </w:p>
    <w:p>
      <w:pPr>
        <w:spacing w:line="540" w:lineRule="exact"/>
        <w:ind w:firstLine="600"/>
        <w:rPr>
          <w:rFonts w:hint="eastAsia" w:ascii="仿宋_GB2312" w:hAnsi="仿宋_GB2312" w:cs="仿宋_GB2312"/>
          <w:sz w:val="32"/>
          <w:szCs w:val="32"/>
        </w:rPr>
      </w:pPr>
      <w:r>
        <w:rPr>
          <w:rFonts w:hint="eastAsia" w:ascii="仿宋_GB2312" w:hAnsi="仿宋_GB2312" w:cs="仿宋_GB2312"/>
          <w:sz w:val="32"/>
          <w:szCs w:val="32"/>
        </w:rPr>
        <w:t xml:space="preserve">（五）提升支持保障能力。一是加强党对商务工作的全面领导。二是针对自身和发展中的短板弱项，积极开展剖析整改，不断增强责任担当意识，全力打通阻碍发展的痛点、难点。三是加强规划引领。四是强化正风肃纪净化政治生态。五是着力优化营商环境。继续加大包保服务力度，继续实施企业联系制度和重点企业包保服务。六是慎终如始做好常态化疫情防控工作。持续抓紧抓实抓细外防输入、内防反弹工作。充分发挥物防组联防联控机制作用，进一步明确职责，加强协同，形成合力，有效阻断疫情传播链条，巩固防控成果。继续管理好防疫物资出口，严格质量监管。坚持以人民为中心，抓好疫情防控市场保供、安全保障等各项工作。  </w:t>
      </w:r>
    </w:p>
    <w:p>
      <w:pPr>
        <w:spacing w:line="540" w:lineRule="exact"/>
        <w:ind w:firstLine="600"/>
        <w:rPr>
          <w:rFonts w:hint="eastAsia" w:ascii="黑体" w:hAnsi="黑体" w:eastAsia="黑体" w:cs="黑体"/>
          <w:szCs w:val="32"/>
        </w:rPr>
      </w:pPr>
      <w:r>
        <w:rPr>
          <w:rFonts w:hint="eastAsia" w:ascii="黑体" w:hAnsi="黑体" w:eastAsia="黑体" w:cs="黑体"/>
          <w:szCs w:val="32"/>
        </w:rPr>
        <w:t>六、存在问题及原因分析</w:t>
      </w:r>
    </w:p>
    <w:p>
      <w:pPr>
        <w:spacing w:line="600" w:lineRule="exact"/>
        <w:ind w:firstLine="640" w:firstLineChars="200"/>
        <w:rPr>
          <w:rFonts w:ascii="仿宋_GB2312" w:hAnsi="仿宋_GB2312" w:cs="仿宋_GB2312"/>
          <w:sz w:val="32"/>
          <w:szCs w:val="32"/>
        </w:rPr>
      </w:pPr>
      <w:r>
        <w:rPr>
          <w:rFonts w:hint="eastAsia" w:ascii="仿宋_GB2312" w:hAnsi="仿宋_GB2312" w:cs="仿宋_GB2312"/>
          <w:sz w:val="32"/>
          <w:szCs w:val="32"/>
          <w:lang w:eastAsia="zh-CN"/>
        </w:rPr>
        <w:t>存在问题：</w:t>
      </w:r>
      <w:r>
        <w:rPr>
          <w:rFonts w:hint="eastAsia" w:ascii="仿宋_GB2312" w:hAnsi="仿宋_GB2312" w:cs="仿宋_GB2312"/>
          <w:sz w:val="32"/>
          <w:szCs w:val="32"/>
        </w:rPr>
        <w:t>绩效目标设立需进一步细化。项目单位虽然设立了项目资金绩效目标，</w:t>
      </w:r>
      <w:r>
        <w:rPr>
          <w:rFonts w:hint="eastAsia" w:ascii="仿宋_GB2312" w:hAnsi="仿宋_GB2312" w:cs="仿宋_GB2312"/>
          <w:sz w:val="32"/>
          <w:szCs w:val="32"/>
          <w:lang w:eastAsia="zh-CN"/>
        </w:rPr>
        <w:t>但存在细化不足，实施较为笼统不清晰的情况</w:t>
      </w:r>
      <w:r>
        <w:rPr>
          <w:rFonts w:hint="eastAsia" w:ascii="仿宋_GB2312" w:hAnsi="仿宋_GB2312" w:cs="仿宋_GB2312"/>
          <w:sz w:val="32"/>
          <w:szCs w:val="32"/>
        </w:rPr>
        <w:t>。</w:t>
      </w:r>
    </w:p>
    <w:p>
      <w:pPr>
        <w:spacing w:line="600" w:lineRule="exact"/>
        <w:ind w:firstLine="640" w:firstLineChars="200"/>
        <w:rPr>
          <w:rFonts w:ascii="??_GB2312" w:hAnsi="??_GB2312" w:cs="??_GB2312" w:eastAsiaTheme="minorEastAsia"/>
          <w:sz w:val="32"/>
          <w:szCs w:val="32"/>
        </w:rPr>
      </w:pPr>
      <w:r>
        <w:rPr>
          <w:rFonts w:hint="eastAsia" w:ascii="仿宋_GB2312" w:hAnsi="仿宋_GB2312" w:cs="仿宋_GB2312"/>
          <w:sz w:val="32"/>
          <w:szCs w:val="32"/>
        </w:rPr>
        <w:t>原因分析：财务人员业务水平</w:t>
      </w:r>
      <w:r>
        <w:rPr>
          <w:rFonts w:hint="eastAsia" w:ascii="仿宋_GB2312" w:hAnsi="仿宋_GB2312" w:cs="仿宋_GB2312"/>
          <w:sz w:val="32"/>
          <w:szCs w:val="32"/>
          <w:lang w:eastAsia="zh-CN"/>
        </w:rPr>
        <w:t>不足，</w:t>
      </w:r>
      <w:r>
        <w:rPr>
          <w:rFonts w:hint="eastAsia" w:ascii="仿宋_GB2312" w:hAnsi="仿宋_GB2312" w:cs="仿宋_GB2312"/>
          <w:sz w:val="32"/>
          <w:szCs w:val="32"/>
        </w:rPr>
        <w:t>没有跟上预算绩效评价体系的发展需要，今后应多参</w:t>
      </w:r>
      <w:r>
        <w:rPr>
          <w:rFonts w:hint="eastAsia" w:ascii="仿宋_GB2312" w:hAnsi="仿宋_GB2312" w:cs="仿宋_GB2312"/>
          <w:sz w:val="32"/>
          <w:szCs w:val="32"/>
          <w:lang w:eastAsia="zh-CN"/>
        </w:rPr>
        <w:t>与</w:t>
      </w:r>
      <w:r>
        <w:rPr>
          <w:rFonts w:hint="eastAsia" w:ascii="仿宋_GB2312" w:hAnsi="仿宋_GB2312" w:cs="仿宋_GB2312"/>
          <w:sz w:val="32"/>
          <w:szCs w:val="32"/>
        </w:rPr>
        <w:t>培训学习。</w:t>
      </w:r>
    </w:p>
    <w:p>
      <w:pPr>
        <w:spacing w:line="540" w:lineRule="exact"/>
        <w:ind w:firstLine="600"/>
        <w:rPr>
          <w:rFonts w:hint="eastAsia" w:ascii="黑体" w:hAnsi="黑体" w:eastAsia="黑体" w:cs="黑体"/>
          <w:szCs w:val="32"/>
        </w:rPr>
      </w:pPr>
    </w:p>
    <w:p>
      <w:pPr>
        <w:spacing w:line="540" w:lineRule="exact"/>
        <w:ind w:firstLine="601"/>
        <w:rPr>
          <w:rFonts w:ascii="黑体" w:hAnsi="黑体" w:eastAsia="黑体" w:cs="黑体"/>
          <w:szCs w:val="32"/>
        </w:rPr>
      </w:pPr>
      <w:r>
        <w:rPr>
          <w:rFonts w:hint="eastAsia" w:ascii="黑体" w:hAnsi="黑体" w:eastAsia="黑体" w:cs="黑体"/>
          <w:szCs w:val="32"/>
        </w:rPr>
        <w:t>七、有关建议</w:t>
      </w:r>
    </w:p>
    <w:p>
      <w:pPr>
        <w:tabs>
          <w:tab w:val="left" w:pos="500"/>
        </w:tabs>
        <w:spacing w:line="560" w:lineRule="exact"/>
        <w:ind w:firstLine="640" w:firstLineChars="200"/>
        <w:rPr>
          <w:rFonts w:ascii="仿宋_GB2312" w:hAnsi="仿宋_GB2312" w:cs="仿宋_GB2312"/>
          <w:sz w:val="32"/>
          <w:szCs w:val="32"/>
        </w:rPr>
      </w:pPr>
      <w:r>
        <w:rPr>
          <w:rFonts w:hint="eastAsia" w:ascii="仿宋_GB2312" w:hAnsi="仿宋_GB2312" w:cs="仿宋_GB2312"/>
          <w:sz w:val="32"/>
          <w:szCs w:val="32"/>
        </w:rPr>
        <w:t>1、加强单位预算编制工作，根据项目需要，做到预算合理，不留缺口，不留空项。</w:t>
      </w:r>
    </w:p>
    <w:p>
      <w:pPr>
        <w:tabs>
          <w:tab w:val="left" w:pos="500"/>
        </w:tabs>
        <w:spacing w:line="560" w:lineRule="exact"/>
        <w:ind w:firstLine="640" w:firstLineChars="200"/>
        <w:rPr>
          <w:rFonts w:ascii="仿宋_GB2312" w:hAnsi="仿宋_GB2312" w:cs="仿宋_GB2312"/>
          <w:sz w:val="32"/>
          <w:szCs w:val="32"/>
        </w:rPr>
      </w:pPr>
      <w:r>
        <w:rPr>
          <w:rFonts w:hint="eastAsia" w:ascii="仿宋_GB2312" w:hAnsi="仿宋_GB2312" w:cs="仿宋_GB2312"/>
          <w:sz w:val="32"/>
          <w:szCs w:val="32"/>
        </w:rPr>
        <w:t>2、加强业务培训。部门整体绩效评价是一项长期工作，专业性强，工作量大，建议加强业务培训，组织开展单位部门之间经验交流，切实推进绩效评价工作。</w:t>
      </w:r>
    </w:p>
    <w:p>
      <w:pPr>
        <w:tabs>
          <w:tab w:val="left" w:pos="500"/>
        </w:tabs>
        <w:spacing w:line="560" w:lineRule="exact"/>
        <w:ind w:firstLine="640" w:firstLineChars="200"/>
        <w:rPr>
          <w:rFonts w:ascii="??_GB2312" w:hAnsi="??_GB2312" w:cs="??_GB2312" w:eastAsiaTheme="minorEastAsia"/>
          <w:sz w:val="32"/>
          <w:szCs w:val="32"/>
        </w:rPr>
      </w:pPr>
      <w:r>
        <w:rPr>
          <w:rFonts w:hint="eastAsia" w:ascii="仿宋_GB2312" w:hAnsi="仿宋_GB2312" w:cs="仿宋_GB2312"/>
          <w:sz w:val="32"/>
          <w:szCs w:val="32"/>
        </w:rPr>
        <w:t>3、定期做好预算支出分析，做好部门预算评价工作。</w:t>
      </w:r>
    </w:p>
    <w:p>
      <w:pPr>
        <w:spacing w:line="540" w:lineRule="exact"/>
        <w:ind w:firstLine="601"/>
        <w:rPr>
          <w:rFonts w:hint="eastAsia" w:ascii="仿宋_GB2312" w:hAnsi="黑体" w:cs="黑体"/>
          <w:szCs w:val="32"/>
        </w:rPr>
      </w:pPr>
    </w:p>
    <w:p>
      <w:pPr>
        <w:spacing w:line="540" w:lineRule="exact"/>
        <w:ind w:firstLine="601"/>
        <w:rPr>
          <w:rFonts w:hint="eastAsia" w:ascii="黑体" w:hAnsi="黑体" w:eastAsia="仿宋_GB2312"/>
          <w:color w:val="000000" w:themeColor="text1"/>
          <w:sz w:val="28"/>
          <w:szCs w:val="28"/>
          <w:lang w:val="en-US" w:eastAsia="zh-CN"/>
          <w14:textFill>
            <w14:solidFill>
              <w14:schemeClr w14:val="tx1"/>
            </w14:solidFill>
          </w14:textFill>
        </w:rPr>
        <w:sectPr>
          <w:pgSz w:w="11906" w:h="16838"/>
          <w:pgMar w:top="1440" w:right="1800" w:bottom="1440" w:left="1800" w:header="851" w:footer="992" w:gutter="0"/>
          <w:cols w:space="425" w:num="1"/>
          <w:docGrid w:type="lines" w:linePitch="312" w:charSpace="0"/>
        </w:sectPr>
      </w:pPr>
      <w:r>
        <w:rPr>
          <w:rFonts w:hint="eastAsia" w:ascii="仿宋_GB2312" w:hAnsi="黑体" w:cs="黑体"/>
          <w:szCs w:val="32"/>
        </w:rPr>
        <w:t>附件</w:t>
      </w:r>
      <w:r>
        <w:rPr>
          <w:rFonts w:hint="eastAsia" w:ascii="仿宋_GB2312" w:hAnsi="黑体" w:cs="黑体"/>
          <w:szCs w:val="32"/>
          <w:lang w:eastAsia="zh-CN"/>
        </w:rPr>
        <w:t>：</w:t>
      </w:r>
      <w:r>
        <w:rPr>
          <w:rFonts w:hint="eastAsia" w:ascii="仿宋_GB2312" w:hAnsi="黑体" w:cs="黑体"/>
          <w:szCs w:val="32"/>
        </w:rPr>
        <w:t>项目支出绩效评价</w:t>
      </w:r>
      <w:r>
        <w:rPr>
          <w:rFonts w:hint="eastAsia" w:ascii="仿宋_GB2312" w:hAnsi="黑体" w:cs="黑体"/>
          <w:szCs w:val="32"/>
          <w:lang w:eastAsia="zh-CN"/>
        </w:rPr>
        <w:t>指标体系框架</w:t>
      </w:r>
    </w:p>
    <w:p>
      <w:pPr>
        <w:rPr>
          <w:rFonts w:hint="default" w:ascii="黑体" w:hAnsi="黑体" w:eastAsia="黑体"/>
          <w:color w:val="000000" w:themeColor="text1"/>
          <w:sz w:val="28"/>
          <w:szCs w:val="28"/>
          <w:lang w:val="en-US" w:eastAsia="zh-CN"/>
          <w14:textFill>
            <w14:solidFill>
              <w14:schemeClr w14:val="tx1"/>
            </w14:solidFill>
          </w14:textFill>
        </w:rPr>
      </w:pPr>
      <w:r>
        <w:rPr>
          <w:rFonts w:hint="eastAsia" w:ascii="黑体" w:hAnsi="黑体" w:eastAsia="黑体"/>
          <w:color w:val="000000" w:themeColor="text1"/>
          <w:sz w:val="28"/>
          <w:szCs w:val="28"/>
          <w:lang w:eastAsia="zh-CN"/>
          <w14:textFill>
            <w14:solidFill>
              <w14:schemeClr w14:val="tx1"/>
            </w14:solidFill>
          </w14:textFill>
        </w:rPr>
        <w:t>附件</w:t>
      </w:r>
    </w:p>
    <w:p>
      <w:pPr>
        <w:pStyle w:val="2"/>
        <w:spacing w:before="0" w:after="0" w:line="240" w:lineRule="auto"/>
        <w:jc w:val="center"/>
        <w:rPr>
          <w:rFonts w:ascii="方正小标宋简体" w:hAnsi="宋体" w:eastAsia="方正小标宋简体" w:cs="宋体"/>
          <w:b w:val="0"/>
          <w:bCs/>
          <w:color w:val="000000" w:themeColor="text1"/>
          <w:sz w:val="44"/>
          <w:szCs w:val="44"/>
          <w14:textFill>
            <w14:solidFill>
              <w14:schemeClr w14:val="tx1"/>
            </w14:solidFill>
          </w14:textFill>
        </w:rPr>
      </w:pPr>
      <w:r>
        <w:rPr>
          <w:rFonts w:hint="eastAsia" w:ascii="方正小标宋简体" w:hAnsi="宋体" w:eastAsia="方正小标宋简体" w:cs="宋体"/>
          <w:b w:val="0"/>
          <w:bCs/>
          <w:color w:val="000000" w:themeColor="text1"/>
          <w:sz w:val="44"/>
          <w:szCs w:val="44"/>
          <w14:textFill>
            <w14:solidFill>
              <w14:schemeClr w14:val="tx1"/>
            </w14:solidFill>
          </w14:textFill>
        </w:rPr>
        <w:t>项目支出绩效评价指标体系框架</w:t>
      </w:r>
    </w:p>
    <w:p>
      <w:pPr>
        <w:pStyle w:val="2"/>
        <w:spacing w:before="0" w:after="0" w:line="240" w:lineRule="auto"/>
        <w:jc w:val="center"/>
        <w:rPr>
          <w:bCs/>
          <w:color w:val="000000" w:themeColor="text1"/>
          <w14:textFill>
            <w14:solidFill>
              <w14:schemeClr w14:val="tx1"/>
            </w14:solidFill>
          </w14:textFill>
        </w:rPr>
      </w:pPr>
    </w:p>
    <w:tbl>
      <w:tblPr>
        <w:tblStyle w:val="5"/>
        <w:tblW w:w="13601"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1199"/>
        <w:gridCol w:w="1411"/>
        <w:gridCol w:w="2789"/>
        <w:gridCol w:w="734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6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b/>
                <w:bCs/>
                <w:color w:val="000000" w:themeColor="text1"/>
                <w:kern w:val="0"/>
                <w:sz w:val="22"/>
                <w:szCs w:val="22"/>
                <w14:textFill>
                  <w14:solidFill>
                    <w14:schemeClr w14:val="tx1"/>
                  </w14:solidFill>
                </w14:textFill>
              </w:rPr>
            </w:pPr>
            <w:r>
              <w:rPr>
                <w:rFonts w:hint="eastAsia" w:ascii="宋体" w:hAnsi="宋体" w:eastAsia="宋体" w:cs="宋体"/>
                <w:b/>
                <w:bCs/>
                <w:color w:val="000000" w:themeColor="text1"/>
                <w:kern w:val="0"/>
                <w:sz w:val="22"/>
                <w:szCs w:val="22"/>
                <w14:textFill>
                  <w14:solidFill>
                    <w14:schemeClr w14:val="tx1"/>
                  </w14:solidFill>
                </w14:textFill>
              </w:rPr>
              <w:t>一级指标</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b/>
                <w:bCs/>
                <w:color w:val="000000" w:themeColor="text1"/>
                <w:kern w:val="0"/>
                <w:sz w:val="22"/>
                <w:szCs w:val="22"/>
                <w14:textFill>
                  <w14:solidFill>
                    <w14:schemeClr w14:val="tx1"/>
                  </w14:solidFill>
                </w14:textFill>
              </w:rPr>
            </w:pPr>
            <w:r>
              <w:rPr>
                <w:rFonts w:hint="eastAsia" w:ascii="宋体" w:hAnsi="宋体" w:eastAsia="宋体" w:cs="宋体"/>
                <w:b/>
                <w:bCs/>
                <w:color w:val="000000" w:themeColor="text1"/>
                <w:kern w:val="0"/>
                <w:sz w:val="22"/>
                <w:szCs w:val="22"/>
                <w14:textFill>
                  <w14:solidFill>
                    <w14:schemeClr w14:val="tx1"/>
                  </w14:solidFill>
                </w14:textFill>
              </w:rPr>
              <w:t>二级指标</w:t>
            </w:r>
          </w:p>
        </w:tc>
        <w:tc>
          <w:tcPr>
            <w:tcW w:w="141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b/>
                <w:bCs/>
                <w:color w:val="000000" w:themeColor="text1"/>
                <w:kern w:val="0"/>
                <w:sz w:val="22"/>
                <w:szCs w:val="22"/>
                <w14:textFill>
                  <w14:solidFill>
                    <w14:schemeClr w14:val="tx1"/>
                  </w14:solidFill>
                </w14:textFill>
              </w:rPr>
            </w:pPr>
            <w:r>
              <w:rPr>
                <w:rFonts w:hint="eastAsia" w:ascii="宋体" w:hAnsi="宋体" w:eastAsia="宋体" w:cs="宋体"/>
                <w:b/>
                <w:bCs/>
                <w:color w:val="000000" w:themeColor="text1"/>
                <w:kern w:val="0"/>
                <w:sz w:val="22"/>
                <w:szCs w:val="22"/>
                <w14:textFill>
                  <w14:solidFill>
                    <w14:schemeClr w14:val="tx1"/>
                  </w14:solidFill>
                </w14:textFill>
              </w:rPr>
              <w:t>三级指标</w:t>
            </w:r>
          </w:p>
        </w:tc>
        <w:tc>
          <w:tcPr>
            <w:tcW w:w="278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b/>
                <w:bCs/>
                <w:color w:val="000000" w:themeColor="text1"/>
                <w:kern w:val="0"/>
                <w:sz w:val="22"/>
                <w:szCs w:val="22"/>
                <w14:textFill>
                  <w14:solidFill>
                    <w14:schemeClr w14:val="tx1"/>
                  </w14:solidFill>
                </w14:textFill>
              </w:rPr>
            </w:pPr>
            <w:r>
              <w:rPr>
                <w:rFonts w:hint="eastAsia" w:ascii="宋体" w:hAnsi="宋体" w:eastAsia="宋体" w:cs="宋体"/>
                <w:b/>
                <w:bCs/>
                <w:color w:val="000000" w:themeColor="text1"/>
                <w:kern w:val="0"/>
                <w:sz w:val="22"/>
                <w:szCs w:val="22"/>
                <w14:textFill>
                  <w14:solidFill>
                    <w14:schemeClr w14:val="tx1"/>
                  </w14:solidFill>
                </w14:textFill>
              </w:rPr>
              <w:t>指标解释</w:t>
            </w:r>
          </w:p>
        </w:tc>
        <w:tc>
          <w:tcPr>
            <w:tcW w:w="734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b/>
                <w:bCs/>
                <w:color w:val="000000" w:themeColor="text1"/>
                <w:kern w:val="0"/>
                <w:sz w:val="22"/>
                <w:szCs w:val="22"/>
                <w14:textFill>
                  <w14:solidFill>
                    <w14:schemeClr w14:val="tx1"/>
                  </w14:solidFill>
                </w14:textFill>
              </w:rPr>
            </w:pPr>
            <w:r>
              <w:rPr>
                <w:rFonts w:hint="eastAsia" w:ascii="宋体" w:hAnsi="宋体" w:eastAsia="宋体" w:cs="宋体"/>
                <w:b/>
                <w:bCs/>
                <w:color w:val="000000" w:themeColor="text1"/>
                <w:kern w:val="0"/>
                <w:sz w:val="22"/>
                <w:szCs w:val="22"/>
                <w14:textFill>
                  <w14:solidFill>
                    <w14:schemeClr w14:val="tx1"/>
                  </w14:solidFill>
                </w14:textFill>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决策　</w:t>
            </w:r>
          </w:p>
          <w:p>
            <w:pPr>
              <w:widowControl/>
              <w:spacing w:line="0" w:lineRule="atLeast"/>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　</w:t>
            </w:r>
          </w:p>
          <w:p>
            <w:pPr>
              <w:spacing w:line="0" w:lineRule="atLeast"/>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　</w:t>
            </w: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项目立项　</w:t>
            </w:r>
          </w:p>
        </w:tc>
        <w:tc>
          <w:tcPr>
            <w:tcW w:w="141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立项依据</w:t>
            </w:r>
          </w:p>
          <w:p>
            <w:pPr>
              <w:widowControl/>
              <w:spacing w:line="0" w:lineRule="atLeast"/>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充分性</w:t>
            </w:r>
          </w:p>
        </w:tc>
        <w:tc>
          <w:tcPr>
            <w:tcW w:w="278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项目立项（主体</w:t>
            </w:r>
            <w:r>
              <w:rPr>
                <w:rFonts w:ascii="宋体" w:hAnsi="宋体" w:eastAsia="宋体" w:cs="宋体"/>
                <w:color w:val="000000" w:themeColor="text1"/>
                <w:kern w:val="0"/>
                <w:sz w:val="22"/>
                <w:szCs w:val="22"/>
                <w14:textFill>
                  <w14:solidFill>
                    <w14:schemeClr w14:val="tx1"/>
                  </w14:solidFill>
                </w14:textFill>
              </w:rPr>
              <w:t>是</w:t>
            </w:r>
            <w:r>
              <w:rPr>
                <w:rFonts w:hint="eastAsia" w:ascii="宋体" w:hAnsi="宋体" w:eastAsia="宋体" w:cs="宋体"/>
                <w:color w:val="000000" w:themeColor="text1"/>
                <w:kern w:val="0"/>
                <w:sz w:val="22"/>
                <w:szCs w:val="22"/>
                <w14:textFill>
                  <w14:solidFill>
                    <w14:schemeClr w14:val="tx1"/>
                  </w14:solidFill>
                </w14:textFill>
              </w:rPr>
              <w:t>指</w:t>
            </w:r>
            <w:r>
              <w:rPr>
                <w:rFonts w:ascii="宋体" w:hAnsi="宋体" w:eastAsia="宋体" w:cs="宋体"/>
                <w:color w:val="000000" w:themeColor="text1"/>
                <w:kern w:val="0"/>
                <w:sz w:val="22"/>
                <w:szCs w:val="22"/>
                <w14:textFill>
                  <w14:solidFill>
                    <w14:schemeClr w14:val="tx1"/>
                  </w14:solidFill>
                </w14:textFill>
              </w:rPr>
              <w:t>项目主管部门</w:t>
            </w:r>
            <w:r>
              <w:rPr>
                <w:rFonts w:hint="eastAsia" w:ascii="宋体" w:hAnsi="宋体" w:eastAsia="宋体" w:cs="宋体"/>
                <w:color w:val="000000" w:themeColor="text1"/>
                <w:kern w:val="0"/>
                <w:sz w:val="22"/>
                <w:szCs w:val="22"/>
                <w14:textFill>
                  <w14:solidFill>
                    <w14:schemeClr w14:val="tx1"/>
                  </w14:solidFill>
                </w14:textFill>
              </w:rPr>
              <w:t>，</w:t>
            </w:r>
            <w:r>
              <w:rPr>
                <w:rFonts w:ascii="宋体" w:hAnsi="宋体" w:eastAsia="宋体" w:cs="宋体"/>
                <w:color w:val="000000" w:themeColor="text1"/>
                <w:kern w:val="0"/>
                <w:sz w:val="22"/>
                <w:szCs w:val="22"/>
                <w14:textFill>
                  <w14:solidFill>
                    <w14:schemeClr w14:val="tx1"/>
                  </w14:solidFill>
                </w14:textFill>
              </w:rPr>
              <w:t>下同</w:t>
            </w:r>
            <w:r>
              <w:rPr>
                <w:rFonts w:hint="eastAsia" w:ascii="宋体" w:hAnsi="宋体" w:eastAsia="宋体" w:cs="宋体"/>
                <w:color w:val="000000" w:themeColor="text1"/>
                <w:kern w:val="0"/>
                <w:sz w:val="22"/>
                <w:szCs w:val="22"/>
                <w14:textFill>
                  <w14:solidFill>
                    <w14:schemeClr w14:val="tx1"/>
                  </w14:solidFill>
                </w14:textFill>
              </w:rPr>
              <w:t>）是否符合法律法规、相关政策、发展规划以及部门职责，用以反映和考核项目立项依据情况。</w:t>
            </w:r>
          </w:p>
        </w:tc>
        <w:tc>
          <w:tcPr>
            <w:tcW w:w="734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left"/>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评价要点：</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①项目立项是否符合国家法律法规、国民经济发展规划和相关政策；</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②项目立项是否符合行业发展规划和政策要求；</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③项目立项是否与部门职责范围相符，属于部门履职所需；</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④项目是否属于公共财政支持范围，是否符合市</w:t>
            </w:r>
            <w:r>
              <w:rPr>
                <w:rFonts w:ascii="宋体" w:hAnsi="宋体" w:eastAsia="宋体" w:cs="宋体"/>
                <w:color w:val="000000" w:themeColor="text1"/>
                <w:kern w:val="0"/>
                <w:sz w:val="22"/>
                <w:szCs w:val="22"/>
                <w14:textFill>
                  <w14:solidFill>
                    <w14:schemeClr w14:val="tx1"/>
                  </w14:solidFill>
                </w14:textFill>
              </w:rPr>
              <w:t>与</w:t>
            </w:r>
            <w:r>
              <w:rPr>
                <w:rFonts w:hint="eastAsia" w:ascii="宋体" w:hAnsi="宋体" w:eastAsia="宋体" w:cs="宋体"/>
                <w:color w:val="000000" w:themeColor="text1"/>
                <w:kern w:val="0"/>
                <w:sz w:val="22"/>
                <w:szCs w:val="22"/>
                <w14:textFill>
                  <w14:solidFill>
                    <w14:schemeClr w14:val="tx1"/>
                  </w14:solidFill>
                </w14:textFill>
              </w:rPr>
              <w:t>县区财政事权与支出责任相适应原则；</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宋体" w:hAnsi="宋体" w:eastAsia="宋体" w:cs="宋体"/>
                <w:color w:val="000000" w:themeColor="text1"/>
                <w:kern w:val="0"/>
                <w:sz w:val="22"/>
                <w:szCs w:val="22"/>
                <w14:textFill>
                  <w14:solidFill>
                    <w14:schemeClr w14:val="tx1"/>
                  </w14:solidFill>
                </w14:textFill>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宋体" w:hAnsi="宋体" w:eastAsia="宋体" w:cs="宋体"/>
                <w:color w:val="000000" w:themeColor="text1"/>
                <w:kern w:val="0"/>
                <w:sz w:val="22"/>
                <w:szCs w:val="22"/>
                <w14:textFill>
                  <w14:solidFill>
                    <w14:schemeClr w14:val="tx1"/>
                  </w14:solidFill>
                </w14:textFill>
              </w:rPr>
            </w:pPr>
          </w:p>
        </w:tc>
        <w:tc>
          <w:tcPr>
            <w:tcW w:w="141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立项程序</w:t>
            </w:r>
          </w:p>
          <w:p>
            <w:pPr>
              <w:widowControl/>
              <w:spacing w:line="0" w:lineRule="atLeast"/>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规范性</w:t>
            </w:r>
          </w:p>
        </w:tc>
        <w:tc>
          <w:tcPr>
            <w:tcW w:w="278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项目申请、设立过程是否符合相关要求，用以反映和考核项目立项的规范情况。</w:t>
            </w:r>
          </w:p>
        </w:tc>
        <w:tc>
          <w:tcPr>
            <w:tcW w:w="734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left"/>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评价要点：</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①项目是否按照规定的程序申请设立；</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②审批文件、材料是否符合相关要求；</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宋体" w:hAnsi="宋体" w:eastAsia="宋体" w:cs="宋体"/>
                <w:color w:val="000000" w:themeColor="text1"/>
                <w:kern w:val="0"/>
                <w:sz w:val="22"/>
                <w:szCs w:val="22"/>
                <w14:textFill>
                  <w14:solidFill>
                    <w14:schemeClr w14:val="tx1"/>
                  </w14:solidFill>
                </w14:textFill>
              </w:rPr>
            </w:pP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绩效目标　</w:t>
            </w:r>
          </w:p>
        </w:tc>
        <w:tc>
          <w:tcPr>
            <w:tcW w:w="141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绩效目标</w:t>
            </w:r>
          </w:p>
          <w:p>
            <w:pPr>
              <w:widowControl/>
              <w:spacing w:line="0" w:lineRule="atLeast"/>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合理性</w:t>
            </w:r>
          </w:p>
        </w:tc>
        <w:tc>
          <w:tcPr>
            <w:tcW w:w="278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项目所设定的绩效目标是否依据充分，是否符合客观实际，用以反映和考核项目绩效目标与项目实施的相符情况。</w:t>
            </w:r>
          </w:p>
        </w:tc>
        <w:tc>
          <w:tcPr>
            <w:tcW w:w="734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left"/>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评价要点：</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（如未设定预算绩效目标，也可考核其他工作任务目标）</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①项目是否有绩效目标；</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②项目绩效目标与实际工作内容是否具有相关性；</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③项目预期产出效益和效果是否符合正常的业绩水平；</w:t>
            </w:r>
          </w:p>
          <w:p>
            <w:pPr>
              <w:widowControl/>
              <w:spacing w:line="0" w:lineRule="atLeast"/>
              <w:jc w:val="left"/>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决策　</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绩效目标</w:t>
            </w:r>
          </w:p>
        </w:tc>
        <w:tc>
          <w:tcPr>
            <w:tcW w:w="141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绩效指标</w:t>
            </w:r>
          </w:p>
          <w:p>
            <w:pPr>
              <w:widowControl/>
              <w:spacing w:line="0" w:lineRule="atLeast"/>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明确性</w:t>
            </w:r>
          </w:p>
        </w:tc>
        <w:tc>
          <w:tcPr>
            <w:tcW w:w="278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依据绩效目标设定的绩效指标是否清晰、细化、可衡量等，用以反映和考核项目绩效目标的明细化情况。</w:t>
            </w:r>
          </w:p>
        </w:tc>
        <w:tc>
          <w:tcPr>
            <w:tcW w:w="734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评价要点：</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①是否将项目绩效目标细化分解为具体的绩效指标；</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②是否通过清晰、可衡量的指标值予以体现；</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③是否与项目目标任务数或计划数相对应。</w:t>
            </w:r>
            <w:r>
              <w:rPr>
                <w:rFonts w:hint="eastAsia" w:ascii="宋体" w:hAnsi="宋体" w:eastAsia="宋体" w:cs="宋体"/>
                <w:color w:val="000000" w:themeColor="text1"/>
                <w:kern w:val="0"/>
                <w:sz w:val="22"/>
                <w:szCs w:val="22"/>
                <w14:textFill>
                  <w14:solidFill>
                    <w14:schemeClr w14:val="tx1"/>
                  </w14:solidFill>
                </w14:textFill>
              </w:rPr>
              <w:br w:type="textWrapping"/>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宋体" w:hAnsi="宋体" w:eastAsia="宋体" w:cs="宋体"/>
                <w:color w:val="000000" w:themeColor="text1"/>
                <w:kern w:val="0"/>
                <w:sz w:val="22"/>
                <w:szCs w:val="22"/>
                <w14:textFill>
                  <w14:solidFill>
                    <w14:schemeClr w14:val="tx1"/>
                  </w14:solidFill>
                </w14:textFill>
              </w:rPr>
            </w:pP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资金投入</w:t>
            </w:r>
          </w:p>
          <w:p>
            <w:pPr>
              <w:spacing w:line="0" w:lineRule="atLeast"/>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　</w:t>
            </w:r>
          </w:p>
        </w:tc>
        <w:tc>
          <w:tcPr>
            <w:tcW w:w="141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预算编制</w:t>
            </w:r>
          </w:p>
          <w:p>
            <w:pPr>
              <w:widowControl/>
              <w:spacing w:line="0" w:lineRule="atLeast"/>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科学性</w:t>
            </w:r>
          </w:p>
        </w:tc>
        <w:tc>
          <w:tcPr>
            <w:tcW w:w="278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项目预算编制（主体</w:t>
            </w:r>
            <w:r>
              <w:rPr>
                <w:rFonts w:ascii="宋体" w:hAnsi="宋体" w:eastAsia="宋体" w:cs="宋体"/>
                <w:color w:val="000000" w:themeColor="text1"/>
                <w:kern w:val="0"/>
                <w:sz w:val="22"/>
                <w:szCs w:val="22"/>
                <w14:textFill>
                  <w14:solidFill>
                    <w14:schemeClr w14:val="tx1"/>
                  </w14:solidFill>
                </w14:textFill>
              </w:rPr>
              <w:t>是</w:t>
            </w:r>
            <w:r>
              <w:rPr>
                <w:rFonts w:hint="eastAsia" w:ascii="宋体" w:hAnsi="宋体" w:eastAsia="宋体" w:cs="宋体"/>
                <w:color w:val="000000" w:themeColor="text1"/>
                <w:kern w:val="0"/>
                <w:sz w:val="22"/>
                <w:szCs w:val="22"/>
                <w14:textFill>
                  <w14:solidFill>
                    <w14:schemeClr w14:val="tx1"/>
                  </w14:solidFill>
                </w14:textFill>
              </w:rPr>
              <w:t>指</w:t>
            </w:r>
            <w:r>
              <w:rPr>
                <w:rFonts w:ascii="宋体" w:hAnsi="宋体" w:eastAsia="宋体" w:cs="宋体"/>
                <w:color w:val="000000" w:themeColor="text1"/>
                <w:kern w:val="0"/>
                <w:sz w:val="22"/>
                <w:szCs w:val="22"/>
                <w14:textFill>
                  <w14:solidFill>
                    <w14:schemeClr w14:val="tx1"/>
                  </w14:solidFill>
                </w14:textFill>
              </w:rPr>
              <w:t>项目资金管理使用单位，下同</w:t>
            </w:r>
            <w:r>
              <w:rPr>
                <w:rFonts w:hint="eastAsia" w:ascii="宋体" w:hAnsi="宋体" w:eastAsia="宋体" w:cs="宋体"/>
                <w:color w:val="000000" w:themeColor="text1"/>
                <w:kern w:val="0"/>
                <w:sz w:val="22"/>
                <w:szCs w:val="22"/>
                <w14:textFill>
                  <w14:solidFill>
                    <w14:schemeClr w14:val="tx1"/>
                  </w14:solidFill>
                </w14:textFill>
              </w:rPr>
              <w:t>）是否经过科学论证、有明确标准，资金额度与年度目标是否相适应，用以反映和考核项目预算编制的科学性、合理性情况。</w:t>
            </w:r>
          </w:p>
        </w:tc>
        <w:tc>
          <w:tcPr>
            <w:tcW w:w="734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评价要点：</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①预算编制是否经过科学论证；</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②预算内容与项目内容是否匹配；</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③预算额度测算依据是否充分，是否按照标准编制；</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宋体" w:hAnsi="宋体" w:eastAsia="宋体" w:cs="宋体"/>
                <w:color w:val="000000" w:themeColor="text1"/>
                <w:kern w:val="0"/>
                <w:sz w:val="22"/>
                <w:szCs w:val="22"/>
                <w14:textFill>
                  <w14:solidFill>
                    <w14:schemeClr w14:val="tx1"/>
                  </w14:solidFill>
                </w14:textFill>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宋体" w:hAnsi="宋体" w:eastAsia="宋体" w:cs="宋体"/>
                <w:color w:val="000000" w:themeColor="text1"/>
                <w:kern w:val="0"/>
                <w:sz w:val="22"/>
                <w:szCs w:val="22"/>
                <w14:textFill>
                  <w14:solidFill>
                    <w14:schemeClr w14:val="tx1"/>
                  </w14:solidFill>
                </w14:textFill>
              </w:rPr>
            </w:pPr>
          </w:p>
        </w:tc>
        <w:tc>
          <w:tcPr>
            <w:tcW w:w="141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资金分配</w:t>
            </w:r>
          </w:p>
          <w:p>
            <w:pPr>
              <w:widowControl/>
              <w:spacing w:line="0" w:lineRule="atLeast"/>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合理性</w:t>
            </w:r>
          </w:p>
        </w:tc>
        <w:tc>
          <w:tcPr>
            <w:tcW w:w="278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项目预算资金分配是否有测算依据，与补助单位或地方实际是否相适应，用以反映和考核项目预算资金分配的科学性、合理性情况。</w:t>
            </w:r>
          </w:p>
        </w:tc>
        <w:tc>
          <w:tcPr>
            <w:tcW w:w="734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评价要点：</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①预算资金分配依据是否充分；</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②预算资金分配额度是否合理，与项目单位或地方实际是否相适应。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61" w:type="dxa"/>
            <w:vMerge w:val="restart"/>
            <w:tcBorders>
              <w:top w:val="single" w:color="000000" w:sz="8" w:space="0"/>
              <w:left w:val="single" w:color="000000" w:sz="8" w:space="0"/>
              <w:right w:val="single" w:color="000000" w:sz="8" w:space="0"/>
            </w:tcBorders>
            <w:shd w:val="clear" w:color="auto" w:fill="FFFFFF"/>
            <w:vAlign w:val="center"/>
          </w:tcPr>
          <w:p>
            <w:pPr>
              <w:spacing w:line="0" w:lineRule="atLeast"/>
              <w:jc w:val="center"/>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过程</w:t>
            </w:r>
          </w:p>
          <w:p>
            <w:pPr>
              <w:widowControl/>
              <w:spacing w:line="0" w:lineRule="atLeast"/>
              <w:jc w:val="center"/>
              <w:rPr>
                <w:rFonts w:ascii="宋体" w:hAnsi="宋体" w:eastAsia="宋体" w:cs="宋体"/>
                <w:color w:val="000000" w:themeColor="text1"/>
                <w:kern w:val="0"/>
                <w:sz w:val="22"/>
                <w:szCs w:val="22"/>
                <w14:textFill>
                  <w14:solidFill>
                    <w14:schemeClr w14:val="tx1"/>
                  </w14:solidFill>
                </w14:textFill>
              </w:rPr>
            </w:pPr>
          </w:p>
          <w:p>
            <w:pPr>
              <w:widowControl/>
              <w:spacing w:line="0" w:lineRule="atLeast"/>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　</w:t>
            </w:r>
          </w:p>
          <w:p>
            <w:pPr>
              <w:spacing w:line="0" w:lineRule="atLeast"/>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　</w:t>
            </w: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资金管理</w:t>
            </w:r>
          </w:p>
        </w:tc>
        <w:tc>
          <w:tcPr>
            <w:tcW w:w="141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资金到位率</w:t>
            </w:r>
          </w:p>
        </w:tc>
        <w:tc>
          <w:tcPr>
            <w:tcW w:w="278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实际到位资金与预算资金的比率，用以反映和考核资金落实情况对项目实施的总体保障程度。</w:t>
            </w:r>
          </w:p>
        </w:tc>
        <w:tc>
          <w:tcPr>
            <w:tcW w:w="734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资金到位率=（实际到位资金/预算资金）×100%。</w:t>
            </w:r>
          </w:p>
          <w:p>
            <w:pPr>
              <w:widowControl/>
              <w:spacing w:line="0" w:lineRule="atLeast"/>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实际到位资金：一定时期（本年度或项目期）内落实到具体项目的资金。</w:t>
            </w:r>
          </w:p>
          <w:p>
            <w:pPr>
              <w:widowControl/>
              <w:spacing w:line="0" w:lineRule="atLeast"/>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61" w:type="dxa"/>
            <w:vMerge w:val="continue"/>
            <w:tcBorders>
              <w:left w:val="single" w:color="000000" w:sz="8" w:space="0"/>
              <w:right w:val="single" w:color="000000" w:sz="8" w:space="0"/>
            </w:tcBorders>
            <w:vAlign w:val="center"/>
          </w:tcPr>
          <w:p>
            <w:pPr>
              <w:widowControl/>
              <w:jc w:val="left"/>
              <w:rPr>
                <w:rFonts w:ascii="宋体" w:hAnsi="宋体" w:eastAsia="宋体" w:cs="宋体"/>
                <w:color w:val="000000" w:themeColor="text1"/>
                <w:kern w:val="0"/>
                <w:sz w:val="22"/>
                <w:szCs w:val="22"/>
                <w14:textFill>
                  <w14:solidFill>
                    <w14:schemeClr w14:val="tx1"/>
                  </w14:solidFill>
                </w14:textFill>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宋体" w:hAnsi="宋体" w:eastAsia="宋体" w:cs="宋体"/>
                <w:color w:val="000000" w:themeColor="text1"/>
                <w:kern w:val="0"/>
                <w:sz w:val="22"/>
                <w:szCs w:val="22"/>
                <w14:textFill>
                  <w14:solidFill>
                    <w14:schemeClr w14:val="tx1"/>
                  </w14:solidFill>
                </w14:textFill>
              </w:rPr>
            </w:pPr>
          </w:p>
        </w:tc>
        <w:tc>
          <w:tcPr>
            <w:tcW w:w="141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资金</w:t>
            </w:r>
            <w:r>
              <w:rPr>
                <w:rFonts w:ascii="宋体" w:hAnsi="宋体" w:eastAsia="宋体" w:cs="宋体"/>
                <w:color w:val="000000" w:themeColor="text1"/>
                <w:kern w:val="0"/>
                <w:sz w:val="22"/>
                <w:szCs w:val="22"/>
                <w14:textFill>
                  <w14:solidFill>
                    <w14:schemeClr w14:val="tx1"/>
                  </w14:solidFill>
                </w14:textFill>
              </w:rPr>
              <w:t>拨付及时性</w:t>
            </w:r>
          </w:p>
        </w:tc>
        <w:tc>
          <w:tcPr>
            <w:tcW w:w="278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项目资金是否按照依法依规及时拨付，用以反映和考核项目资金</w:t>
            </w:r>
            <w:r>
              <w:rPr>
                <w:rFonts w:ascii="宋体" w:hAnsi="宋体" w:eastAsia="宋体" w:cs="宋体"/>
                <w:color w:val="000000" w:themeColor="text1"/>
                <w:kern w:val="0"/>
                <w:sz w:val="22"/>
                <w:szCs w:val="22"/>
                <w14:textFill>
                  <w14:solidFill>
                    <w14:schemeClr w14:val="tx1"/>
                  </w14:solidFill>
                </w14:textFill>
              </w:rPr>
              <w:t>拨付</w:t>
            </w:r>
            <w:r>
              <w:rPr>
                <w:rFonts w:hint="eastAsia" w:ascii="宋体" w:hAnsi="宋体" w:eastAsia="宋体" w:cs="宋体"/>
                <w:color w:val="000000" w:themeColor="text1"/>
                <w:kern w:val="0"/>
                <w:sz w:val="22"/>
                <w:szCs w:val="22"/>
                <w14:textFill>
                  <w14:solidFill>
                    <w14:schemeClr w14:val="tx1"/>
                  </w14:solidFill>
                </w14:textFill>
              </w:rPr>
              <w:t>时效情况。</w:t>
            </w:r>
          </w:p>
        </w:tc>
        <w:tc>
          <w:tcPr>
            <w:tcW w:w="734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left"/>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项目资金是否按照《</w:t>
            </w:r>
            <w:r>
              <w:rPr>
                <w:rFonts w:ascii="宋体" w:hAnsi="宋体" w:eastAsia="宋体" w:cs="宋体"/>
                <w:color w:val="000000" w:themeColor="text1"/>
                <w:kern w:val="0"/>
                <w:sz w:val="22"/>
                <w:szCs w:val="22"/>
                <w14:textFill>
                  <w14:solidFill>
                    <w14:schemeClr w14:val="tx1"/>
                  </w14:solidFill>
                </w14:textFill>
              </w:rPr>
              <w:t>预算法</w:t>
            </w:r>
            <w:r>
              <w:rPr>
                <w:rFonts w:hint="eastAsia" w:ascii="宋体" w:hAnsi="宋体" w:eastAsia="宋体" w:cs="宋体"/>
                <w:color w:val="000000" w:themeColor="text1"/>
                <w:kern w:val="0"/>
                <w:sz w:val="22"/>
                <w:szCs w:val="22"/>
                <w14:textFill>
                  <w14:solidFill>
                    <w14:schemeClr w14:val="tx1"/>
                  </w14:solidFill>
                </w14:textFill>
              </w:rPr>
              <w:t>》等</w:t>
            </w:r>
            <w:r>
              <w:rPr>
                <w:rFonts w:ascii="宋体" w:hAnsi="宋体" w:eastAsia="宋体" w:cs="宋体"/>
                <w:color w:val="000000" w:themeColor="text1"/>
                <w:kern w:val="0"/>
                <w:sz w:val="22"/>
                <w:szCs w:val="22"/>
                <w14:textFill>
                  <w14:solidFill>
                    <w14:schemeClr w14:val="tx1"/>
                  </w14:solidFill>
                </w14:textFill>
              </w:rPr>
              <w:t>法律法规</w:t>
            </w:r>
            <w:r>
              <w:rPr>
                <w:rFonts w:hint="eastAsia" w:ascii="宋体" w:hAnsi="宋体" w:eastAsia="宋体" w:cs="宋体"/>
                <w:color w:val="000000" w:themeColor="text1"/>
                <w:kern w:val="0"/>
                <w:sz w:val="22"/>
                <w:szCs w:val="22"/>
                <w14:textFill>
                  <w14:solidFill>
                    <w14:schemeClr w14:val="tx1"/>
                  </w14:solidFill>
                </w14:textFill>
              </w:rPr>
              <w:t>规定的期限内</w:t>
            </w:r>
            <w:r>
              <w:rPr>
                <w:rFonts w:ascii="宋体" w:hAnsi="宋体" w:eastAsia="宋体" w:cs="宋体"/>
                <w:color w:val="000000" w:themeColor="text1"/>
                <w:kern w:val="0"/>
                <w:sz w:val="22"/>
                <w:szCs w:val="22"/>
                <w14:textFill>
                  <w14:solidFill>
                    <w14:schemeClr w14:val="tx1"/>
                  </w14:solidFill>
                </w14:textFill>
              </w:rPr>
              <w:t>分配下达，</w:t>
            </w:r>
            <w:r>
              <w:rPr>
                <w:rFonts w:hint="eastAsia" w:ascii="宋体" w:hAnsi="宋体" w:eastAsia="宋体" w:cs="宋体"/>
                <w:color w:val="000000" w:themeColor="text1"/>
                <w:kern w:val="0"/>
                <w:sz w:val="22"/>
                <w:szCs w:val="22"/>
                <w14:textFill>
                  <w14:solidFill>
                    <w14:schemeClr w14:val="tx1"/>
                  </w14:solidFill>
                </w14:textFill>
              </w:rPr>
              <w:t>是否符合</w:t>
            </w:r>
            <w:r>
              <w:rPr>
                <w:rFonts w:ascii="宋体" w:hAnsi="宋体" w:eastAsia="宋体" w:cs="宋体"/>
                <w:color w:val="000000" w:themeColor="text1"/>
                <w:kern w:val="0"/>
                <w:sz w:val="22"/>
                <w:szCs w:val="22"/>
                <w14:textFill>
                  <w14:solidFill>
                    <w14:schemeClr w14:val="tx1"/>
                  </w14:solidFill>
                </w14:textFill>
              </w:rPr>
              <w:t>项目</w:t>
            </w:r>
            <w:r>
              <w:rPr>
                <w:rFonts w:hint="eastAsia" w:ascii="宋体" w:hAnsi="宋体" w:eastAsia="宋体" w:cs="宋体"/>
                <w:color w:val="000000" w:themeColor="text1"/>
                <w:kern w:val="0"/>
                <w:sz w:val="22"/>
                <w:szCs w:val="22"/>
                <w14:textFill>
                  <w14:solidFill>
                    <w14:schemeClr w14:val="tx1"/>
                  </w14:solidFill>
                </w14:textFill>
              </w:rPr>
              <w:t>资金</w:t>
            </w:r>
            <w:r>
              <w:rPr>
                <w:rFonts w:ascii="宋体" w:hAnsi="宋体" w:eastAsia="宋体" w:cs="宋体"/>
                <w:color w:val="000000" w:themeColor="text1"/>
                <w:kern w:val="0"/>
                <w:sz w:val="22"/>
                <w:szCs w:val="22"/>
                <w14:textFill>
                  <w14:solidFill>
                    <w14:schemeClr w14:val="tx1"/>
                  </w14:solidFill>
                </w14:textFill>
              </w:rPr>
              <w:t>管理办法</w:t>
            </w:r>
            <w:r>
              <w:rPr>
                <w:rFonts w:hint="eastAsia" w:ascii="宋体" w:hAnsi="宋体" w:eastAsia="宋体" w:cs="宋体"/>
                <w:color w:val="000000" w:themeColor="text1"/>
                <w:kern w:val="0"/>
                <w:sz w:val="22"/>
                <w:szCs w:val="22"/>
                <w14:textFill>
                  <w14:solidFill>
                    <w14:schemeClr w14:val="tx1"/>
                  </w14:solidFill>
                </w14:textFill>
              </w:rPr>
              <w:t>、</w:t>
            </w:r>
            <w:r>
              <w:rPr>
                <w:rFonts w:ascii="宋体" w:hAnsi="宋体" w:eastAsia="宋体" w:cs="宋体"/>
                <w:color w:val="000000" w:themeColor="text1"/>
                <w:kern w:val="0"/>
                <w:sz w:val="22"/>
                <w:szCs w:val="22"/>
                <w14:textFill>
                  <w14:solidFill>
                    <w14:schemeClr w14:val="tx1"/>
                  </w14:solidFill>
                </w14:textFill>
              </w:rPr>
              <w:t>工作实施方案等明确的时限要求</w:t>
            </w:r>
            <w:r>
              <w:rPr>
                <w:rFonts w:hint="eastAsia" w:ascii="宋体" w:hAnsi="宋体" w:eastAsia="宋体" w:cs="宋体"/>
                <w:color w:val="000000" w:themeColor="text1"/>
                <w:kern w:val="0"/>
                <w:sz w:val="22"/>
                <w:szCs w:val="22"/>
                <w14:textFill>
                  <w14:solidFill>
                    <w14:schemeClr w14:val="tx1"/>
                  </w14:solidFill>
                </w14:textFill>
              </w:rPr>
              <w:t>及时拨付。</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62" w:hRule="atLeast"/>
          <w:jc w:val="center"/>
        </w:trPr>
        <w:tc>
          <w:tcPr>
            <w:tcW w:w="861" w:type="dxa"/>
            <w:vMerge w:val="continue"/>
            <w:tcBorders>
              <w:left w:val="single" w:color="000000" w:sz="8" w:space="0"/>
              <w:right w:val="single" w:color="000000" w:sz="8" w:space="0"/>
            </w:tcBorders>
            <w:shd w:val="clear" w:color="auto" w:fill="FFFFFF"/>
            <w:vAlign w:val="center"/>
          </w:tcPr>
          <w:p>
            <w:pPr>
              <w:spacing w:line="0" w:lineRule="atLeast"/>
              <w:jc w:val="center"/>
              <w:rPr>
                <w:rFonts w:ascii="宋体" w:hAnsi="宋体" w:eastAsia="宋体" w:cs="宋体"/>
                <w:color w:val="000000" w:themeColor="text1"/>
                <w:kern w:val="0"/>
                <w:sz w:val="22"/>
                <w:szCs w:val="22"/>
                <w14:textFill>
                  <w14:solidFill>
                    <w14:schemeClr w14:val="tx1"/>
                  </w14:solidFill>
                </w14:textFill>
              </w:rPr>
            </w:pPr>
          </w:p>
        </w:tc>
        <w:tc>
          <w:tcPr>
            <w:tcW w:w="1199" w:type="dxa"/>
            <w:vMerge w:val="restart"/>
            <w:tcBorders>
              <w:top w:val="single" w:color="000000" w:sz="8" w:space="0"/>
              <w:left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资金</w:t>
            </w:r>
            <w:r>
              <w:rPr>
                <w:rFonts w:ascii="宋体" w:hAnsi="宋体" w:eastAsia="宋体" w:cs="宋体"/>
                <w:color w:val="000000" w:themeColor="text1"/>
                <w:kern w:val="0"/>
                <w:sz w:val="22"/>
                <w:szCs w:val="22"/>
                <w14:textFill>
                  <w14:solidFill>
                    <w14:schemeClr w14:val="tx1"/>
                  </w14:solidFill>
                </w14:textFill>
              </w:rPr>
              <w:t>管理</w:t>
            </w:r>
          </w:p>
          <w:p>
            <w:pPr>
              <w:spacing w:line="0" w:lineRule="atLeast"/>
              <w:jc w:val="center"/>
              <w:rPr>
                <w:rFonts w:ascii="宋体" w:hAnsi="宋体" w:eastAsia="宋体" w:cs="宋体"/>
                <w:color w:val="000000" w:themeColor="text1"/>
                <w:kern w:val="0"/>
                <w:sz w:val="22"/>
                <w:szCs w:val="22"/>
                <w14:textFill>
                  <w14:solidFill>
                    <w14:schemeClr w14:val="tx1"/>
                  </w14:solidFill>
                </w14:textFill>
              </w:rPr>
            </w:pPr>
          </w:p>
        </w:tc>
        <w:tc>
          <w:tcPr>
            <w:tcW w:w="141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预算执行率</w:t>
            </w:r>
          </w:p>
        </w:tc>
        <w:tc>
          <w:tcPr>
            <w:tcW w:w="278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项目预算资金是否按照计划执行，用以反映或考核项目预算执行情况。</w:t>
            </w:r>
          </w:p>
        </w:tc>
        <w:tc>
          <w:tcPr>
            <w:tcW w:w="734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预算执行率=（实际支出资金/实际到位资金）×100%。</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5" w:hRule="atLeast"/>
          <w:jc w:val="center"/>
        </w:trPr>
        <w:tc>
          <w:tcPr>
            <w:tcW w:w="861" w:type="dxa"/>
            <w:vMerge w:val="continue"/>
            <w:tcBorders>
              <w:left w:val="single" w:color="000000" w:sz="8" w:space="0"/>
              <w:right w:val="single" w:color="000000" w:sz="8" w:space="0"/>
            </w:tcBorders>
            <w:shd w:val="clear" w:color="auto" w:fill="FFFFFF"/>
            <w:vAlign w:val="center"/>
          </w:tcPr>
          <w:p>
            <w:pPr>
              <w:spacing w:line="0" w:lineRule="atLeast"/>
              <w:jc w:val="center"/>
              <w:rPr>
                <w:rFonts w:ascii="宋体" w:hAnsi="宋体" w:eastAsia="宋体" w:cs="宋体"/>
                <w:color w:val="000000" w:themeColor="text1"/>
                <w:kern w:val="0"/>
                <w:sz w:val="22"/>
                <w:szCs w:val="22"/>
                <w14:textFill>
                  <w14:solidFill>
                    <w14:schemeClr w14:val="tx1"/>
                  </w14:solidFill>
                </w14:textFill>
              </w:rPr>
            </w:pPr>
          </w:p>
        </w:tc>
        <w:tc>
          <w:tcPr>
            <w:tcW w:w="1199" w:type="dxa"/>
            <w:vMerge w:val="continue"/>
            <w:tcBorders>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14:textFill>
                  <w14:solidFill>
                    <w14:schemeClr w14:val="tx1"/>
                  </w14:solidFill>
                </w14:textFill>
              </w:rPr>
            </w:pPr>
          </w:p>
        </w:tc>
        <w:tc>
          <w:tcPr>
            <w:tcW w:w="141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资金使用</w:t>
            </w:r>
          </w:p>
          <w:p>
            <w:pPr>
              <w:widowControl/>
              <w:spacing w:line="0" w:lineRule="atLeast"/>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合规性</w:t>
            </w:r>
          </w:p>
        </w:tc>
        <w:tc>
          <w:tcPr>
            <w:tcW w:w="278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项目资金使用是否符合相关的财务管理制度规定，用以反映和考核项目资金的规范运行情况。</w:t>
            </w:r>
          </w:p>
        </w:tc>
        <w:tc>
          <w:tcPr>
            <w:tcW w:w="734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评价要点：</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①是否符合国家财经法规和财务管理制度以及有关专项资金管理办法的规定；</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②资金的拨付是否有完整的审批程序和手续；</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③是否符合项目预算批复或合同规定的用途；</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861" w:type="dxa"/>
            <w:vMerge w:val="continue"/>
            <w:tcBorders>
              <w:left w:val="single" w:color="000000" w:sz="8" w:space="0"/>
              <w:right w:val="single" w:color="000000" w:sz="8" w:space="0"/>
            </w:tcBorders>
            <w:vAlign w:val="center"/>
          </w:tcPr>
          <w:p>
            <w:pPr>
              <w:widowControl/>
              <w:jc w:val="left"/>
              <w:rPr>
                <w:rFonts w:ascii="宋体" w:hAnsi="宋体" w:eastAsia="宋体" w:cs="宋体"/>
                <w:color w:val="000000" w:themeColor="text1"/>
                <w:kern w:val="0"/>
                <w:sz w:val="22"/>
                <w:szCs w:val="22"/>
                <w14:textFill>
                  <w14:solidFill>
                    <w14:schemeClr w14:val="tx1"/>
                  </w14:solidFill>
                </w14:textFill>
              </w:rPr>
            </w:pP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组织实施</w:t>
            </w:r>
          </w:p>
          <w:p>
            <w:pPr>
              <w:spacing w:line="0" w:lineRule="atLeast"/>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　</w:t>
            </w:r>
          </w:p>
        </w:tc>
        <w:tc>
          <w:tcPr>
            <w:tcW w:w="141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管理制度</w:t>
            </w:r>
          </w:p>
          <w:p>
            <w:pPr>
              <w:widowControl/>
              <w:spacing w:line="0" w:lineRule="atLeast"/>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健全性</w:t>
            </w:r>
          </w:p>
        </w:tc>
        <w:tc>
          <w:tcPr>
            <w:tcW w:w="278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项目实施单位的财务和业务管理制度是否健全，用以反映和考核财务和业务管理制度对项目顺利实施的保障情况。</w:t>
            </w:r>
          </w:p>
        </w:tc>
        <w:tc>
          <w:tcPr>
            <w:tcW w:w="734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评价要点：</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①是否已制定或具有相应的财务和业务管理制度；</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32" w:hRule="atLeast"/>
          <w:jc w:val="center"/>
        </w:trPr>
        <w:tc>
          <w:tcPr>
            <w:tcW w:w="861" w:type="dxa"/>
            <w:vMerge w:val="continue"/>
            <w:tcBorders>
              <w:left w:val="single" w:color="000000" w:sz="8" w:space="0"/>
              <w:bottom w:val="single" w:color="000000" w:sz="8" w:space="0"/>
              <w:right w:val="single" w:color="000000" w:sz="8" w:space="0"/>
            </w:tcBorders>
            <w:vAlign w:val="center"/>
          </w:tcPr>
          <w:p>
            <w:pPr>
              <w:widowControl/>
              <w:jc w:val="left"/>
              <w:rPr>
                <w:rFonts w:ascii="宋体" w:hAnsi="宋体" w:eastAsia="宋体" w:cs="宋体"/>
                <w:color w:val="000000" w:themeColor="text1"/>
                <w:kern w:val="0"/>
                <w:sz w:val="22"/>
                <w:szCs w:val="22"/>
                <w14:textFill>
                  <w14:solidFill>
                    <w14:schemeClr w14:val="tx1"/>
                  </w14:solidFill>
                </w14:textFill>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宋体" w:hAnsi="宋体" w:eastAsia="宋体" w:cs="宋体"/>
                <w:color w:val="000000" w:themeColor="text1"/>
                <w:kern w:val="0"/>
                <w:sz w:val="22"/>
                <w:szCs w:val="22"/>
                <w14:textFill>
                  <w14:solidFill>
                    <w14:schemeClr w14:val="tx1"/>
                  </w14:solidFill>
                </w14:textFill>
              </w:rPr>
            </w:pPr>
          </w:p>
        </w:tc>
        <w:tc>
          <w:tcPr>
            <w:tcW w:w="141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制度执行</w:t>
            </w:r>
          </w:p>
          <w:p>
            <w:pPr>
              <w:widowControl/>
              <w:spacing w:line="0" w:lineRule="atLeast"/>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有效性</w:t>
            </w:r>
          </w:p>
        </w:tc>
        <w:tc>
          <w:tcPr>
            <w:tcW w:w="278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项目实施是否符合相关管理规定，用以反映和考核相关管理制度的有效执行情况。</w:t>
            </w:r>
          </w:p>
        </w:tc>
        <w:tc>
          <w:tcPr>
            <w:tcW w:w="734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评价要点：</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①是否遵守相关法律法规和相关管理规定；</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②项目调整及支出调整手续是否完备；</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③项目合同书、验收报告、技术鉴定等资料是否齐全并及时归档；</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61" w:type="dxa"/>
            <w:vMerge w:val="restart"/>
            <w:tcBorders>
              <w:top w:val="single" w:color="000000" w:sz="8" w:space="0"/>
              <w:left w:val="single" w:color="000000" w:sz="8" w:space="0"/>
              <w:right w:val="single" w:color="000000" w:sz="8" w:space="0"/>
            </w:tcBorders>
            <w:shd w:val="clear" w:color="auto" w:fill="FFFFFF"/>
            <w:vAlign w:val="center"/>
          </w:tcPr>
          <w:p>
            <w:pPr>
              <w:widowControl/>
              <w:spacing w:line="0" w:lineRule="atLeast"/>
              <w:jc w:val="center"/>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产出</w:t>
            </w:r>
          </w:p>
          <w:p>
            <w:pPr>
              <w:widowControl/>
              <w:spacing w:line="0" w:lineRule="atLeast"/>
              <w:jc w:val="center"/>
              <w:rPr>
                <w:rFonts w:ascii="宋体" w:hAnsi="宋体" w:eastAsia="宋体" w:cs="宋体"/>
                <w:color w:val="000000" w:themeColor="text1"/>
                <w:kern w:val="0"/>
                <w:sz w:val="22"/>
                <w:szCs w:val="22"/>
                <w14:textFill>
                  <w14:solidFill>
                    <w14:schemeClr w14:val="tx1"/>
                  </w14:solidFill>
                </w14:textFill>
              </w:rPr>
            </w:pP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产出数量</w:t>
            </w:r>
          </w:p>
        </w:tc>
        <w:tc>
          <w:tcPr>
            <w:tcW w:w="141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实际完成率</w:t>
            </w:r>
          </w:p>
        </w:tc>
        <w:tc>
          <w:tcPr>
            <w:tcW w:w="278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项目实施的实际产出数与计划产出数的比率，用以反映和考核项目产出数量目标的实现程度。</w:t>
            </w:r>
          </w:p>
        </w:tc>
        <w:tc>
          <w:tcPr>
            <w:tcW w:w="734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实际完成率=（实际产出数/计划产出数）×100%。</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实际产出数：一定时期（本年度或项目期）内项目实际产出的产品或提供的服务数量。</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计划产出数：项目绩效目标确定的在一定时期（本年度或项目期）内计划产出的产品或提供的服务数量。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61" w:type="dxa"/>
            <w:vMerge w:val="continue"/>
            <w:tcBorders>
              <w:left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14:textFill>
                  <w14:solidFill>
                    <w14:schemeClr w14:val="tx1"/>
                  </w14:solidFill>
                </w14:textFill>
              </w:rPr>
            </w:pP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产出质量</w:t>
            </w:r>
          </w:p>
        </w:tc>
        <w:tc>
          <w:tcPr>
            <w:tcW w:w="141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质量达标率</w:t>
            </w:r>
          </w:p>
        </w:tc>
        <w:tc>
          <w:tcPr>
            <w:tcW w:w="278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项目完成的质量达标产出数与实际产出数的比率，用以反映和考核项目产出质量目标的实现程度。</w:t>
            </w:r>
          </w:p>
        </w:tc>
        <w:tc>
          <w:tcPr>
            <w:tcW w:w="734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质量达标率=（质量达标产出数/实际产出数）×100%。</w:t>
            </w:r>
          </w:p>
          <w:p>
            <w:pPr>
              <w:widowControl/>
              <w:spacing w:line="0" w:lineRule="atLeast"/>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tcBorders>
              <w:left w:val="single" w:color="000000" w:sz="8" w:space="0"/>
              <w:right w:val="single" w:color="000000" w:sz="8" w:space="0"/>
            </w:tcBorders>
            <w:vAlign w:val="center"/>
          </w:tcPr>
          <w:p>
            <w:pPr>
              <w:widowControl/>
              <w:jc w:val="left"/>
              <w:rPr>
                <w:rFonts w:ascii="宋体" w:hAnsi="宋体" w:eastAsia="宋体" w:cs="宋体"/>
                <w:color w:val="000000" w:themeColor="text1"/>
                <w:kern w:val="0"/>
                <w:sz w:val="22"/>
                <w:szCs w:val="22"/>
                <w14:textFill>
                  <w14:solidFill>
                    <w14:schemeClr w14:val="tx1"/>
                  </w14:solidFill>
                </w14:textFill>
              </w:rPr>
            </w:pP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0" w:lineRule="atLeast"/>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产出时效</w:t>
            </w:r>
          </w:p>
        </w:tc>
        <w:tc>
          <w:tcPr>
            <w:tcW w:w="141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完成及时性</w:t>
            </w:r>
          </w:p>
        </w:tc>
        <w:tc>
          <w:tcPr>
            <w:tcW w:w="278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项目实际完成时间与计划完成时间的比较，用以反映和考核项目产出时效目标的实现程度。</w:t>
            </w:r>
          </w:p>
        </w:tc>
        <w:tc>
          <w:tcPr>
            <w:tcW w:w="734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实际完成时间：项目实施单位完成该项目实际所耗用的时间。</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计划完成时间：按照项目实施计划或相关规定完成该项目所需的时间。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tcBorders>
              <w:left w:val="single" w:color="000000" w:sz="8" w:space="0"/>
              <w:bottom w:val="single" w:color="000000" w:sz="8" w:space="0"/>
              <w:right w:val="single" w:color="000000" w:sz="8" w:space="0"/>
            </w:tcBorders>
            <w:vAlign w:val="center"/>
          </w:tcPr>
          <w:p>
            <w:pPr>
              <w:widowControl/>
              <w:jc w:val="left"/>
              <w:rPr>
                <w:rFonts w:ascii="宋体" w:hAnsi="宋体" w:eastAsia="宋体" w:cs="宋体"/>
                <w:color w:val="000000" w:themeColor="text1"/>
                <w:kern w:val="0"/>
                <w:sz w:val="22"/>
                <w:szCs w:val="22"/>
                <w14:textFill>
                  <w14:solidFill>
                    <w14:schemeClr w14:val="tx1"/>
                  </w14:solidFill>
                </w14:textFill>
              </w:rPr>
            </w:pP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产出成本</w:t>
            </w:r>
          </w:p>
        </w:tc>
        <w:tc>
          <w:tcPr>
            <w:tcW w:w="141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成本节约率</w:t>
            </w:r>
          </w:p>
        </w:tc>
        <w:tc>
          <w:tcPr>
            <w:tcW w:w="278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完成项目计划工作目标的实际节约成本与计划成本的比率，用以反映和考核项目的成本节约程度。</w:t>
            </w:r>
          </w:p>
        </w:tc>
        <w:tc>
          <w:tcPr>
            <w:tcW w:w="734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成本节约率=[（计划成本-实际成本）/计划成本]×100%。</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实际成本：项目实施单位如期、保质、保量完成既定工作目标实际所耗费的支出。</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计划成本：项目实施单位为完成工作目标计划安排的支出，一般以项目预算为参考。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效益　</w:t>
            </w: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项目效益　</w:t>
            </w:r>
          </w:p>
        </w:tc>
        <w:tc>
          <w:tcPr>
            <w:tcW w:w="141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实施效益</w:t>
            </w:r>
          </w:p>
        </w:tc>
        <w:tc>
          <w:tcPr>
            <w:tcW w:w="278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left"/>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项目实施所产生的效益。</w:t>
            </w:r>
          </w:p>
        </w:tc>
        <w:tc>
          <w:tcPr>
            <w:tcW w:w="734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项目实施所产生的社会效益、经济效益、生态效益、可持续影响等。可根据项目实际情况有选择地设置和细化。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宋体" w:hAnsi="宋体" w:eastAsia="宋体" w:cs="宋体"/>
                <w:color w:val="000000" w:themeColor="text1"/>
                <w:kern w:val="0"/>
                <w:sz w:val="22"/>
                <w:szCs w:val="22"/>
                <w14:textFill>
                  <w14:solidFill>
                    <w14:schemeClr w14:val="tx1"/>
                  </w14:solidFill>
                </w14:textFill>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宋体" w:hAnsi="宋体" w:eastAsia="宋体" w:cs="宋体"/>
                <w:color w:val="000000" w:themeColor="text1"/>
                <w:kern w:val="0"/>
                <w:sz w:val="22"/>
                <w:szCs w:val="22"/>
                <w14:textFill>
                  <w14:solidFill>
                    <w14:schemeClr w14:val="tx1"/>
                  </w14:solidFill>
                </w14:textFill>
              </w:rPr>
            </w:pPr>
          </w:p>
        </w:tc>
        <w:tc>
          <w:tcPr>
            <w:tcW w:w="141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满意度</w:t>
            </w:r>
          </w:p>
        </w:tc>
        <w:tc>
          <w:tcPr>
            <w:tcW w:w="278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社会公众或服务对象对项目实施效果的满意程度。</w:t>
            </w:r>
          </w:p>
        </w:tc>
        <w:tc>
          <w:tcPr>
            <w:tcW w:w="734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社会公众或服务对象是指因该项目实施而受到影响的部门（单位）、群体或个人。一般采取社会调查的方式。</w:t>
            </w:r>
          </w:p>
        </w:tc>
      </w:tr>
    </w:tbl>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ZhMDRkMjhkY2EzOWIxMGUxNDhjOGM0MDJlZjA3NmYifQ=="/>
  </w:docVars>
  <w:rsids>
    <w:rsidRoot w:val="7677AECF"/>
    <w:rsid w:val="5BE45327"/>
    <w:rsid w:val="6EBDBD0C"/>
    <w:rsid w:val="75465081"/>
    <w:rsid w:val="755792D5"/>
    <w:rsid w:val="7677AECF"/>
    <w:rsid w:val="B9FABF39"/>
    <w:rsid w:val="C7DB6D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paragraph" w:styleId="2">
    <w:name w:val="heading 2"/>
    <w:basedOn w:val="1"/>
    <w:next w:val="1"/>
    <w:unhideWhenUsed/>
    <w:qFormat/>
    <w:uiPriority w:val="0"/>
    <w:pPr>
      <w:keepNext/>
      <w:keepLines/>
      <w:spacing w:before="260" w:after="260" w:line="412" w:lineRule="auto"/>
      <w:outlineLvl w:val="1"/>
    </w:pPr>
    <w:rPr>
      <w:rFonts w:ascii="Arial" w:hAnsi="Arial" w:eastAsia="黑体"/>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99"/>
    <w:pPr>
      <w:ind w:firstLine="420" w:firstLineChars="200"/>
    </w:pPr>
    <w:rPr>
      <w:rFonts w:eastAsia="宋体"/>
      <w:sz w:val="21"/>
    </w:rPr>
  </w:style>
  <w:style w:type="paragraph" w:styleId="4">
    <w:name w:val="footer"/>
    <w:qFormat/>
    <w:uiPriority w:val="0"/>
    <w:pPr>
      <w:widowControl w:val="0"/>
      <w:tabs>
        <w:tab w:val="center" w:pos="4153"/>
        <w:tab w:val="right" w:pos="8306"/>
      </w:tabs>
      <w:snapToGrid w:val="0"/>
      <w:jc w:val="left"/>
    </w:pPr>
    <w:rPr>
      <w:rFonts w:ascii="Times New Roman" w:hAnsi="Times New Roman" w:eastAsia="仿宋_GB2312" w:cs="Times New Roman"/>
      <w:kern w:val="2"/>
      <w:sz w:val="18"/>
      <w:lang w:val="en-US" w:eastAsia="zh-CN" w:bidi="ar-SA"/>
    </w:r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2791</Words>
  <Characters>2810</Characters>
  <Lines>0</Lines>
  <Paragraphs>0</Paragraphs>
  <TotalTime>1</TotalTime>
  <ScaleCrop>false</ScaleCrop>
  <LinksUpToDate>false</LinksUpToDate>
  <CharactersWithSpaces>2822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2023-03-02T23:53:00Z</dcterms:created>
  <dc:creator>bbcz</dc:creator>
  <cp:lastModifiedBy>Administrator</cp:lastModifiedBy>
  <cp:lastPrinted>2023-03-07T16:15:00Z</cp:lastPrinted>
  <dcterms:modified xsi:type="dcterms:W3CDTF">2023-06-09T09:09:05Z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F785C36AC44E461A8F8755B8283AC894</vt:lpwstr>
  </property>
</Properties>
</file>