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630" w:leftChars="300" w:right="630" w:rightChars="300"/>
        <w:jc w:val="center"/>
        <w:rPr>
          <w:rFonts w:hint="eastAsia" w:ascii="黑体" w:eastAsia="黑体"/>
          <w:sz w:val="52"/>
          <w:szCs w:val="52"/>
        </w:rPr>
      </w:pPr>
      <w:r>
        <w:rPr>
          <w:rFonts w:hint="eastAsia" w:ascii="黑体" w:eastAsia="黑体"/>
          <w:sz w:val="52"/>
          <w:szCs w:val="52"/>
        </w:rPr>
        <w:t>五河县</w:t>
      </w:r>
      <w:r>
        <w:rPr>
          <w:rFonts w:hint="eastAsia" w:ascii="黑体" w:eastAsia="黑体"/>
          <w:sz w:val="52"/>
          <w:szCs w:val="52"/>
          <w:lang w:val="en-US" w:eastAsia="zh-CN"/>
        </w:rPr>
        <w:t>建筑工程质量管理中心</w:t>
      </w:r>
      <w:r>
        <w:rPr>
          <w:rFonts w:hint="eastAsia" w:ascii="黑体" w:eastAsia="黑体"/>
          <w:sz w:val="52"/>
          <w:szCs w:val="52"/>
        </w:rPr>
        <w:t>2022年单位预算</w:t>
      </w:r>
    </w:p>
    <w:p>
      <w:pPr>
        <w:jc w:val="left"/>
        <w:rPr>
          <w:rFonts w:ascii="黑体" w:eastAsia="黑体"/>
          <w:sz w:val="36"/>
          <w:szCs w:val="36"/>
        </w:rPr>
      </w:pPr>
    </w:p>
    <w:p>
      <w:pPr>
        <w:pStyle w:val="4"/>
        <w:adjustRightInd w:val="0"/>
        <w:snapToGrid w:val="0"/>
        <w:spacing w:before="0" w:beforeAutospacing="0" w:after="0" w:afterAutospacing="0" w:line="360" w:lineRule="auto"/>
        <w:jc w:val="center"/>
        <w:rPr>
          <w:rFonts w:hint="eastAsia" w:ascii="黑体" w:hAnsi="黑体" w:eastAsia="黑体"/>
          <w:bCs/>
          <w:sz w:val="44"/>
          <w:szCs w:val="44"/>
        </w:rPr>
      </w:pPr>
    </w:p>
    <w:p>
      <w:pPr>
        <w:pStyle w:val="4"/>
        <w:adjustRightInd w:val="0"/>
        <w:snapToGrid w:val="0"/>
        <w:spacing w:before="0" w:beforeAutospacing="0" w:after="0" w:afterAutospacing="0" w:line="360" w:lineRule="auto"/>
        <w:jc w:val="center"/>
        <w:rPr>
          <w:rFonts w:hint="eastAsia" w:ascii="黑体" w:hAnsi="黑体" w:eastAsia="黑体"/>
          <w:bCs/>
          <w:sz w:val="44"/>
          <w:szCs w:val="44"/>
        </w:rPr>
      </w:pPr>
    </w:p>
    <w:p>
      <w:pPr>
        <w:pStyle w:val="4"/>
        <w:adjustRightInd w:val="0"/>
        <w:snapToGrid w:val="0"/>
        <w:spacing w:before="0" w:beforeAutospacing="0" w:after="0" w:afterAutospacing="0" w:line="360" w:lineRule="auto"/>
        <w:jc w:val="center"/>
        <w:rPr>
          <w:rFonts w:hint="eastAsia" w:ascii="黑体" w:hAnsi="黑体" w:eastAsia="黑体"/>
          <w:bCs/>
          <w:sz w:val="44"/>
          <w:szCs w:val="44"/>
        </w:rPr>
      </w:pPr>
    </w:p>
    <w:p>
      <w:pPr>
        <w:pStyle w:val="4"/>
        <w:adjustRightInd w:val="0"/>
        <w:snapToGrid w:val="0"/>
        <w:spacing w:before="0" w:beforeAutospacing="0" w:after="0" w:afterAutospacing="0" w:line="360" w:lineRule="auto"/>
        <w:jc w:val="center"/>
        <w:rPr>
          <w:rFonts w:hint="eastAsia" w:ascii="黑体" w:hAnsi="黑体" w:eastAsia="黑体"/>
          <w:bCs/>
          <w:sz w:val="44"/>
          <w:szCs w:val="44"/>
        </w:rPr>
      </w:pPr>
    </w:p>
    <w:p>
      <w:pPr>
        <w:pStyle w:val="4"/>
        <w:adjustRightInd w:val="0"/>
        <w:snapToGrid w:val="0"/>
        <w:spacing w:before="0" w:beforeAutospacing="0" w:after="0" w:afterAutospacing="0" w:line="360" w:lineRule="auto"/>
        <w:jc w:val="center"/>
        <w:rPr>
          <w:rFonts w:hint="eastAsia" w:ascii="黑体" w:hAnsi="黑体" w:eastAsia="黑体"/>
          <w:bCs/>
          <w:sz w:val="44"/>
          <w:szCs w:val="44"/>
        </w:rPr>
      </w:pPr>
    </w:p>
    <w:p>
      <w:pPr>
        <w:pStyle w:val="4"/>
        <w:adjustRightInd w:val="0"/>
        <w:snapToGrid w:val="0"/>
        <w:spacing w:before="0" w:beforeAutospacing="0" w:after="0" w:afterAutospacing="0" w:line="360" w:lineRule="auto"/>
        <w:jc w:val="center"/>
        <w:rPr>
          <w:rFonts w:hint="eastAsia" w:ascii="黑体" w:hAnsi="黑体" w:eastAsia="黑体"/>
          <w:bCs/>
          <w:sz w:val="44"/>
          <w:szCs w:val="44"/>
        </w:rPr>
      </w:pPr>
    </w:p>
    <w:p>
      <w:pPr>
        <w:pStyle w:val="4"/>
        <w:adjustRightInd w:val="0"/>
        <w:snapToGrid w:val="0"/>
        <w:spacing w:before="0" w:beforeAutospacing="0" w:after="0" w:afterAutospacing="0" w:line="360" w:lineRule="auto"/>
        <w:jc w:val="center"/>
        <w:rPr>
          <w:rFonts w:hint="eastAsia" w:ascii="黑体" w:hAnsi="黑体" w:eastAsia="黑体"/>
          <w:bCs/>
          <w:sz w:val="44"/>
          <w:szCs w:val="44"/>
        </w:rPr>
      </w:pPr>
    </w:p>
    <w:p>
      <w:pPr>
        <w:pStyle w:val="4"/>
        <w:adjustRightInd w:val="0"/>
        <w:snapToGrid w:val="0"/>
        <w:spacing w:before="0" w:beforeAutospacing="0" w:after="0" w:afterAutospacing="0" w:line="360" w:lineRule="auto"/>
        <w:jc w:val="center"/>
        <w:rPr>
          <w:rFonts w:hint="eastAsia" w:ascii="黑体" w:hAnsi="黑体" w:eastAsia="黑体"/>
          <w:bCs/>
          <w:sz w:val="44"/>
          <w:szCs w:val="44"/>
        </w:rPr>
      </w:pPr>
    </w:p>
    <w:p>
      <w:pPr>
        <w:pStyle w:val="4"/>
        <w:adjustRightInd w:val="0"/>
        <w:snapToGrid w:val="0"/>
        <w:spacing w:before="0" w:beforeAutospacing="0" w:after="0" w:afterAutospacing="0" w:line="360" w:lineRule="auto"/>
        <w:jc w:val="center"/>
        <w:rPr>
          <w:rFonts w:hint="eastAsia" w:ascii="黑体" w:hAnsi="黑体" w:eastAsia="黑体"/>
          <w:bCs/>
          <w:sz w:val="44"/>
          <w:szCs w:val="44"/>
        </w:rPr>
      </w:pPr>
    </w:p>
    <w:p>
      <w:pPr>
        <w:pStyle w:val="4"/>
        <w:adjustRightInd w:val="0"/>
        <w:snapToGrid w:val="0"/>
        <w:spacing w:before="0" w:beforeAutospacing="0" w:after="0" w:afterAutospacing="0" w:line="360" w:lineRule="auto"/>
        <w:jc w:val="center"/>
        <w:rPr>
          <w:rFonts w:hint="eastAsia" w:ascii="黑体" w:hAnsi="黑体" w:eastAsia="黑体"/>
          <w:bCs/>
          <w:sz w:val="44"/>
          <w:szCs w:val="44"/>
        </w:rPr>
      </w:pPr>
    </w:p>
    <w:p>
      <w:pPr>
        <w:pStyle w:val="4"/>
        <w:adjustRightInd w:val="0"/>
        <w:snapToGrid w:val="0"/>
        <w:spacing w:before="0" w:beforeAutospacing="0" w:after="0" w:afterAutospacing="0" w:line="360" w:lineRule="auto"/>
        <w:jc w:val="center"/>
        <w:rPr>
          <w:rFonts w:hint="eastAsia" w:ascii="黑体" w:hAnsi="黑体" w:eastAsia="黑体"/>
          <w:bCs/>
          <w:sz w:val="44"/>
          <w:szCs w:val="44"/>
        </w:rPr>
      </w:pPr>
      <w:r>
        <w:rPr>
          <w:rFonts w:hint="eastAsia" w:ascii="黑体" w:hAnsi="黑体" w:eastAsia="黑体"/>
          <w:bCs/>
          <w:sz w:val="44"/>
          <w:szCs w:val="44"/>
        </w:rPr>
        <w:t>2022年</w:t>
      </w:r>
      <w:r>
        <w:rPr>
          <w:rFonts w:hint="eastAsia" w:ascii="黑体" w:hAnsi="黑体" w:eastAsia="黑体"/>
          <w:bCs/>
          <w:sz w:val="44"/>
          <w:szCs w:val="44"/>
          <w:lang w:val="en-US" w:eastAsia="zh-CN"/>
        </w:rPr>
        <w:t>1</w:t>
      </w:r>
      <w:r>
        <w:rPr>
          <w:rFonts w:hint="eastAsia" w:ascii="黑体" w:hAnsi="黑体" w:eastAsia="黑体"/>
          <w:bCs/>
          <w:sz w:val="44"/>
          <w:szCs w:val="44"/>
        </w:rPr>
        <w:t>月</w:t>
      </w:r>
    </w:p>
    <w:p>
      <w:pPr>
        <w:pStyle w:val="4"/>
        <w:adjustRightInd w:val="0"/>
        <w:snapToGrid w:val="0"/>
        <w:spacing w:before="0" w:beforeAutospacing="0" w:after="0" w:afterAutospacing="0" w:line="360" w:lineRule="auto"/>
        <w:jc w:val="center"/>
        <w:rPr>
          <w:rFonts w:hint="eastAsia" w:ascii="黑体" w:hAnsi="黑体" w:eastAsia="黑体"/>
          <w:bCs/>
          <w:sz w:val="44"/>
          <w:szCs w:val="44"/>
        </w:rPr>
      </w:pPr>
    </w:p>
    <w:p>
      <w:pPr>
        <w:pStyle w:val="4"/>
        <w:adjustRightInd w:val="0"/>
        <w:snapToGrid w:val="0"/>
        <w:spacing w:before="0" w:beforeAutospacing="0" w:after="0" w:afterAutospacing="0" w:line="360" w:lineRule="auto"/>
        <w:jc w:val="center"/>
        <w:rPr>
          <w:rFonts w:hint="eastAsia" w:ascii="黑体" w:hAnsi="黑体" w:eastAsia="黑体"/>
          <w:bCs/>
          <w:sz w:val="44"/>
          <w:szCs w:val="44"/>
        </w:rPr>
      </w:pPr>
    </w:p>
    <w:p>
      <w:pPr>
        <w:pStyle w:val="4"/>
        <w:adjustRightInd w:val="0"/>
        <w:snapToGrid w:val="0"/>
        <w:spacing w:before="0" w:beforeAutospacing="0" w:after="0" w:afterAutospacing="0" w:line="360" w:lineRule="auto"/>
        <w:jc w:val="center"/>
        <w:rPr>
          <w:rFonts w:hint="eastAsia" w:ascii="黑体" w:hAnsi="黑体" w:eastAsia="黑体"/>
          <w:bCs/>
          <w:sz w:val="44"/>
          <w:szCs w:val="44"/>
        </w:rPr>
      </w:pPr>
    </w:p>
    <w:p>
      <w:pPr>
        <w:pStyle w:val="4"/>
        <w:adjustRightInd w:val="0"/>
        <w:snapToGrid w:val="0"/>
        <w:spacing w:before="0" w:beforeAutospacing="0" w:after="0" w:afterAutospacing="0" w:line="360" w:lineRule="auto"/>
        <w:jc w:val="center"/>
        <w:rPr>
          <w:rFonts w:hint="eastAsia" w:ascii="黑体" w:hAnsi="黑体" w:eastAsia="黑体"/>
          <w:bCs/>
          <w:sz w:val="44"/>
          <w:szCs w:val="44"/>
        </w:rPr>
      </w:pPr>
      <w:r>
        <w:rPr>
          <w:rFonts w:hint="eastAsia" w:ascii="黑体" w:hAnsi="黑体" w:eastAsia="黑体"/>
          <w:bCs/>
          <w:sz w:val="44"/>
          <w:szCs w:val="44"/>
        </w:rPr>
        <w:t>目 录</w:t>
      </w:r>
    </w:p>
    <w:p>
      <w:pPr>
        <w:pStyle w:val="4"/>
        <w:adjustRightInd w:val="0"/>
        <w:snapToGrid w:val="0"/>
        <w:spacing w:before="0" w:beforeAutospacing="0" w:after="0" w:afterAutospacing="0" w:line="540" w:lineRule="exact"/>
        <w:ind w:firstLine="643" w:firstLineChars="200"/>
        <w:jc w:val="both"/>
        <w:rPr>
          <w:rFonts w:hint="eastAsia" w:ascii="仿宋_GB2312" w:hAnsi="仿宋" w:eastAsia="仿宋_GB2312" w:cs="仿宋"/>
          <w:b/>
          <w:sz w:val="32"/>
          <w:szCs w:val="32"/>
        </w:rPr>
      </w:pPr>
      <w:r>
        <w:rPr>
          <w:rFonts w:hint="eastAsia" w:ascii="仿宋_GB2312" w:hAnsi="仿宋" w:eastAsia="仿宋_GB2312" w:cs="仿宋"/>
          <w:b/>
          <w:sz w:val="32"/>
          <w:szCs w:val="32"/>
        </w:rPr>
        <w:t>第一部分 单位概况</w:t>
      </w:r>
    </w:p>
    <w:p>
      <w:pPr>
        <w:pStyle w:val="4"/>
        <w:numPr>
          <w:ilvl w:val="0"/>
          <w:numId w:val="1"/>
        </w:numPr>
        <w:adjustRightInd w:val="0"/>
        <w:snapToGrid w:val="0"/>
        <w:spacing w:before="0" w:beforeAutospacing="0" w:after="0" w:afterAutospacing="0" w:line="540" w:lineRule="exact"/>
        <w:rPr>
          <w:rFonts w:ascii="仿宋_GB2312" w:hAnsi="仿宋" w:eastAsia="仿宋_GB2312" w:cs="仿宋"/>
          <w:bCs/>
          <w:sz w:val="32"/>
          <w:szCs w:val="32"/>
        </w:rPr>
      </w:pPr>
      <w:r>
        <w:rPr>
          <w:rFonts w:hint="eastAsia" w:ascii="仿宋_GB2312" w:hAnsi="仿宋" w:eastAsia="仿宋_GB2312" w:cs="仿宋"/>
          <w:bCs/>
          <w:sz w:val="32"/>
          <w:szCs w:val="32"/>
        </w:rPr>
        <w:t>主要职责</w:t>
      </w:r>
    </w:p>
    <w:p>
      <w:pPr>
        <w:pStyle w:val="4"/>
        <w:numPr>
          <w:ilvl w:val="0"/>
          <w:numId w:val="1"/>
        </w:numPr>
        <w:adjustRightInd w:val="0"/>
        <w:snapToGrid w:val="0"/>
        <w:spacing w:before="0" w:beforeAutospacing="0" w:after="0" w:afterAutospacing="0" w:line="540" w:lineRule="exact"/>
        <w:rPr>
          <w:rFonts w:hint="eastAsia" w:ascii="仿宋_GB2312" w:hAnsi="仿宋" w:eastAsia="仿宋_GB2312" w:cs="仿宋"/>
          <w:bCs/>
          <w:sz w:val="32"/>
          <w:szCs w:val="32"/>
        </w:rPr>
      </w:pPr>
      <w:r>
        <w:rPr>
          <w:rFonts w:hint="eastAsia" w:ascii="仿宋_GB2312" w:hAnsi="仿宋" w:eastAsia="仿宋_GB2312" w:cs="仿宋"/>
          <w:bCs/>
          <w:sz w:val="32"/>
          <w:szCs w:val="32"/>
        </w:rPr>
        <w:t>单位机构设置情况</w:t>
      </w:r>
    </w:p>
    <w:p>
      <w:pPr>
        <w:pStyle w:val="4"/>
        <w:adjustRightInd w:val="0"/>
        <w:snapToGrid w:val="0"/>
        <w:spacing w:before="0" w:beforeAutospacing="0" w:after="0" w:afterAutospacing="0" w:line="540" w:lineRule="exact"/>
        <w:ind w:firstLine="640" w:firstLineChars="200"/>
        <w:rPr>
          <w:rFonts w:hint="eastAsia" w:ascii="仿宋_GB2312" w:hAnsi="仿宋" w:eastAsia="仿宋_GB2312" w:cs="仿宋"/>
          <w:bCs/>
          <w:sz w:val="32"/>
          <w:szCs w:val="32"/>
        </w:rPr>
      </w:pPr>
      <w:r>
        <w:rPr>
          <w:rFonts w:ascii="仿宋_GB2312" w:hAnsi="仿宋" w:eastAsia="仿宋_GB2312" w:cs="仿宋"/>
          <w:bCs/>
          <w:sz w:val="32"/>
          <w:szCs w:val="32"/>
        </w:rPr>
        <w:t>3</w:t>
      </w:r>
      <w:r>
        <w:rPr>
          <w:rFonts w:hint="eastAsia" w:ascii="仿宋_GB2312" w:hAnsi="仿宋" w:eastAsia="仿宋_GB2312" w:cs="仿宋"/>
          <w:bCs/>
          <w:sz w:val="32"/>
          <w:szCs w:val="32"/>
        </w:rPr>
        <w:t>.2022年度主要工作任务</w:t>
      </w:r>
    </w:p>
    <w:p>
      <w:pPr>
        <w:pStyle w:val="4"/>
        <w:adjustRightInd w:val="0"/>
        <w:snapToGrid w:val="0"/>
        <w:spacing w:before="0" w:beforeAutospacing="0" w:after="0" w:afterAutospacing="0" w:line="54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第二部分 202</w:t>
      </w:r>
      <w:r>
        <w:rPr>
          <w:rFonts w:hint="eastAsia" w:ascii="仿宋_GB2312" w:hAnsi="仿宋" w:eastAsia="仿宋_GB2312" w:cs="仿宋"/>
          <w:b/>
          <w:sz w:val="32"/>
          <w:szCs w:val="32"/>
          <w:lang w:val="en-US" w:eastAsia="zh-CN"/>
        </w:rPr>
        <w:t>2</w:t>
      </w:r>
      <w:r>
        <w:rPr>
          <w:rFonts w:hint="eastAsia" w:ascii="仿宋_GB2312" w:hAnsi="仿宋" w:eastAsia="仿宋_GB2312" w:cs="仿宋"/>
          <w:b/>
          <w:sz w:val="32"/>
          <w:szCs w:val="32"/>
        </w:rPr>
        <w:t>年单位预算情况说明</w:t>
      </w:r>
    </w:p>
    <w:p>
      <w:pPr>
        <w:pStyle w:val="4"/>
        <w:adjustRightInd w:val="0"/>
        <w:snapToGrid w:val="0"/>
        <w:spacing w:before="0" w:beforeAutospacing="0" w:after="0" w:afterAutospacing="0"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1.关于2022年收支预算总体情况说明</w:t>
      </w:r>
    </w:p>
    <w:p>
      <w:pPr>
        <w:pStyle w:val="4"/>
        <w:adjustRightInd w:val="0"/>
        <w:snapToGrid w:val="0"/>
        <w:spacing w:before="0" w:beforeAutospacing="0" w:after="0" w:afterAutospacing="0"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2.关于2022年收入预算情况说明</w:t>
      </w:r>
    </w:p>
    <w:p>
      <w:pPr>
        <w:pStyle w:val="4"/>
        <w:adjustRightInd w:val="0"/>
        <w:snapToGrid w:val="0"/>
        <w:spacing w:before="0" w:beforeAutospacing="0" w:after="0" w:afterAutospacing="0"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3.关于2022年支出预算情况说明</w:t>
      </w:r>
    </w:p>
    <w:p>
      <w:pPr>
        <w:pStyle w:val="4"/>
        <w:adjustRightInd w:val="0"/>
        <w:snapToGrid w:val="0"/>
        <w:spacing w:before="0" w:beforeAutospacing="0" w:after="0" w:afterAutospacing="0"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4.关于2022年财政拨款收支预算总体情况说明</w:t>
      </w:r>
    </w:p>
    <w:p>
      <w:pPr>
        <w:pStyle w:val="4"/>
        <w:adjustRightInd w:val="0"/>
        <w:snapToGrid w:val="0"/>
        <w:spacing w:before="0" w:beforeAutospacing="0" w:after="0" w:afterAutospacing="0"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5.关于2022年一般公共预算拨款情况说明</w:t>
      </w:r>
    </w:p>
    <w:p>
      <w:pPr>
        <w:pStyle w:val="4"/>
        <w:adjustRightInd w:val="0"/>
        <w:snapToGrid w:val="0"/>
        <w:spacing w:before="0" w:beforeAutospacing="0" w:after="0" w:afterAutospacing="0"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6.关于2022年一般公共预算基本支出情况说明</w:t>
      </w:r>
    </w:p>
    <w:p>
      <w:pPr>
        <w:pStyle w:val="4"/>
        <w:adjustRightInd w:val="0"/>
        <w:snapToGrid w:val="0"/>
        <w:spacing w:before="0" w:beforeAutospacing="0" w:after="0" w:afterAutospacing="0"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7.关于2022年政府性基金预算拨款情况说明</w:t>
      </w:r>
    </w:p>
    <w:p>
      <w:pPr>
        <w:pStyle w:val="4"/>
        <w:adjustRightInd w:val="0"/>
        <w:snapToGrid w:val="0"/>
        <w:spacing w:before="0" w:beforeAutospacing="0" w:after="0" w:afterAutospacing="0"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8. 关于2022年国有资本经营预算拨款情况说明</w:t>
      </w:r>
    </w:p>
    <w:p>
      <w:pPr>
        <w:pStyle w:val="4"/>
        <w:adjustRightInd w:val="0"/>
        <w:snapToGrid w:val="0"/>
        <w:spacing w:before="0" w:beforeAutospacing="0" w:after="0" w:afterAutospacing="0"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9.关于2022年项目支出情况说明</w:t>
      </w:r>
    </w:p>
    <w:p>
      <w:pPr>
        <w:pStyle w:val="4"/>
        <w:adjustRightInd w:val="0"/>
        <w:snapToGrid w:val="0"/>
        <w:spacing w:before="0" w:beforeAutospacing="0" w:after="0" w:afterAutospacing="0"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10.关于2022年政府性基金预算拨款情况说明</w:t>
      </w:r>
    </w:p>
    <w:p>
      <w:pPr>
        <w:pStyle w:val="4"/>
        <w:adjustRightInd w:val="0"/>
        <w:snapToGrid w:val="0"/>
        <w:spacing w:before="0" w:beforeAutospacing="0" w:after="0" w:afterAutospacing="0"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11.关于2022年国有资本经营预算拨款情况说明</w:t>
      </w:r>
    </w:p>
    <w:p>
      <w:pPr>
        <w:pStyle w:val="4"/>
        <w:adjustRightInd w:val="0"/>
        <w:snapToGrid w:val="0"/>
        <w:spacing w:before="0" w:beforeAutospacing="0" w:after="0" w:afterAutospacing="0"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12.其他重要事项情况说明</w:t>
      </w:r>
    </w:p>
    <w:p>
      <w:pPr>
        <w:pStyle w:val="4"/>
        <w:adjustRightInd w:val="0"/>
        <w:snapToGrid w:val="0"/>
        <w:spacing w:before="0" w:beforeAutospacing="0" w:after="0" w:afterAutospacing="0" w:line="54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第三部分 名词解释</w:t>
      </w:r>
    </w:p>
    <w:p>
      <w:pPr>
        <w:pStyle w:val="4"/>
        <w:adjustRightInd w:val="0"/>
        <w:snapToGrid w:val="0"/>
        <w:spacing w:before="0" w:beforeAutospacing="0" w:after="0" w:afterAutospacing="0" w:line="54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第四部分 2022年单位预算公开附表</w:t>
      </w:r>
    </w:p>
    <w:p>
      <w:pPr>
        <w:spacing w:line="560" w:lineRule="exact"/>
        <w:ind w:firstLine="180" w:firstLineChars="50"/>
        <w:jc w:val="center"/>
        <w:rPr>
          <w:rFonts w:hint="eastAsia" w:ascii="黑体" w:eastAsia="黑体"/>
          <w:sz w:val="36"/>
          <w:szCs w:val="36"/>
        </w:rPr>
      </w:pPr>
    </w:p>
    <w:p>
      <w:pPr>
        <w:pStyle w:val="4"/>
        <w:adjustRightInd w:val="0"/>
        <w:snapToGrid w:val="0"/>
        <w:spacing w:before="0" w:beforeAutospacing="0" w:after="0" w:afterAutospacing="0" w:line="360" w:lineRule="auto"/>
        <w:ind w:firstLine="784" w:firstLineChars="245"/>
        <w:jc w:val="both"/>
        <w:rPr>
          <w:rFonts w:hint="eastAsia" w:ascii="楷体_GB2312" w:hAnsi="黑体" w:eastAsia="楷体_GB2312"/>
          <w:bCs/>
          <w:color w:val="FF0000"/>
          <w:sz w:val="32"/>
          <w:szCs w:val="32"/>
        </w:rPr>
      </w:pPr>
    </w:p>
    <w:p>
      <w:pPr>
        <w:pStyle w:val="4"/>
        <w:adjustRightInd w:val="0"/>
        <w:snapToGrid w:val="0"/>
        <w:spacing w:before="0" w:beforeAutospacing="0" w:after="0" w:afterAutospacing="0" w:line="360" w:lineRule="auto"/>
        <w:jc w:val="both"/>
        <w:rPr>
          <w:rFonts w:hint="eastAsia" w:ascii="楷体_GB2312" w:hAnsi="黑体" w:eastAsia="楷体_GB2312"/>
          <w:bCs/>
          <w:color w:val="FF0000"/>
          <w:sz w:val="32"/>
          <w:szCs w:val="32"/>
        </w:rPr>
      </w:pPr>
    </w:p>
    <w:p>
      <w:pPr>
        <w:spacing w:line="560" w:lineRule="exact"/>
        <w:ind w:firstLine="180" w:firstLineChars="50"/>
        <w:jc w:val="center"/>
        <w:rPr>
          <w:rFonts w:hint="eastAsia" w:ascii="黑体" w:eastAsia="黑体"/>
          <w:sz w:val="36"/>
          <w:szCs w:val="36"/>
        </w:rPr>
      </w:pPr>
    </w:p>
    <w:p>
      <w:pPr>
        <w:spacing w:line="560" w:lineRule="exact"/>
        <w:ind w:firstLine="180" w:firstLineChars="50"/>
        <w:jc w:val="center"/>
        <w:rPr>
          <w:rFonts w:hint="eastAsia" w:ascii="黑体" w:eastAsia="黑体"/>
          <w:sz w:val="36"/>
          <w:szCs w:val="36"/>
        </w:rPr>
      </w:pPr>
    </w:p>
    <w:p>
      <w:pPr>
        <w:spacing w:line="560" w:lineRule="exact"/>
        <w:ind w:firstLine="180" w:firstLineChars="50"/>
        <w:jc w:val="center"/>
        <w:rPr>
          <w:rFonts w:hint="eastAsia" w:ascii="黑体" w:eastAsia="黑体"/>
          <w:sz w:val="36"/>
          <w:szCs w:val="36"/>
        </w:rPr>
      </w:pPr>
    </w:p>
    <w:p>
      <w:pPr>
        <w:spacing w:line="560" w:lineRule="exact"/>
        <w:ind w:firstLine="180" w:firstLineChars="50"/>
        <w:jc w:val="center"/>
        <w:rPr>
          <w:rFonts w:hint="eastAsia" w:ascii="黑体" w:eastAsia="黑体"/>
          <w:sz w:val="36"/>
          <w:szCs w:val="36"/>
        </w:rPr>
      </w:pPr>
    </w:p>
    <w:p>
      <w:pPr>
        <w:spacing w:line="560" w:lineRule="exact"/>
        <w:ind w:firstLine="180" w:firstLineChars="50"/>
        <w:jc w:val="center"/>
        <w:rPr>
          <w:rFonts w:hint="eastAsia" w:ascii="黑体" w:eastAsia="黑体"/>
          <w:sz w:val="36"/>
          <w:szCs w:val="36"/>
        </w:rPr>
      </w:pPr>
      <w:r>
        <w:rPr>
          <w:rFonts w:hint="eastAsia" w:ascii="黑体" w:eastAsia="黑体"/>
          <w:sz w:val="36"/>
          <w:szCs w:val="36"/>
        </w:rPr>
        <w:t>第一部分   单位概况</w:t>
      </w:r>
    </w:p>
    <w:p>
      <w:pPr>
        <w:spacing w:line="560" w:lineRule="exact"/>
        <w:ind w:firstLine="643" w:firstLineChars="200"/>
        <w:jc w:val="left"/>
        <w:rPr>
          <w:rFonts w:hint="eastAsia" w:ascii="仿宋_GB2312" w:eastAsia="仿宋_GB2312"/>
          <w:b/>
          <w:sz w:val="32"/>
          <w:szCs w:val="32"/>
        </w:rPr>
      </w:pPr>
    </w:p>
    <w:p>
      <w:pPr>
        <w:spacing w:line="560" w:lineRule="exact"/>
        <w:ind w:firstLine="640" w:firstLineChars="200"/>
        <w:jc w:val="left"/>
        <w:rPr>
          <w:rFonts w:hint="eastAsia" w:ascii="黑体" w:hAnsi="Calibri" w:eastAsia="黑体" w:cs="Times New Roman"/>
          <w:sz w:val="32"/>
          <w:szCs w:val="32"/>
        </w:rPr>
      </w:pPr>
      <w:r>
        <w:rPr>
          <w:rFonts w:hint="eastAsia" w:ascii="黑体" w:hAnsi="Calibri" w:eastAsia="黑体" w:cs="Times New Roman"/>
          <w:sz w:val="32"/>
          <w:szCs w:val="32"/>
        </w:rPr>
        <w:t>一、主要职责</w:t>
      </w:r>
    </w:p>
    <w:p>
      <w:pPr>
        <w:spacing w:line="560" w:lineRule="exact"/>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rPr>
        <w:t>五河县建筑工程质量</w:t>
      </w:r>
      <w:r>
        <w:rPr>
          <w:rFonts w:hint="eastAsia" w:ascii="仿宋_GB2312" w:hAnsi="Calibri" w:eastAsia="仿宋_GB2312" w:cs="Times New Roman"/>
          <w:sz w:val="32"/>
          <w:szCs w:val="32"/>
          <w:lang w:val="en-US" w:eastAsia="zh-CN"/>
        </w:rPr>
        <w:t>管理中心</w:t>
      </w:r>
      <w:r>
        <w:rPr>
          <w:rFonts w:hint="eastAsia" w:ascii="仿宋_GB2312" w:hAnsi="Calibri" w:eastAsia="仿宋_GB2312" w:cs="Times New Roman"/>
          <w:sz w:val="32"/>
          <w:szCs w:val="32"/>
        </w:rPr>
        <w:t>主要职责建筑工程质量监督 、建筑工程检测试验</w:t>
      </w:r>
      <w:r>
        <w:rPr>
          <w:rFonts w:hint="eastAsia" w:ascii="仿宋_GB2312" w:hAnsi="Calibri" w:eastAsia="仿宋_GB2312" w:cs="Times New Roman"/>
          <w:sz w:val="32"/>
          <w:szCs w:val="32"/>
          <w:lang w:eastAsia="zh-CN"/>
        </w:rPr>
        <w:t>。</w:t>
      </w:r>
    </w:p>
    <w:p>
      <w:pPr>
        <w:spacing w:line="560" w:lineRule="exact"/>
        <w:ind w:firstLine="640" w:firstLineChars="200"/>
        <w:jc w:val="left"/>
        <w:rPr>
          <w:rFonts w:hint="eastAsia" w:ascii="黑体" w:hAnsi="Calibri" w:eastAsia="黑体" w:cs="Times New Roman"/>
          <w:sz w:val="32"/>
          <w:szCs w:val="32"/>
        </w:rPr>
      </w:pPr>
      <w:r>
        <w:rPr>
          <w:rFonts w:hint="eastAsia" w:ascii="黑体" w:hAnsi="Calibri" w:eastAsia="黑体" w:cs="Times New Roman"/>
          <w:sz w:val="32"/>
          <w:szCs w:val="32"/>
        </w:rPr>
        <w:t>二、单位机构设置情况</w:t>
      </w:r>
    </w:p>
    <w:p>
      <w:pPr>
        <w:spacing w:line="56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五河县建筑工程质量</w:t>
      </w:r>
      <w:r>
        <w:rPr>
          <w:rFonts w:hint="eastAsia" w:ascii="仿宋_GB2312" w:hAnsi="Calibri" w:eastAsia="仿宋_GB2312" w:cs="Times New Roman"/>
          <w:sz w:val="32"/>
          <w:szCs w:val="32"/>
          <w:lang w:val="en-US" w:eastAsia="zh-CN"/>
        </w:rPr>
        <w:t>管理中心</w:t>
      </w:r>
      <w:r>
        <w:rPr>
          <w:rFonts w:hint="eastAsia" w:ascii="仿宋_GB2312" w:hAnsi="Calibri" w:eastAsia="仿宋_GB2312" w:cs="Times New Roman"/>
          <w:sz w:val="32"/>
          <w:szCs w:val="32"/>
        </w:rPr>
        <w:t>为五河县住房和城乡建设局下属二级预算单位，属于公益一类事业单位，无下设其他单位。</w:t>
      </w:r>
    </w:p>
    <w:p>
      <w:pPr>
        <w:spacing w:line="560" w:lineRule="exact"/>
        <w:ind w:firstLine="640" w:firstLineChars="200"/>
        <w:jc w:val="left"/>
        <w:rPr>
          <w:rFonts w:hint="eastAsia" w:ascii="黑体" w:hAnsi="Calibri" w:eastAsia="黑体" w:cs="Times New Roman"/>
          <w:sz w:val="32"/>
          <w:szCs w:val="32"/>
        </w:rPr>
      </w:pPr>
      <w:r>
        <w:rPr>
          <w:rFonts w:hint="eastAsia" w:ascii="黑体" w:hAnsi="Calibri" w:eastAsia="黑体" w:cs="Times New Roman"/>
          <w:sz w:val="32"/>
          <w:szCs w:val="32"/>
        </w:rPr>
        <w:t>三、2022年度主要工作</w:t>
      </w:r>
    </w:p>
    <w:p>
      <w:pPr>
        <w:spacing w:line="560" w:lineRule="exact"/>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202</w:t>
      </w:r>
      <w:r>
        <w:rPr>
          <w:rFonts w:hint="eastAsia" w:ascii="仿宋_GB2312" w:hAnsi="Calibri" w:eastAsia="仿宋_GB2312" w:cs="Times New Roman"/>
          <w:sz w:val="32"/>
          <w:szCs w:val="32"/>
          <w:lang w:val="en-US" w:eastAsia="zh-CN"/>
        </w:rPr>
        <w:t>2</w:t>
      </w:r>
      <w:r>
        <w:rPr>
          <w:rFonts w:hint="eastAsia" w:ascii="仿宋_GB2312" w:hAnsi="Calibri" w:eastAsia="仿宋_GB2312" w:cs="Times New Roman"/>
          <w:sz w:val="32"/>
          <w:szCs w:val="32"/>
        </w:rPr>
        <w:t>年单位主要工作：工程质量监督、工程质量备案、工程质量投诉处理等。</w:t>
      </w:r>
    </w:p>
    <w:p>
      <w:pPr>
        <w:spacing w:line="560" w:lineRule="exact"/>
        <w:ind w:firstLine="1080" w:firstLineChars="300"/>
        <w:jc w:val="center"/>
        <w:rPr>
          <w:rFonts w:hint="eastAsia" w:ascii="黑体" w:eastAsia="黑体"/>
          <w:sz w:val="36"/>
          <w:szCs w:val="36"/>
        </w:rPr>
      </w:pPr>
    </w:p>
    <w:p>
      <w:pPr>
        <w:spacing w:line="560" w:lineRule="exact"/>
        <w:jc w:val="center"/>
        <w:rPr>
          <w:rFonts w:hint="eastAsia" w:ascii="黑体" w:eastAsia="黑体"/>
          <w:sz w:val="36"/>
          <w:szCs w:val="36"/>
        </w:rPr>
      </w:pPr>
    </w:p>
    <w:p>
      <w:pPr>
        <w:spacing w:line="560" w:lineRule="exact"/>
        <w:jc w:val="center"/>
        <w:rPr>
          <w:rFonts w:hint="eastAsia" w:ascii="黑体" w:eastAsia="黑体"/>
          <w:sz w:val="36"/>
          <w:szCs w:val="36"/>
        </w:rPr>
      </w:pPr>
    </w:p>
    <w:p>
      <w:pPr>
        <w:spacing w:line="560" w:lineRule="exact"/>
        <w:jc w:val="center"/>
        <w:rPr>
          <w:rFonts w:hint="eastAsia" w:ascii="黑体" w:eastAsia="黑体"/>
          <w:sz w:val="36"/>
          <w:szCs w:val="36"/>
        </w:rPr>
      </w:pPr>
    </w:p>
    <w:p>
      <w:pPr>
        <w:spacing w:line="560" w:lineRule="exact"/>
        <w:jc w:val="center"/>
        <w:rPr>
          <w:rFonts w:hint="eastAsia" w:ascii="黑体" w:eastAsia="黑体"/>
          <w:sz w:val="36"/>
          <w:szCs w:val="36"/>
        </w:rPr>
      </w:pPr>
    </w:p>
    <w:p>
      <w:pPr>
        <w:spacing w:line="560" w:lineRule="exact"/>
        <w:jc w:val="center"/>
        <w:rPr>
          <w:rFonts w:hint="eastAsia" w:ascii="黑体" w:eastAsia="黑体"/>
          <w:sz w:val="36"/>
          <w:szCs w:val="36"/>
        </w:rPr>
      </w:pPr>
    </w:p>
    <w:p>
      <w:pPr>
        <w:spacing w:line="560" w:lineRule="exact"/>
        <w:jc w:val="center"/>
        <w:rPr>
          <w:rFonts w:hint="eastAsia" w:ascii="黑体" w:eastAsia="黑体"/>
          <w:sz w:val="36"/>
          <w:szCs w:val="36"/>
        </w:rPr>
      </w:pPr>
    </w:p>
    <w:p>
      <w:pPr>
        <w:spacing w:line="560" w:lineRule="exact"/>
        <w:jc w:val="center"/>
        <w:rPr>
          <w:rFonts w:hint="eastAsia" w:ascii="黑体" w:eastAsia="黑体"/>
          <w:sz w:val="36"/>
          <w:szCs w:val="36"/>
        </w:rPr>
      </w:pPr>
    </w:p>
    <w:p>
      <w:pPr>
        <w:spacing w:line="560" w:lineRule="exact"/>
        <w:jc w:val="center"/>
        <w:rPr>
          <w:rFonts w:hint="eastAsia" w:ascii="黑体" w:eastAsia="黑体"/>
          <w:sz w:val="36"/>
          <w:szCs w:val="36"/>
        </w:rPr>
      </w:pPr>
    </w:p>
    <w:p>
      <w:pPr>
        <w:spacing w:line="560" w:lineRule="exact"/>
        <w:jc w:val="center"/>
        <w:rPr>
          <w:rFonts w:hint="eastAsia" w:ascii="黑体" w:eastAsia="黑体"/>
          <w:sz w:val="36"/>
          <w:szCs w:val="36"/>
        </w:rPr>
      </w:pPr>
    </w:p>
    <w:p>
      <w:pPr>
        <w:spacing w:line="560" w:lineRule="exact"/>
        <w:jc w:val="center"/>
        <w:rPr>
          <w:rFonts w:hint="eastAsia" w:ascii="黑体" w:eastAsia="黑体"/>
          <w:sz w:val="36"/>
          <w:szCs w:val="36"/>
        </w:rPr>
      </w:pPr>
    </w:p>
    <w:p>
      <w:pPr>
        <w:spacing w:line="560" w:lineRule="exact"/>
        <w:jc w:val="center"/>
        <w:rPr>
          <w:rFonts w:hint="eastAsia" w:ascii="黑体" w:eastAsia="黑体"/>
          <w:sz w:val="36"/>
          <w:szCs w:val="36"/>
        </w:rPr>
      </w:pPr>
    </w:p>
    <w:p>
      <w:pPr>
        <w:spacing w:line="560" w:lineRule="exact"/>
        <w:ind w:firstLine="1440" w:firstLineChars="400"/>
        <w:jc w:val="both"/>
        <w:rPr>
          <w:rFonts w:ascii="黑体" w:eastAsia="黑体"/>
          <w:sz w:val="36"/>
          <w:szCs w:val="36"/>
        </w:rPr>
      </w:pPr>
      <w:r>
        <w:rPr>
          <w:rFonts w:hint="eastAsia" w:ascii="黑体" w:eastAsia="黑体"/>
          <w:sz w:val="36"/>
          <w:szCs w:val="36"/>
        </w:rPr>
        <w:t>第二部分  2022年单位预算情况说明</w:t>
      </w:r>
    </w:p>
    <w:p>
      <w:pPr>
        <w:spacing w:line="560" w:lineRule="exact"/>
        <w:ind w:firstLine="643" w:firstLineChars="200"/>
        <w:jc w:val="left"/>
        <w:rPr>
          <w:rFonts w:hint="eastAsia" w:ascii="仿宋_GB2312" w:eastAsia="仿宋_GB2312"/>
          <w:b/>
          <w:sz w:val="32"/>
          <w:szCs w:val="32"/>
        </w:rPr>
      </w:pPr>
    </w:p>
    <w:p>
      <w:pPr>
        <w:spacing w:line="560" w:lineRule="exact"/>
        <w:ind w:firstLine="640" w:firstLineChars="200"/>
        <w:jc w:val="left"/>
        <w:rPr>
          <w:rFonts w:hint="eastAsia" w:ascii="黑体" w:eastAsia="黑体"/>
          <w:sz w:val="32"/>
          <w:szCs w:val="32"/>
        </w:rPr>
      </w:pPr>
      <w:r>
        <w:rPr>
          <w:rFonts w:hint="eastAsia" w:ascii="黑体" w:eastAsia="黑体"/>
          <w:sz w:val="32"/>
          <w:szCs w:val="32"/>
        </w:rPr>
        <w:t>一、关于2022年收支预算总体情况说明</w:t>
      </w:r>
    </w:p>
    <w:p>
      <w:pPr>
        <w:pStyle w:val="4"/>
        <w:adjustRightInd w:val="0"/>
        <w:snapToGrid w:val="0"/>
        <w:spacing w:before="0" w:beforeAutospacing="0" w:after="0" w:afterAutospacing="0" w:line="560" w:lineRule="exact"/>
        <w:ind w:firstLine="640" w:firstLineChars="200"/>
        <w:jc w:val="both"/>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按照综合预算管理原则，五河县建筑工程质量管理中心所有收入和支出均纳入部门预算管理。五河县建筑工程质量管理中心2022年收支总预算 45 万元，收入全部是一般公共预算拨款收入，支出包括：工程建设管理。</w:t>
      </w:r>
    </w:p>
    <w:p>
      <w:pPr>
        <w:spacing w:line="560" w:lineRule="exact"/>
        <w:ind w:firstLine="640" w:firstLineChars="200"/>
        <w:jc w:val="left"/>
        <w:rPr>
          <w:rFonts w:hint="eastAsia" w:ascii="黑体" w:hAnsi="Calibri" w:eastAsia="黑体" w:cs="Times New Roman"/>
          <w:sz w:val="32"/>
          <w:szCs w:val="32"/>
        </w:rPr>
      </w:pPr>
      <w:r>
        <w:rPr>
          <w:rFonts w:hint="eastAsia" w:ascii="黑体" w:hAnsi="Calibri" w:eastAsia="黑体" w:cs="Times New Roman"/>
          <w:sz w:val="32"/>
          <w:szCs w:val="32"/>
        </w:rPr>
        <w:t>二、关于2022年收入预算情况说明</w:t>
      </w:r>
    </w:p>
    <w:p>
      <w:pPr>
        <w:pStyle w:val="4"/>
        <w:adjustRightInd w:val="0"/>
        <w:snapToGrid w:val="0"/>
        <w:spacing w:before="0" w:beforeAutospacing="0" w:after="0" w:afterAutospacing="0" w:line="560" w:lineRule="exact"/>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五河县建筑工程质量管理中心2022年度收入预算 45万元，全部为一般公共预算拨款收入 45 万元，上年结转结余0万元，比2021年预算增加27.6万元，增长158%，原因主要是新增退役军人。</w:t>
      </w:r>
    </w:p>
    <w:p>
      <w:pPr>
        <w:spacing w:line="560" w:lineRule="exact"/>
        <w:ind w:firstLine="640" w:firstLineChars="200"/>
        <w:jc w:val="left"/>
        <w:rPr>
          <w:rFonts w:hint="eastAsia" w:ascii="黑体" w:hAnsi="Calibri" w:eastAsia="黑体" w:cs="Times New Roman"/>
          <w:sz w:val="32"/>
          <w:szCs w:val="32"/>
        </w:rPr>
      </w:pPr>
      <w:r>
        <w:rPr>
          <w:rFonts w:hint="eastAsia" w:ascii="黑体" w:hAnsi="Calibri" w:eastAsia="黑体" w:cs="Times New Roman"/>
          <w:sz w:val="32"/>
          <w:szCs w:val="32"/>
        </w:rPr>
        <w:t>三、关于2022年支出预算情况说明</w:t>
      </w:r>
    </w:p>
    <w:p>
      <w:pPr>
        <w:pStyle w:val="4"/>
        <w:adjustRightInd w:val="0"/>
        <w:snapToGrid w:val="0"/>
        <w:spacing w:before="0" w:beforeAutospacing="0" w:after="0" w:afterAutospacing="0" w:line="560" w:lineRule="exact"/>
        <w:ind w:firstLine="640" w:firstLineChars="200"/>
        <w:jc w:val="both"/>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五河县建筑工程质量管理中心2022年度支出预算 45  万元，比2021年预算增加27.6万元，增长158%，原因主要是新增退役军人，支出安排 45 万元，占支出预算100%，全部用于工程建设管理。</w:t>
      </w:r>
    </w:p>
    <w:p>
      <w:pPr>
        <w:spacing w:line="560" w:lineRule="exact"/>
        <w:ind w:firstLine="640" w:firstLineChars="200"/>
        <w:jc w:val="left"/>
        <w:rPr>
          <w:rFonts w:hint="eastAsia" w:ascii="黑体" w:hAnsi="Calibri" w:eastAsia="黑体" w:cs="Times New Roman"/>
          <w:sz w:val="32"/>
          <w:szCs w:val="32"/>
        </w:rPr>
      </w:pPr>
      <w:r>
        <w:rPr>
          <w:rFonts w:hint="eastAsia" w:ascii="黑体" w:hAnsi="Calibri" w:eastAsia="黑体" w:cs="Times New Roman"/>
          <w:sz w:val="32"/>
          <w:szCs w:val="32"/>
        </w:rPr>
        <w:t>四、关于2022年财政拨款收支预算总体情况说明</w:t>
      </w:r>
    </w:p>
    <w:p>
      <w:pPr>
        <w:pStyle w:val="4"/>
        <w:adjustRightInd w:val="0"/>
        <w:snapToGrid w:val="0"/>
        <w:spacing w:before="0" w:beforeAutospacing="0" w:after="0" w:afterAutospacing="0" w:line="560" w:lineRule="exact"/>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五河县建筑工程质量管理中心2022年财政拨款收支预算45万元，全部为一般公共预算财政拨款收入，支出按功能分类分为：工程建筑管理45万元，占100%；</w:t>
      </w:r>
    </w:p>
    <w:p>
      <w:pPr>
        <w:spacing w:line="560" w:lineRule="exact"/>
        <w:ind w:firstLine="640" w:firstLineChars="200"/>
        <w:jc w:val="left"/>
        <w:rPr>
          <w:rFonts w:hint="eastAsia" w:ascii="仿宋_GB2312" w:eastAsia="仿宋_GB2312"/>
          <w:b/>
          <w:sz w:val="32"/>
          <w:szCs w:val="32"/>
        </w:rPr>
      </w:pPr>
      <w:r>
        <w:rPr>
          <w:rFonts w:hint="eastAsia" w:ascii="黑体" w:eastAsia="黑体"/>
          <w:sz w:val="32"/>
          <w:szCs w:val="32"/>
        </w:rPr>
        <w:t>五、关于2022</w:t>
      </w:r>
      <w:r>
        <w:rPr>
          <w:rFonts w:hint="eastAsia" w:ascii="黑体" w:hAnsi="仿宋" w:eastAsia="黑体"/>
          <w:sz w:val="32"/>
          <w:szCs w:val="32"/>
        </w:rPr>
        <w:t>年一般公共预算拨款情况说明</w:t>
      </w:r>
    </w:p>
    <w:p>
      <w:pPr>
        <w:pStyle w:val="4"/>
        <w:adjustRightInd w:val="0"/>
        <w:snapToGrid w:val="0"/>
        <w:spacing w:before="0" w:beforeAutospacing="0" w:after="0" w:afterAutospacing="0" w:line="560" w:lineRule="exact"/>
        <w:ind w:firstLine="630" w:firstLineChars="196"/>
        <w:rPr>
          <w:rFonts w:hint="eastAsia"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（一）一般公共预算拨款规模变化情况。</w:t>
      </w:r>
    </w:p>
    <w:p>
      <w:pPr>
        <w:pStyle w:val="4"/>
        <w:adjustRightInd w:val="0"/>
        <w:snapToGrid w:val="0"/>
        <w:spacing w:before="0" w:beforeAutospacing="0" w:after="0" w:afterAutospacing="0" w:line="560" w:lineRule="exact"/>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五河县建筑工程质量管理中心2022年一般公共预算拨款45万元，比2021年预算拨款增加（减少）27.6万元，增长158%，原因主要是新增安置退役军人。</w:t>
      </w:r>
    </w:p>
    <w:p>
      <w:pPr>
        <w:pStyle w:val="4"/>
        <w:adjustRightInd w:val="0"/>
        <w:snapToGrid w:val="0"/>
        <w:spacing w:before="0" w:beforeAutospacing="0" w:after="0" w:afterAutospacing="0" w:line="560" w:lineRule="exact"/>
        <w:ind w:firstLine="630" w:firstLineChars="196"/>
        <w:rPr>
          <w:rFonts w:hint="eastAsia" w:ascii="楷体_GB2312" w:hAnsi="仿宋" w:eastAsia="楷体_GB2312" w:cs="Times New Roman"/>
          <w:b/>
          <w:kern w:val="2"/>
          <w:sz w:val="32"/>
          <w:szCs w:val="32"/>
        </w:rPr>
      </w:pPr>
      <w:r>
        <w:rPr>
          <w:rFonts w:hint="eastAsia" w:ascii="楷体_GB2312" w:hAnsi="仿宋" w:eastAsia="楷体_GB2312" w:cs="Times New Roman"/>
          <w:b/>
          <w:kern w:val="2"/>
          <w:sz w:val="32"/>
          <w:szCs w:val="32"/>
        </w:rPr>
        <w:t>（二</w:t>
      </w:r>
      <w:r>
        <w:rPr>
          <w:rFonts w:ascii="楷体_GB2312" w:hAnsi="仿宋" w:eastAsia="楷体_GB2312" w:cs="Times New Roman"/>
          <w:b/>
          <w:kern w:val="2"/>
          <w:sz w:val="32"/>
          <w:szCs w:val="32"/>
        </w:rPr>
        <w:t>）</w:t>
      </w:r>
      <w:r>
        <w:rPr>
          <w:rFonts w:hint="eastAsia" w:ascii="楷体_GB2312" w:hAnsi="仿宋" w:eastAsia="楷体_GB2312" w:cs="Times New Roman"/>
          <w:b/>
          <w:kern w:val="2"/>
          <w:sz w:val="32"/>
          <w:szCs w:val="32"/>
        </w:rPr>
        <w:t>一般公共预算拨款结构情况。</w:t>
      </w:r>
    </w:p>
    <w:p>
      <w:pPr>
        <w:spacing w:line="560" w:lineRule="exact"/>
        <w:ind w:left="160" w:leftChars="76" w:firstLine="480" w:firstLineChars="150"/>
        <w:jc w:val="left"/>
        <w:rPr>
          <w:rFonts w:hint="eastAsia" w:ascii="仿宋_GB2312" w:hAnsi="仿宋" w:eastAsia="仿宋_GB2312" w:cs="Times New Roman"/>
          <w:kern w:val="2"/>
          <w:sz w:val="32"/>
          <w:szCs w:val="32"/>
          <w:lang w:eastAsia="zh-CN"/>
        </w:rPr>
      </w:pPr>
      <w:r>
        <w:rPr>
          <w:rFonts w:hint="eastAsia" w:ascii="仿宋_GB2312" w:hAnsi="仿宋" w:eastAsia="仿宋_GB2312" w:cs="Times New Roman"/>
          <w:kern w:val="2"/>
          <w:sz w:val="32"/>
          <w:szCs w:val="32"/>
          <w:lang w:val="en-US" w:eastAsia="zh-CN"/>
        </w:rPr>
        <w:t>工程建设管理</w:t>
      </w:r>
      <w:r>
        <w:rPr>
          <w:rFonts w:hint="eastAsia" w:ascii="仿宋_GB2312" w:hAnsi="仿宋" w:eastAsia="仿宋_GB2312" w:cs="Times New Roman"/>
          <w:kern w:val="2"/>
          <w:sz w:val="32"/>
          <w:szCs w:val="32"/>
        </w:rPr>
        <w:t>支出</w:t>
      </w:r>
      <w:r>
        <w:rPr>
          <w:rFonts w:hint="eastAsia" w:ascii="仿宋_GB2312" w:hAnsi="仿宋" w:eastAsia="仿宋_GB2312" w:cs="Times New Roman"/>
          <w:kern w:val="2"/>
          <w:sz w:val="32"/>
          <w:szCs w:val="32"/>
          <w:lang w:val="en-US" w:eastAsia="zh-CN"/>
        </w:rPr>
        <w:t>45</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100</w:t>
      </w:r>
      <w:r>
        <w:rPr>
          <w:rFonts w:hint="eastAsia" w:ascii="仿宋_GB2312" w:hAnsi="仿宋" w:eastAsia="仿宋_GB2312" w:cs="Times New Roman"/>
          <w:kern w:val="2"/>
          <w:sz w:val="32"/>
          <w:szCs w:val="32"/>
        </w:rPr>
        <w:t>%</w:t>
      </w:r>
      <w:r>
        <w:rPr>
          <w:rFonts w:hint="eastAsia" w:ascii="仿宋_GB2312" w:hAnsi="仿宋" w:eastAsia="仿宋_GB2312" w:cs="Times New Roman"/>
          <w:kern w:val="2"/>
          <w:sz w:val="32"/>
          <w:szCs w:val="32"/>
          <w:lang w:eastAsia="zh-CN"/>
        </w:rPr>
        <w:t>。</w:t>
      </w:r>
    </w:p>
    <w:p>
      <w:pPr>
        <w:spacing w:line="560" w:lineRule="exact"/>
        <w:ind w:left="160" w:leftChars="76" w:firstLine="482" w:firstLineChars="150"/>
        <w:jc w:val="left"/>
        <w:rPr>
          <w:rFonts w:hint="eastAsia" w:ascii="楷体_GB2312" w:eastAsia="楷体_GB2312"/>
          <w:b/>
          <w:sz w:val="32"/>
          <w:szCs w:val="32"/>
        </w:rPr>
      </w:pPr>
      <w:r>
        <w:rPr>
          <w:rFonts w:hint="eastAsia" w:ascii="楷体_GB2312" w:eastAsia="楷体_GB2312"/>
          <w:b/>
          <w:sz w:val="32"/>
          <w:szCs w:val="32"/>
        </w:rPr>
        <w:t>（三）一般公共预算拨款具体使用情况</w:t>
      </w:r>
    </w:p>
    <w:p>
      <w:pPr>
        <w:pStyle w:val="4"/>
        <w:adjustRightInd w:val="0"/>
        <w:snapToGrid w:val="0"/>
        <w:spacing w:before="0" w:beforeAutospacing="0" w:after="0" w:afterAutospacing="0"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工程建设管理</w:t>
      </w:r>
      <w:r>
        <w:rPr>
          <w:rFonts w:hint="eastAsia" w:ascii="仿宋_GB2312" w:eastAsia="仿宋_GB2312"/>
          <w:sz w:val="32"/>
          <w:szCs w:val="32"/>
        </w:rPr>
        <w:t xml:space="preserve">支出（类）财政事务（款）行政运行（项）2022 年预算  </w:t>
      </w:r>
      <w:r>
        <w:rPr>
          <w:rFonts w:hint="eastAsia" w:ascii="仿宋_GB2312" w:eastAsia="仿宋_GB2312"/>
          <w:sz w:val="32"/>
          <w:szCs w:val="32"/>
          <w:lang w:val="en-US" w:eastAsia="zh-CN"/>
        </w:rPr>
        <w:t>45</w:t>
      </w:r>
      <w:r>
        <w:rPr>
          <w:rFonts w:hint="eastAsia" w:ascii="仿宋_GB2312" w:eastAsia="仿宋_GB2312"/>
          <w:sz w:val="32"/>
          <w:szCs w:val="32"/>
        </w:rPr>
        <w:t>万元，比 2021 年预算增加</w:t>
      </w:r>
      <w:r>
        <w:rPr>
          <w:rFonts w:hint="eastAsia" w:ascii="仿宋_GB2312" w:eastAsia="仿宋_GB2312"/>
          <w:sz w:val="32"/>
          <w:szCs w:val="32"/>
          <w:lang w:val="en-US" w:eastAsia="zh-CN"/>
        </w:rPr>
        <w:t>27.6</w:t>
      </w:r>
      <w:r>
        <w:rPr>
          <w:rFonts w:hint="eastAsia" w:ascii="仿宋_GB2312" w:eastAsia="仿宋_GB2312"/>
          <w:sz w:val="32"/>
          <w:szCs w:val="32"/>
        </w:rPr>
        <w:t>万元，增长</w:t>
      </w:r>
      <w:r>
        <w:rPr>
          <w:rFonts w:hint="eastAsia" w:ascii="仿宋_GB2312" w:eastAsia="仿宋_GB2312"/>
          <w:sz w:val="32"/>
          <w:szCs w:val="32"/>
          <w:lang w:val="en-US" w:eastAsia="zh-CN"/>
        </w:rPr>
        <w:t>158</w:t>
      </w:r>
      <w:r>
        <w:rPr>
          <w:rFonts w:hint="eastAsia" w:ascii="仿宋_GB2312" w:eastAsia="仿宋_GB2312"/>
          <w:sz w:val="32"/>
          <w:szCs w:val="32"/>
        </w:rPr>
        <w:t>%，增长原因主要是</w:t>
      </w:r>
      <w:r>
        <w:rPr>
          <w:rFonts w:hint="eastAsia" w:ascii="仿宋_GB2312" w:eastAsia="仿宋_GB2312"/>
          <w:sz w:val="32"/>
          <w:szCs w:val="32"/>
          <w:lang w:val="en-US" w:eastAsia="zh-CN"/>
        </w:rPr>
        <w:t>新增退役军人。</w:t>
      </w:r>
    </w:p>
    <w:p>
      <w:pPr>
        <w:pStyle w:val="4"/>
        <w:adjustRightInd w:val="0"/>
        <w:snapToGrid w:val="0"/>
        <w:spacing w:before="0" w:beforeAutospacing="0" w:after="0" w:afterAutospacing="0" w:line="560" w:lineRule="exact"/>
        <w:ind w:firstLine="640" w:firstLineChars="200"/>
        <w:rPr>
          <w:rFonts w:hint="eastAsia" w:ascii="黑体" w:eastAsia="黑体"/>
        </w:rPr>
      </w:pPr>
      <w:r>
        <w:rPr>
          <w:rFonts w:hint="eastAsia" w:ascii="黑体" w:hAnsi="仿宋" w:eastAsia="黑体" w:cs="Times New Roman"/>
          <w:kern w:val="2"/>
          <w:sz w:val="32"/>
          <w:szCs w:val="32"/>
        </w:rPr>
        <w:t>六、关于2022年一般公共预算基本支出情况说明</w:t>
      </w:r>
    </w:p>
    <w:p>
      <w:pPr>
        <w:pStyle w:val="4"/>
        <w:adjustRightInd w:val="0"/>
        <w:snapToGrid w:val="0"/>
        <w:spacing w:before="0" w:beforeAutospacing="0" w:after="0" w:afterAutospacing="0"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五河县建筑工程质量管理中心2022年</w:t>
      </w:r>
      <w:r>
        <w:rPr>
          <w:rFonts w:hint="eastAsia" w:ascii="仿宋_GB2312" w:eastAsia="仿宋_GB2312"/>
          <w:sz w:val="32"/>
          <w:szCs w:val="32"/>
        </w:rPr>
        <w:t>一般公共预算基本支出</w:t>
      </w:r>
      <w:r>
        <w:rPr>
          <w:rFonts w:hint="eastAsia" w:ascii="仿宋_GB2312" w:eastAsia="仿宋_GB2312"/>
          <w:sz w:val="32"/>
          <w:szCs w:val="32"/>
          <w:lang w:val="en-US" w:eastAsia="zh-CN"/>
        </w:rPr>
        <w:t>45万元，其中人员经费43.2万元，公用经费1.8万元。</w:t>
      </w:r>
    </w:p>
    <w:p>
      <w:pPr>
        <w:pStyle w:val="4"/>
        <w:numPr>
          <w:ilvl w:val="0"/>
          <w:numId w:val="2"/>
        </w:numPr>
        <w:adjustRightInd w:val="0"/>
        <w:snapToGrid w:val="0"/>
        <w:spacing w:before="0" w:beforeAutospacing="0" w:after="0" w:afterAutospacing="0"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人员经费43.2万元，主要包括退役军人工资、公积金、基本养老保险、医疗保险费、其他社会保障费、其他工资福利支出。</w:t>
      </w:r>
    </w:p>
    <w:p>
      <w:pPr>
        <w:pStyle w:val="4"/>
        <w:numPr>
          <w:ilvl w:val="0"/>
          <w:numId w:val="2"/>
        </w:numPr>
        <w:adjustRightInd w:val="0"/>
        <w:snapToGrid w:val="0"/>
        <w:spacing w:before="0" w:beforeAutospacing="0" w:after="0" w:afterAutospacing="0"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公用经费1.8万元，主要包括退役军人办公费、差旅费、工会经费、福利费等。</w:t>
      </w:r>
    </w:p>
    <w:p>
      <w:pPr>
        <w:pStyle w:val="4"/>
        <w:adjustRightInd w:val="0"/>
        <w:snapToGrid w:val="0"/>
        <w:spacing w:before="0" w:beforeAutospacing="0" w:after="0" w:afterAutospacing="0" w:line="560" w:lineRule="exact"/>
        <w:ind w:firstLine="640" w:firstLineChars="200"/>
        <w:rPr>
          <w:rFonts w:hint="eastAsia" w:ascii="黑体" w:hAnsi="仿宋" w:eastAsia="黑体"/>
          <w:sz w:val="32"/>
          <w:szCs w:val="32"/>
        </w:rPr>
      </w:pPr>
      <w:r>
        <w:rPr>
          <w:rFonts w:hint="eastAsia" w:ascii="黑体" w:hAnsi="仿宋" w:eastAsia="黑体"/>
          <w:sz w:val="32"/>
          <w:szCs w:val="32"/>
        </w:rPr>
        <w:t>七、关于202</w:t>
      </w:r>
      <w:r>
        <w:rPr>
          <w:rFonts w:hint="eastAsia" w:ascii="黑体" w:hAnsi="仿宋" w:eastAsia="黑体"/>
          <w:sz w:val="32"/>
          <w:szCs w:val="32"/>
          <w:lang w:val="en-US" w:eastAsia="zh-CN"/>
        </w:rPr>
        <w:t>2</w:t>
      </w:r>
      <w:r>
        <w:rPr>
          <w:rFonts w:hint="eastAsia" w:ascii="黑体" w:hAnsi="仿宋" w:eastAsia="黑体"/>
          <w:sz w:val="32"/>
          <w:szCs w:val="32"/>
        </w:rPr>
        <w:t>年政府性基金预算拨款情况说明</w:t>
      </w:r>
    </w:p>
    <w:p>
      <w:pPr>
        <w:pStyle w:val="4"/>
        <w:adjustRightInd w:val="0"/>
        <w:snapToGrid w:val="0"/>
        <w:spacing w:before="0" w:beforeAutospacing="0" w:after="0" w:afterAutospacing="0"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五河县建筑工程质量管理中心2022年没有政府性基金预算拨款收入，也没有政府性基金预算拨款安排的支出。</w:t>
      </w:r>
    </w:p>
    <w:p>
      <w:pPr>
        <w:widowControl/>
        <w:adjustRightInd w:val="0"/>
        <w:snapToGrid w:val="0"/>
        <w:spacing w:line="560" w:lineRule="exact"/>
        <w:ind w:firstLine="640" w:firstLineChars="200"/>
        <w:jc w:val="left"/>
        <w:rPr>
          <w:rFonts w:hint="eastAsia" w:ascii="黑体" w:eastAsia="黑体"/>
          <w:sz w:val="36"/>
          <w:szCs w:val="36"/>
        </w:rPr>
      </w:pPr>
      <w:r>
        <w:rPr>
          <w:rFonts w:hint="eastAsia" w:ascii="黑体" w:hAnsi="仿宋" w:eastAsia="黑体"/>
          <w:sz w:val="32"/>
          <w:szCs w:val="32"/>
        </w:rPr>
        <w:t>八、关于2022年国有资本经营预算拨款情况说明</w:t>
      </w:r>
    </w:p>
    <w:p>
      <w:pPr>
        <w:pStyle w:val="4"/>
        <w:adjustRightInd w:val="0"/>
        <w:snapToGrid w:val="0"/>
        <w:spacing w:before="0" w:beforeAutospacing="0" w:after="0" w:afterAutospacing="0"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五河县建筑工程质量管理中心2022年没有国有资本经营预算拨款收入，也没有使用国有资本经营预算拨款安排的支出。</w:t>
      </w:r>
    </w:p>
    <w:p>
      <w:pPr>
        <w:pStyle w:val="4"/>
        <w:adjustRightInd w:val="0"/>
        <w:snapToGrid w:val="0"/>
        <w:spacing w:before="0" w:beforeAutospacing="0" w:after="0" w:afterAutospacing="0" w:line="560" w:lineRule="exact"/>
        <w:ind w:firstLine="640" w:firstLineChars="200"/>
        <w:rPr>
          <w:rFonts w:hint="eastAsia" w:ascii="黑体" w:hAnsi="仿宋" w:eastAsia="黑体" w:cs="Times New Roman"/>
          <w:kern w:val="2"/>
          <w:sz w:val="32"/>
          <w:szCs w:val="32"/>
        </w:rPr>
      </w:pPr>
      <w:r>
        <w:rPr>
          <w:rFonts w:hint="eastAsia" w:ascii="黑体" w:hAnsi="仿宋" w:eastAsia="黑体" w:cs="Times New Roman"/>
          <w:kern w:val="2"/>
          <w:sz w:val="32"/>
          <w:szCs w:val="32"/>
        </w:rPr>
        <w:t>九、关于2022年单位项目支出情况说明</w:t>
      </w:r>
    </w:p>
    <w:p>
      <w:pPr>
        <w:pStyle w:val="4"/>
        <w:adjustRightInd w:val="0"/>
        <w:snapToGrid w:val="0"/>
        <w:spacing w:before="0" w:beforeAutospacing="0" w:after="0" w:afterAutospacing="0"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五河县建筑工程质量管理中心2022年度未安排项目支出预算。</w:t>
      </w:r>
    </w:p>
    <w:p>
      <w:pPr>
        <w:pStyle w:val="4"/>
        <w:adjustRightInd w:val="0"/>
        <w:snapToGrid w:val="0"/>
        <w:spacing w:before="0" w:beforeAutospacing="0" w:after="0" w:afterAutospacing="0" w:line="560" w:lineRule="exact"/>
        <w:ind w:firstLine="640" w:firstLineChars="200"/>
        <w:rPr>
          <w:rFonts w:ascii="黑体" w:hAnsi="仿宋" w:eastAsia="黑体" w:cs="Times New Roman"/>
          <w:kern w:val="2"/>
          <w:sz w:val="32"/>
          <w:szCs w:val="32"/>
        </w:rPr>
      </w:pPr>
      <w:r>
        <w:rPr>
          <w:rFonts w:hint="eastAsia" w:ascii="黑体" w:hAnsi="仿宋" w:eastAsia="黑体" w:cs="Times New Roman"/>
          <w:kern w:val="2"/>
          <w:sz w:val="32"/>
          <w:szCs w:val="32"/>
        </w:rPr>
        <w:t>十、关于 2022 年政府采购支出表的说明</w:t>
      </w:r>
    </w:p>
    <w:p>
      <w:pPr>
        <w:pStyle w:val="4"/>
        <w:adjustRightInd w:val="0"/>
        <w:snapToGrid w:val="0"/>
        <w:spacing w:before="0" w:beforeAutospacing="0" w:after="0" w:afterAutospacing="0" w:line="560" w:lineRule="exact"/>
        <w:ind w:firstLine="640" w:firstLineChars="200"/>
        <w:rPr>
          <w:rFonts w:hint="eastAsia" w:ascii="仿宋_GB2312" w:eastAsia="仿宋_GB2312"/>
          <w:sz w:val="32"/>
          <w:szCs w:val="32"/>
          <w:lang w:val="en-US" w:eastAsia="zh-CN"/>
        </w:rPr>
      </w:pPr>
      <w:bookmarkStart w:id="0" w:name="安徽省XX（部门、单位名称）2022年没有使用一般公共预算拨款、政府性基金预算拨"/>
      <w:bookmarkEnd w:id="0"/>
      <w:bookmarkStart w:id="1" w:name="【如本部门（单位）未安排政府采购预算说明如下】"/>
      <w:bookmarkEnd w:id="1"/>
      <w:r>
        <w:rPr>
          <w:rFonts w:hint="eastAsia" w:ascii="仿宋_GB2312" w:eastAsia="仿宋_GB2312"/>
          <w:sz w:val="32"/>
          <w:szCs w:val="32"/>
          <w:lang w:val="en-US" w:eastAsia="zh-CN"/>
        </w:rPr>
        <w:t>五河县建筑工程质量管理中心2022年度没有使用一般公共预算拨款、政府性基金预算拨款、国有资本经营预算拨款、财政专户管理资金和单位资金安排的政府采购支出。</w:t>
      </w:r>
    </w:p>
    <w:p>
      <w:pPr>
        <w:pStyle w:val="4"/>
        <w:adjustRightInd w:val="0"/>
        <w:snapToGrid w:val="0"/>
        <w:spacing w:before="0" w:beforeAutospacing="0" w:after="0" w:afterAutospacing="0" w:line="560" w:lineRule="exact"/>
        <w:ind w:firstLine="640" w:firstLineChars="200"/>
        <w:rPr>
          <w:rFonts w:ascii="黑体" w:hAnsi="仿宋" w:eastAsia="黑体" w:cs="Times New Roman"/>
          <w:kern w:val="2"/>
          <w:sz w:val="32"/>
          <w:szCs w:val="32"/>
        </w:rPr>
      </w:pPr>
      <w:bookmarkStart w:id="2" w:name="【如本部门（单位）安排政府采购预算说明如下】"/>
      <w:bookmarkEnd w:id="2"/>
      <w:r>
        <w:rPr>
          <w:rFonts w:hint="eastAsia" w:ascii="黑体" w:hAnsi="仿宋" w:eastAsia="黑体" w:cs="Times New Roman"/>
          <w:kern w:val="2"/>
          <w:sz w:val="32"/>
          <w:szCs w:val="32"/>
        </w:rPr>
        <w:t>十一、关于 2022年政府购买服务支出表的说明</w:t>
      </w:r>
    </w:p>
    <w:p>
      <w:pPr>
        <w:pStyle w:val="3"/>
        <w:spacing w:line="560" w:lineRule="exact"/>
        <w:ind w:firstLine="640" w:firstLineChars="200"/>
      </w:pPr>
      <w:bookmarkStart w:id="3" w:name="【如本部门（单位）未安排政府购买服务预算说明如下】"/>
      <w:bookmarkEnd w:id="3"/>
      <w:bookmarkStart w:id="4" w:name="安徽省XX（部门、单位名称）2022年没有安排政府购买服务支出。"/>
      <w:bookmarkEnd w:id="4"/>
      <w:r>
        <w:rPr>
          <w:rFonts w:hint="eastAsia" w:ascii="仿宋_GB2312" w:eastAsia="仿宋_GB2312"/>
          <w:sz w:val="32"/>
          <w:szCs w:val="32"/>
          <w:lang w:val="en-US" w:eastAsia="zh-CN"/>
        </w:rPr>
        <w:t>五河县建筑工程质量管理中心</w:t>
      </w:r>
      <w:r>
        <w:t>2022年没有安排政府购买服务支出。</w:t>
      </w:r>
    </w:p>
    <w:p>
      <w:pPr>
        <w:widowControl/>
        <w:numPr>
          <w:ilvl w:val="0"/>
          <w:numId w:val="3"/>
        </w:numPr>
        <w:adjustRightInd w:val="0"/>
        <w:snapToGrid w:val="0"/>
        <w:spacing w:line="560" w:lineRule="exact"/>
        <w:ind w:firstLine="640" w:firstLineChars="200"/>
        <w:jc w:val="left"/>
        <w:rPr>
          <w:rFonts w:hint="eastAsia" w:ascii="黑体" w:hAnsi="仿宋" w:eastAsia="黑体"/>
          <w:sz w:val="32"/>
          <w:szCs w:val="32"/>
        </w:rPr>
      </w:pPr>
      <w:bookmarkStart w:id="5" w:name="【如本部门（单位）安排政府购买服务预算说明如下】"/>
      <w:bookmarkEnd w:id="5"/>
      <w:r>
        <w:rPr>
          <w:rFonts w:hint="eastAsia" w:ascii="黑体" w:hAnsi="仿宋" w:eastAsia="黑体"/>
          <w:sz w:val="32"/>
          <w:szCs w:val="32"/>
        </w:rPr>
        <w:t>其他重要事项的情况说明</w:t>
      </w:r>
    </w:p>
    <w:p>
      <w:pPr>
        <w:adjustRightInd w:val="0"/>
        <w:snapToGrid w:val="0"/>
        <w:spacing w:line="560" w:lineRule="exact"/>
        <w:ind w:firstLine="640" w:firstLineChars="200"/>
        <w:rPr>
          <w:rFonts w:hint="default" w:ascii="仿宋_GB2312" w:hAnsi="楷体" w:eastAsia="仿宋_GB2312" w:cs="宋体"/>
          <w:color w:val="auto"/>
          <w:kern w:val="0"/>
          <w:sz w:val="32"/>
          <w:lang w:val="en-US" w:eastAsia="zh-CN"/>
        </w:rPr>
      </w:pPr>
      <w:r>
        <w:rPr>
          <w:rFonts w:hint="eastAsia" w:ascii="仿宋_GB2312" w:hAnsi="楷体" w:eastAsia="仿宋_GB2312" w:cs="宋体"/>
          <w:color w:val="auto"/>
          <w:kern w:val="0"/>
          <w:sz w:val="32"/>
          <w:lang w:val="en-US" w:eastAsia="zh-CN"/>
        </w:rPr>
        <w:t>五河县建筑工程质量管理中心2022年未安排其他重要事项</w:t>
      </w:r>
    </w:p>
    <w:p>
      <w:pPr>
        <w:widowControl/>
        <w:numPr>
          <w:ilvl w:val="0"/>
          <w:numId w:val="0"/>
        </w:numPr>
        <w:adjustRightInd w:val="0"/>
        <w:snapToGrid w:val="0"/>
        <w:spacing w:line="560" w:lineRule="exact"/>
        <w:jc w:val="left"/>
        <w:rPr>
          <w:rFonts w:hint="eastAsia" w:ascii="黑体" w:hAnsi="仿宋" w:eastAsia="黑体"/>
          <w:color w:val="auto"/>
          <w:sz w:val="32"/>
          <w:szCs w:val="32"/>
        </w:rPr>
      </w:pPr>
    </w:p>
    <w:p>
      <w:pPr>
        <w:adjustRightInd w:val="0"/>
        <w:snapToGrid w:val="0"/>
        <w:spacing w:line="560" w:lineRule="exact"/>
        <w:ind w:firstLine="640" w:firstLineChars="200"/>
        <w:rPr>
          <w:rFonts w:hint="eastAsia" w:ascii="仿宋_GB2312" w:hAnsi="楷体" w:eastAsia="仿宋_GB2312" w:cs="宋体"/>
          <w:color w:val="FF0000"/>
          <w:kern w:val="0"/>
          <w:sz w:val="32"/>
        </w:rPr>
      </w:pPr>
    </w:p>
    <w:p>
      <w:pPr>
        <w:adjustRightInd w:val="0"/>
        <w:snapToGrid w:val="0"/>
        <w:spacing w:line="560" w:lineRule="exact"/>
        <w:ind w:firstLine="640" w:firstLineChars="200"/>
        <w:rPr>
          <w:rFonts w:hint="eastAsia" w:ascii="仿宋_GB2312" w:hAnsi="楷体" w:eastAsia="仿宋_GB2312" w:cs="宋体"/>
          <w:color w:val="FF0000"/>
          <w:kern w:val="0"/>
          <w:sz w:val="32"/>
        </w:rPr>
      </w:pPr>
    </w:p>
    <w:p>
      <w:pPr>
        <w:adjustRightInd w:val="0"/>
        <w:snapToGrid w:val="0"/>
        <w:spacing w:line="560" w:lineRule="exact"/>
        <w:ind w:firstLine="640" w:firstLineChars="200"/>
        <w:rPr>
          <w:rFonts w:hint="eastAsia" w:ascii="仿宋_GB2312" w:hAnsi="楷体" w:eastAsia="仿宋_GB2312" w:cs="宋体"/>
          <w:color w:val="FF0000"/>
          <w:kern w:val="0"/>
          <w:sz w:val="32"/>
        </w:rPr>
      </w:pPr>
    </w:p>
    <w:p>
      <w:pPr>
        <w:adjustRightInd w:val="0"/>
        <w:snapToGrid w:val="0"/>
        <w:spacing w:line="560" w:lineRule="exact"/>
        <w:ind w:firstLine="640" w:firstLineChars="200"/>
        <w:rPr>
          <w:rFonts w:hint="eastAsia" w:ascii="仿宋_GB2312" w:hAnsi="楷体" w:eastAsia="仿宋_GB2312" w:cs="宋体"/>
          <w:color w:val="FF0000"/>
          <w:kern w:val="0"/>
          <w:sz w:val="32"/>
        </w:rPr>
      </w:pPr>
    </w:p>
    <w:p>
      <w:pPr>
        <w:adjustRightInd w:val="0"/>
        <w:snapToGrid w:val="0"/>
        <w:spacing w:line="560" w:lineRule="exact"/>
        <w:ind w:firstLine="640" w:firstLineChars="200"/>
        <w:rPr>
          <w:rFonts w:hint="eastAsia" w:ascii="仿宋_GB2312" w:hAnsi="楷体" w:eastAsia="仿宋_GB2312" w:cs="宋体"/>
          <w:color w:val="FF0000"/>
          <w:kern w:val="0"/>
          <w:sz w:val="32"/>
        </w:rPr>
      </w:pPr>
    </w:p>
    <w:p>
      <w:pPr>
        <w:adjustRightInd w:val="0"/>
        <w:snapToGrid w:val="0"/>
        <w:spacing w:line="560" w:lineRule="exact"/>
        <w:ind w:firstLine="640" w:firstLineChars="200"/>
        <w:rPr>
          <w:rFonts w:hint="eastAsia" w:ascii="仿宋_GB2312" w:hAnsi="楷体" w:eastAsia="仿宋_GB2312" w:cs="宋体"/>
          <w:color w:val="FF0000"/>
          <w:kern w:val="0"/>
          <w:sz w:val="32"/>
        </w:rPr>
      </w:pPr>
    </w:p>
    <w:p>
      <w:pPr>
        <w:adjustRightInd w:val="0"/>
        <w:snapToGrid w:val="0"/>
        <w:spacing w:line="560" w:lineRule="exact"/>
        <w:ind w:firstLine="640" w:firstLineChars="200"/>
        <w:rPr>
          <w:rFonts w:hint="eastAsia" w:ascii="仿宋_GB2312" w:hAnsi="楷体" w:eastAsia="仿宋_GB2312" w:cs="宋体"/>
          <w:color w:val="FF0000"/>
          <w:kern w:val="0"/>
          <w:sz w:val="32"/>
        </w:rPr>
      </w:pPr>
    </w:p>
    <w:p>
      <w:pPr>
        <w:adjustRightInd w:val="0"/>
        <w:snapToGrid w:val="0"/>
        <w:spacing w:line="560" w:lineRule="exact"/>
        <w:ind w:firstLine="640" w:firstLineChars="200"/>
        <w:rPr>
          <w:rFonts w:hint="eastAsia" w:ascii="仿宋_GB2312" w:hAnsi="楷体" w:eastAsia="仿宋_GB2312" w:cs="宋体"/>
          <w:color w:val="FF0000"/>
          <w:kern w:val="0"/>
          <w:sz w:val="32"/>
        </w:rPr>
      </w:pPr>
    </w:p>
    <w:p>
      <w:pPr>
        <w:autoSpaceDE w:val="0"/>
        <w:autoSpaceDN w:val="0"/>
        <w:adjustRightInd w:val="0"/>
        <w:spacing w:line="560" w:lineRule="exact"/>
        <w:ind w:firstLine="2160" w:firstLineChars="600"/>
        <w:jc w:val="both"/>
        <w:rPr>
          <w:rFonts w:hint="eastAsia" w:ascii="黑体" w:eastAsia="黑体" w:cs="SimSun-Identity-H"/>
          <w:kern w:val="0"/>
          <w:sz w:val="36"/>
          <w:szCs w:val="36"/>
        </w:rPr>
      </w:pPr>
      <w:r>
        <w:rPr>
          <w:rFonts w:hint="eastAsia" w:ascii="黑体" w:eastAsia="黑体" w:cs="SimSun-Identity-H"/>
          <w:kern w:val="0"/>
          <w:sz w:val="36"/>
          <w:szCs w:val="36"/>
        </w:rPr>
        <w:t>第三部分  名词解释</w:t>
      </w:r>
    </w:p>
    <w:p>
      <w:pPr>
        <w:autoSpaceDE w:val="0"/>
        <w:autoSpaceDN w:val="0"/>
        <w:adjustRightInd w:val="0"/>
        <w:spacing w:line="560" w:lineRule="exact"/>
        <w:ind w:firstLine="643" w:firstLineChars="200"/>
        <w:rPr>
          <w:rFonts w:hint="eastAsia" w:ascii="仿宋_GB2312" w:eastAsia="仿宋_GB2312" w:cs="FangSong_GB2312-Identity-H"/>
          <w:b/>
          <w:bCs/>
          <w:kern w:val="0"/>
          <w:sz w:val="32"/>
          <w:szCs w:val="32"/>
        </w:rPr>
      </w:pPr>
    </w:p>
    <w:p>
      <w:pPr>
        <w:adjustRightInd w:val="0"/>
        <w:snapToGrid w:val="0"/>
        <w:spacing w:line="560" w:lineRule="exact"/>
        <w:ind w:firstLine="643" w:firstLineChars="200"/>
        <w:rPr>
          <w:rFonts w:hint="eastAsia" w:ascii="仿宋_GB2312" w:hAnsi="仿宋" w:eastAsia="仿宋_GB2312"/>
          <w:sz w:val="32"/>
          <w:szCs w:val="32"/>
        </w:rPr>
      </w:pPr>
      <w:r>
        <w:rPr>
          <w:rFonts w:hint="eastAsia" w:ascii="仿宋_GB2312" w:eastAsia="仿宋_GB2312" w:cs="FangSong_GB2312-Identity-H"/>
          <w:b/>
          <w:bCs/>
          <w:kern w:val="0"/>
          <w:sz w:val="32"/>
          <w:szCs w:val="32"/>
        </w:rPr>
        <w:t>1、财政拨款收入：</w:t>
      </w:r>
      <w:r>
        <w:rPr>
          <w:rFonts w:hint="eastAsia" w:ascii="仿宋_GB2312" w:hAnsi="仿宋" w:eastAsia="仿宋_GB2312"/>
          <w:sz w:val="32"/>
          <w:szCs w:val="32"/>
        </w:rPr>
        <w:t>指县财政当年拨付的资金，主要包括一般公共预算拨款收入、政府性基金预算拨款收入、国有资本经营预算拨款收入。</w:t>
      </w:r>
    </w:p>
    <w:p>
      <w:pPr>
        <w:pStyle w:val="3"/>
        <w:adjustRightInd w:val="0"/>
        <w:spacing w:line="560" w:lineRule="exact"/>
        <w:ind w:firstLine="643" w:firstLineChars="200"/>
        <w:rPr>
          <w:rFonts w:hint="eastAsia" w:ascii="仿宋_GB2312" w:hAnsi="仿宋" w:eastAsia="仿宋_GB2312" w:cs="Times New Roman"/>
          <w:kern w:val="2"/>
        </w:rPr>
      </w:pPr>
      <w:r>
        <w:rPr>
          <w:rFonts w:hint="eastAsia" w:ascii="仿宋_GB2312" w:hAnsi="Calibri" w:eastAsia="仿宋_GB2312" w:cs="FangSong_GB2312-Identity-H"/>
          <w:b/>
          <w:bCs/>
        </w:rPr>
        <w:t>2、事业收入：</w:t>
      </w:r>
      <w:r>
        <w:rPr>
          <w:rFonts w:ascii="仿宋_GB2312" w:hAnsi="仿宋" w:eastAsia="仿宋_GB2312" w:cs="Times New Roman"/>
          <w:kern w:val="2"/>
        </w:rPr>
        <w:t>指事业单位开展专业业务活动及辅助活动所取得的收入。</w:t>
      </w:r>
    </w:p>
    <w:p>
      <w:pPr>
        <w:pStyle w:val="3"/>
        <w:adjustRightInd w:val="0"/>
        <w:spacing w:line="560" w:lineRule="exact"/>
        <w:ind w:firstLine="643" w:firstLineChars="200"/>
        <w:rPr>
          <w:rFonts w:hint="eastAsia" w:ascii="仿宋_GB2312" w:hAnsi="仿宋" w:eastAsia="仿宋_GB2312" w:cs="Times New Roman"/>
          <w:kern w:val="2"/>
        </w:rPr>
      </w:pPr>
      <w:r>
        <w:rPr>
          <w:rFonts w:hint="eastAsia" w:ascii="仿宋_GB2312" w:hAnsi="Calibri" w:eastAsia="仿宋_GB2312" w:cs="FangSong_GB2312-Identity-H"/>
          <w:b/>
          <w:bCs/>
        </w:rPr>
        <w:t>3、财政专户管理资金：</w:t>
      </w:r>
      <w:r>
        <w:rPr>
          <w:rFonts w:ascii="仿宋_GB2312" w:hAnsi="仿宋" w:eastAsia="仿宋_GB2312" w:cs="Times New Roman"/>
          <w:kern w:val="2"/>
        </w:rPr>
        <w:t>指按照非税收入管理相关规定，纳入财政专户管理的教育收费等。</w:t>
      </w:r>
    </w:p>
    <w:p>
      <w:pPr>
        <w:pStyle w:val="3"/>
        <w:adjustRightInd w:val="0"/>
        <w:spacing w:line="560" w:lineRule="exact"/>
        <w:ind w:firstLine="643" w:firstLineChars="200"/>
        <w:rPr>
          <w:rFonts w:hint="eastAsia" w:ascii="仿宋_GB2312" w:hAnsi="仿宋" w:eastAsia="仿宋_GB2312" w:cs="Times New Roman"/>
          <w:kern w:val="2"/>
        </w:rPr>
      </w:pPr>
      <w:r>
        <w:rPr>
          <w:rFonts w:hint="eastAsia" w:ascii="仿宋_GB2312" w:hAnsi="Calibri" w:eastAsia="仿宋_GB2312" w:cs="FangSong_GB2312-Identity-H"/>
          <w:b/>
          <w:bCs/>
        </w:rPr>
        <w:t>4、事业单位经营收入：</w:t>
      </w:r>
      <w:r>
        <w:rPr>
          <w:rFonts w:ascii="仿宋_GB2312" w:hAnsi="仿宋" w:eastAsia="仿宋_GB2312" w:cs="Times New Roman"/>
          <w:kern w:val="2"/>
        </w:rPr>
        <w:t>指事业单位在专业业务活动及其辅助活动之外开展非独立核算经营活动取得的收入。</w:t>
      </w:r>
    </w:p>
    <w:p>
      <w:pPr>
        <w:pStyle w:val="3"/>
        <w:adjustRightInd w:val="0"/>
        <w:spacing w:line="560" w:lineRule="exact"/>
        <w:ind w:firstLine="572" w:firstLineChars="200"/>
        <w:rPr>
          <w:rFonts w:ascii="仿宋_GB2312" w:hAnsi="仿宋" w:eastAsia="仿宋_GB2312" w:cs="Times New Roman"/>
          <w:kern w:val="2"/>
        </w:rPr>
      </w:pPr>
      <w:r>
        <w:rPr>
          <w:rFonts w:hint="eastAsia" w:ascii="黑体" w:eastAsia="宋体"/>
          <w:spacing w:val="-17"/>
        </w:rPr>
        <w:t>5</w:t>
      </w:r>
      <w:r>
        <w:rPr>
          <w:rFonts w:hint="eastAsia" w:ascii="仿宋_GB2312" w:hAnsi="Calibri" w:eastAsia="仿宋_GB2312" w:cs="FangSong_GB2312-Identity-H"/>
          <w:b/>
          <w:bCs/>
        </w:rPr>
        <w:t>、附属单位上缴收入：</w:t>
      </w:r>
      <w:r>
        <w:rPr>
          <w:rFonts w:ascii="仿宋_GB2312" w:hAnsi="仿宋" w:eastAsia="仿宋_GB2312" w:cs="Times New Roman"/>
          <w:kern w:val="2"/>
        </w:rPr>
        <w:t>本单位所属下级单位上缴给本单位的全部收入。</w:t>
      </w:r>
    </w:p>
    <w:p>
      <w:pPr>
        <w:pStyle w:val="3"/>
        <w:spacing w:line="560" w:lineRule="exact"/>
        <w:ind w:firstLine="643" w:firstLineChars="200"/>
        <w:rPr>
          <w:rFonts w:hint="eastAsia" w:ascii="仿宋_GB2312" w:hAnsi="Calibri" w:eastAsia="仿宋_GB2312" w:cs="FangSong_GB2312-Identity-H"/>
        </w:rPr>
      </w:pPr>
      <w:r>
        <w:rPr>
          <w:rFonts w:hint="eastAsia" w:ascii="仿宋_GB2312" w:eastAsia="仿宋_GB2312" w:cs="FangSong_GB2312-Identity-H"/>
          <w:b/>
          <w:bCs/>
        </w:rPr>
        <w:t>6、上年结转：</w:t>
      </w:r>
      <w:r>
        <w:rPr>
          <w:rFonts w:ascii="仿宋_GB2312" w:hAnsi="Calibri" w:eastAsia="仿宋_GB2312" w:cs="FangSong_GB2312-Identity-H"/>
        </w:rPr>
        <w:t>指以前年度安排、结转到本年仍按原用途继 续使用的资金。</w:t>
      </w:r>
    </w:p>
    <w:p>
      <w:pPr>
        <w:pStyle w:val="3"/>
        <w:spacing w:line="560" w:lineRule="exact"/>
        <w:ind w:firstLine="643" w:firstLineChars="200"/>
        <w:rPr>
          <w:rFonts w:hint="eastAsia" w:ascii="仿宋_GB2312" w:eastAsia="仿宋_GB2312" w:cs="FangSong_GB2312-Identity-H"/>
        </w:rPr>
      </w:pPr>
      <w:r>
        <w:rPr>
          <w:rFonts w:hint="eastAsia" w:ascii="仿宋_GB2312" w:eastAsia="仿宋_GB2312" w:cs="FangSong_GB2312-Identity-H"/>
          <w:b/>
          <w:bCs/>
        </w:rPr>
        <w:t>7、结转下年</w:t>
      </w:r>
      <w:r>
        <w:rPr>
          <w:rFonts w:hint="eastAsia" w:ascii="仿宋_GB2312" w:eastAsia="仿宋_GB2312" w:cs="FangSong_GB2312-Identity-H"/>
        </w:rPr>
        <w:t>：</w:t>
      </w:r>
      <w:r>
        <w:rPr>
          <w:rFonts w:ascii="仿宋_GB2312" w:eastAsia="仿宋_GB2312" w:cs="FangSong_GB2312-Identity-H"/>
        </w:rPr>
        <w:t>指以前年度预算安排、因客观条件发生变化无法按原计划实施，需以后年度按原用途继续使用的资金。</w:t>
      </w:r>
    </w:p>
    <w:p>
      <w:pPr>
        <w:widowControl/>
        <w:adjustRightInd w:val="0"/>
        <w:snapToGrid w:val="0"/>
        <w:spacing w:line="560" w:lineRule="exact"/>
        <w:ind w:firstLine="643" w:firstLineChars="200"/>
        <w:jc w:val="left"/>
        <w:rPr>
          <w:rFonts w:hint="eastAsia" w:ascii="仿宋_GB2312" w:hAnsi="楷体" w:eastAsia="仿宋_GB2312" w:cs="宋体"/>
          <w:kern w:val="0"/>
          <w:sz w:val="32"/>
          <w:lang w:val="en-US" w:eastAsia="zh-CN"/>
        </w:rPr>
      </w:pPr>
      <w:r>
        <w:rPr>
          <w:rFonts w:hint="eastAsia" w:ascii="仿宋_GB2312" w:hAnsi="宋体" w:eastAsia="仿宋_GB2312" w:cs="FangSong_GB2312-Identity-H"/>
          <w:b/>
          <w:bCs/>
          <w:kern w:val="0"/>
          <w:sz w:val="32"/>
          <w:szCs w:val="32"/>
          <w:lang w:val="en-US" w:eastAsia="zh-CN" w:bidi="ar-SA"/>
        </w:rPr>
        <w:t>8、基本支出：</w:t>
      </w:r>
      <w:r>
        <w:rPr>
          <w:rFonts w:hint="eastAsia" w:ascii="仿宋_GB2312" w:hAnsi="楷体" w:eastAsia="仿宋_GB2312" w:cs="宋体"/>
          <w:kern w:val="0"/>
          <w:sz w:val="32"/>
          <w:lang w:val="en-US" w:eastAsia="zh-CN"/>
        </w:rPr>
        <w:t>指为保障机构正常运转、完成日常工作任务而发生的人员支出和公用支出。</w:t>
      </w:r>
    </w:p>
    <w:p>
      <w:pPr>
        <w:pStyle w:val="4"/>
        <w:adjustRightInd w:val="0"/>
        <w:snapToGrid w:val="0"/>
        <w:spacing w:before="0" w:beforeAutospacing="0" w:after="0" w:afterAutospacing="0" w:line="560" w:lineRule="exact"/>
        <w:ind w:firstLine="630" w:firstLineChars="196"/>
        <w:jc w:val="both"/>
        <w:rPr>
          <w:rFonts w:hint="eastAsia"/>
          <w:color w:val="000000"/>
          <w:sz w:val="32"/>
          <w:szCs w:val="32"/>
        </w:rPr>
      </w:pPr>
      <w:r>
        <w:rPr>
          <w:rFonts w:hint="eastAsia" w:ascii="仿宋_GB2312" w:eastAsia="仿宋_GB2312" w:cs="FangSong_GB2312-Identity-H"/>
          <w:b/>
          <w:bCs/>
          <w:sz w:val="32"/>
          <w:szCs w:val="32"/>
        </w:rPr>
        <w:t>9、项目支出：</w:t>
      </w:r>
      <w:r>
        <w:rPr>
          <w:rFonts w:hint="eastAsia" w:ascii="仿宋_GB2312" w:eastAsia="仿宋_GB2312" w:cs="FangSong_GB2312-Identity-H"/>
          <w:bCs/>
          <w:sz w:val="32"/>
          <w:szCs w:val="32"/>
        </w:rPr>
        <w:t>指在基本支出之外为完成特定行政任务和事业发展目标所发生的支出。</w:t>
      </w:r>
    </w:p>
    <w:p>
      <w:pPr>
        <w:pStyle w:val="4"/>
        <w:adjustRightInd w:val="0"/>
        <w:snapToGrid w:val="0"/>
        <w:spacing w:before="0" w:beforeAutospacing="0" w:after="0" w:afterAutospacing="0" w:line="560" w:lineRule="exact"/>
        <w:ind w:firstLine="630" w:firstLineChars="196"/>
        <w:jc w:val="both"/>
        <w:rPr>
          <w:rFonts w:hint="eastAsia" w:ascii="仿宋_GB2312" w:eastAsia="仿宋_GB2312"/>
          <w:sz w:val="32"/>
          <w:szCs w:val="32"/>
        </w:rPr>
      </w:pPr>
      <w:r>
        <w:rPr>
          <w:rFonts w:hint="eastAsia" w:ascii="仿宋_GB2312" w:eastAsia="仿宋_GB2312" w:cs="FangSong_GB2312-Identity-H"/>
          <w:b/>
          <w:bCs/>
          <w:sz w:val="32"/>
          <w:szCs w:val="32"/>
        </w:rPr>
        <w:t>10、机关运行经费：</w:t>
      </w:r>
      <w:r>
        <w:rPr>
          <w:rFonts w:hint="eastAsia" w:ascii="仿宋_GB2312" w:eastAsia="仿宋_GB2312"/>
          <w:sz w:val="32"/>
          <w:szCs w:val="32"/>
        </w:rPr>
        <w:t>机关运行经费是指各部门、单位的公用经费，包括办公及印刷费、邮电费、差旅费、会议费、福利费、日常维修费、专用材料及一般设备购置费、办公用房水电费、办公用房取暖费、办公用房物业管理费、公务用车运行维护费以及其他费用。</w:t>
      </w:r>
    </w:p>
    <w:p>
      <w:pPr>
        <w:widowControl/>
        <w:adjustRightInd w:val="0"/>
        <w:snapToGrid w:val="0"/>
        <w:spacing w:line="560" w:lineRule="exact"/>
        <w:ind w:firstLine="643" w:firstLineChars="200"/>
        <w:jc w:val="left"/>
        <w:rPr>
          <w:rFonts w:hint="eastAsia" w:ascii="仿宋_GB2312" w:hAnsi="楷体" w:eastAsia="仿宋_GB2312" w:cs="宋体"/>
          <w:kern w:val="0"/>
          <w:sz w:val="32"/>
          <w:lang w:val="en-US" w:eastAsia="zh-CN"/>
        </w:rPr>
      </w:pPr>
      <w:r>
        <w:rPr>
          <w:rFonts w:hint="eastAsia" w:ascii="仿宋_GB2312" w:hAnsi="宋体" w:eastAsia="仿宋_GB2312" w:cs="FangSong_GB2312-Identity-H"/>
          <w:b/>
          <w:bCs/>
          <w:kern w:val="0"/>
          <w:sz w:val="32"/>
          <w:szCs w:val="32"/>
          <w:lang w:val="en-US" w:eastAsia="zh-CN" w:bidi="ar-SA"/>
        </w:rPr>
        <w:t>11、“三公”经费：</w:t>
      </w:r>
      <w:r>
        <w:rPr>
          <w:rFonts w:hint="eastAsia" w:ascii="仿宋_GB2312" w:hAnsi="楷体" w:eastAsia="仿宋_GB2312" w:cs="宋体"/>
          <w:kern w:val="0"/>
          <w:sz w:val="32"/>
          <w:lang w:val="en-US" w:eastAsia="zh-CN"/>
        </w:rPr>
        <w:t>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p>
    <w:p>
      <w:pPr>
        <w:autoSpaceDE w:val="0"/>
        <w:autoSpaceDN w:val="0"/>
        <w:adjustRightInd w:val="0"/>
        <w:spacing w:line="560" w:lineRule="exact"/>
        <w:rPr>
          <w:rFonts w:hint="eastAsia" w:ascii="仿宋_GB2312" w:eastAsia="仿宋_GB2312" w:cs="FangSong_GB2312-Identity-H"/>
          <w:kern w:val="0"/>
          <w:sz w:val="32"/>
          <w:szCs w:val="32"/>
        </w:rPr>
      </w:pPr>
    </w:p>
    <w:p>
      <w:pPr>
        <w:autoSpaceDE w:val="0"/>
        <w:autoSpaceDN w:val="0"/>
        <w:adjustRightInd w:val="0"/>
        <w:spacing w:line="560" w:lineRule="exact"/>
        <w:rPr>
          <w:rFonts w:hint="eastAsia" w:ascii="仿宋_GB2312" w:eastAsia="仿宋_GB2312" w:cs="FangSong_GB2312-Identity-H"/>
          <w:kern w:val="0"/>
          <w:sz w:val="32"/>
          <w:szCs w:val="32"/>
        </w:rPr>
      </w:pPr>
    </w:p>
    <w:p>
      <w:pPr>
        <w:autoSpaceDE w:val="0"/>
        <w:autoSpaceDN w:val="0"/>
        <w:adjustRightInd w:val="0"/>
        <w:spacing w:line="560" w:lineRule="exact"/>
        <w:rPr>
          <w:rFonts w:hint="eastAsia" w:ascii="仿宋_GB2312" w:eastAsia="仿宋_GB2312" w:cs="FangSong_GB2312-Identity-H"/>
          <w:kern w:val="0"/>
          <w:sz w:val="32"/>
          <w:szCs w:val="32"/>
        </w:rPr>
      </w:pPr>
    </w:p>
    <w:p>
      <w:pPr>
        <w:autoSpaceDE w:val="0"/>
        <w:autoSpaceDN w:val="0"/>
        <w:adjustRightInd w:val="0"/>
        <w:spacing w:line="560" w:lineRule="exact"/>
        <w:rPr>
          <w:rFonts w:hint="eastAsia" w:ascii="仿宋_GB2312" w:eastAsia="仿宋_GB2312" w:cs="FangSong_GB2312-Identity-H"/>
          <w:kern w:val="0"/>
          <w:sz w:val="32"/>
          <w:szCs w:val="32"/>
        </w:rPr>
      </w:pPr>
    </w:p>
    <w:p>
      <w:pPr>
        <w:autoSpaceDE w:val="0"/>
        <w:autoSpaceDN w:val="0"/>
        <w:adjustRightInd w:val="0"/>
        <w:spacing w:line="560" w:lineRule="exact"/>
        <w:ind w:firstLine="1440" w:firstLineChars="400"/>
        <w:jc w:val="both"/>
        <w:rPr>
          <w:rFonts w:hint="eastAsia" w:ascii="黑体" w:eastAsia="黑体" w:cs="SimSun-Identity-H"/>
          <w:kern w:val="0"/>
          <w:sz w:val="36"/>
          <w:szCs w:val="36"/>
        </w:rPr>
      </w:pPr>
      <w:r>
        <w:rPr>
          <w:rFonts w:hint="eastAsia" w:ascii="黑体" w:eastAsia="黑体" w:cs="SimSun-Identity-H"/>
          <w:kern w:val="0"/>
          <w:sz w:val="36"/>
          <w:szCs w:val="36"/>
        </w:rPr>
        <w:t>第四部分  2022年单位预算公开附表</w:t>
      </w:r>
    </w:p>
    <w:p>
      <w:pPr>
        <w:autoSpaceDE w:val="0"/>
        <w:autoSpaceDN w:val="0"/>
        <w:adjustRightInd w:val="0"/>
        <w:spacing w:line="560" w:lineRule="exact"/>
        <w:ind w:firstLine="480" w:firstLineChars="150"/>
        <w:rPr>
          <w:rFonts w:hint="eastAsia" w:ascii="仿宋_GB2312" w:eastAsia="仿宋_GB2312" w:cs="FangSong_GB2312-Identity-H"/>
          <w:kern w:val="0"/>
          <w:sz w:val="32"/>
          <w:szCs w:val="32"/>
        </w:rPr>
      </w:pPr>
    </w:p>
    <w:p>
      <w:pPr>
        <w:autoSpaceDE w:val="0"/>
        <w:autoSpaceDN w:val="0"/>
        <w:adjustRightInd w:val="0"/>
        <w:spacing w:line="560" w:lineRule="exact"/>
        <w:ind w:firstLine="480" w:firstLineChars="150"/>
        <w:jc w:val="center"/>
        <w:rPr>
          <w:rFonts w:hint="eastAsia" w:ascii="仿宋_GB2312" w:eastAsia="仿宋_GB2312" w:cs="FangSong_GB2312-Identity-H"/>
          <w:kern w:val="0"/>
          <w:sz w:val="32"/>
          <w:szCs w:val="32"/>
        </w:rPr>
      </w:pPr>
      <w:r>
        <w:rPr>
          <w:rFonts w:hint="eastAsia" w:ascii="仿宋_GB2312" w:eastAsia="仿宋_GB2312" w:cs="FangSong_GB2312-Identity-H"/>
          <w:kern w:val="0"/>
          <w:sz w:val="32"/>
          <w:szCs w:val="32"/>
        </w:rPr>
        <w:t>附件：</w:t>
      </w:r>
      <w:r>
        <w:rPr>
          <w:rFonts w:hint="eastAsia" w:ascii="仿宋_GB2312" w:eastAsia="仿宋_GB2312" w:cs="FangSong_GB2312-Identity-H"/>
          <w:kern w:val="0"/>
          <w:sz w:val="32"/>
          <w:szCs w:val="32"/>
          <w:lang w:val="en-US" w:eastAsia="zh-CN"/>
        </w:rPr>
        <w:t>五河县建筑工程质量管理中心</w:t>
      </w:r>
      <w:r>
        <w:rPr>
          <w:rFonts w:hint="eastAsia" w:ascii="仿宋_GB2312" w:eastAsia="仿宋_GB2312" w:cs="FangSong_GB2312-Identity-H"/>
          <w:kern w:val="0"/>
          <w:sz w:val="32"/>
          <w:szCs w:val="32"/>
        </w:rPr>
        <w:t>2022年单位预算公开表</w:t>
      </w:r>
    </w:p>
    <w:p>
      <w:pPr>
        <w:pStyle w:val="2"/>
        <w:jc w:val="center"/>
        <w:rPr>
          <w:rFonts w:hint="eastAsia"/>
        </w:rPr>
      </w:pPr>
    </w:p>
    <w:p/>
    <w:p/>
    <w:p>
      <w:pPr>
        <w:tabs>
          <w:tab w:val="left" w:pos="816"/>
        </w:tabs>
        <w:bidi w:val="0"/>
        <w:jc w:val="left"/>
        <w:rPr>
          <w:lang w:val="en-US" w:eastAsia="zh-CN"/>
        </w:rPr>
      </w:pPr>
    </w:p>
    <w:p>
      <w:r>
        <w:drawing>
          <wp:inline distT="0" distB="0" distL="114300" distR="114300">
            <wp:extent cx="5353685" cy="7618095"/>
            <wp:effectExtent l="0" t="0" r="1841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353685" cy="7618095"/>
                    </a:xfrm>
                    <a:prstGeom prst="rect">
                      <a:avLst/>
                    </a:prstGeom>
                    <a:noFill/>
                    <a:ln>
                      <a:noFill/>
                    </a:ln>
                  </pic:spPr>
                </pic:pic>
              </a:graphicData>
            </a:graphic>
          </wp:inline>
        </w:drawing>
      </w:r>
    </w:p>
    <w:p/>
    <w:p/>
    <w:p/>
    <w:p/>
    <w:p/>
    <w:p/>
    <w:p>
      <w:r>
        <w:drawing>
          <wp:inline distT="0" distB="0" distL="114300" distR="114300">
            <wp:extent cx="5271135" cy="4513580"/>
            <wp:effectExtent l="0" t="0" r="571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5271135" cy="4513580"/>
                    </a:xfrm>
                    <a:prstGeom prst="rect">
                      <a:avLst/>
                    </a:prstGeom>
                    <a:noFill/>
                    <a:ln>
                      <a:noFill/>
                    </a:ln>
                  </pic:spPr>
                </pic:pic>
              </a:graphicData>
            </a:graphic>
          </wp:inline>
        </w:drawing>
      </w:r>
    </w:p>
    <w:p/>
    <w:p/>
    <w:p/>
    <w:p>
      <w:r>
        <w:drawing>
          <wp:inline distT="0" distB="0" distL="114300" distR="114300">
            <wp:extent cx="5268595" cy="2955925"/>
            <wp:effectExtent l="0" t="0" r="8255" b="158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5268595" cy="2955925"/>
                    </a:xfrm>
                    <a:prstGeom prst="rect">
                      <a:avLst/>
                    </a:prstGeom>
                    <a:noFill/>
                    <a:ln>
                      <a:noFill/>
                    </a:ln>
                  </pic:spPr>
                </pic:pic>
              </a:graphicData>
            </a:graphic>
          </wp:inline>
        </w:drawing>
      </w:r>
    </w:p>
    <w:p/>
    <w:p/>
    <w:p/>
    <w:p>
      <w:r>
        <w:drawing>
          <wp:inline distT="0" distB="0" distL="114300" distR="114300">
            <wp:extent cx="5269865" cy="7903210"/>
            <wp:effectExtent l="0" t="0" r="6985"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5269865" cy="7903210"/>
                    </a:xfrm>
                    <a:prstGeom prst="rect">
                      <a:avLst/>
                    </a:prstGeom>
                    <a:noFill/>
                    <a:ln>
                      <a:noFill/>
                    </a:ln>
                  </pic:spPr>
                </pic:pic>
              </a:graphicData>
            </a:graphic>
          </wp:inline>
        </w:drawing>
      </w:r>
    </w:p>
    <w:p/>
    <w:p/>
    <w:p/>
    <w:p/>
    <w:p>
      <w:r>
        <w:drawing>
          <wp:inline distT="0" distB="0" distL="114300" distR="114300">
            <wp:extent cx="5271770" cy="3159760"/>
            <wp:effectExtent l="0" t="0" r="508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5271770" cy="3159760"/>
                    </a:xfrm>
                    <a:prstGeom prst="rect">
                      <a:avLst/>
                    </a:prstGeom>
                    <a:noFill/>
                    <a:ln>
                      <a:noFill/>
                    </a:ln>
                  </pic:spPr>
                </pic:pic>
              </a:graphicData>
            </a:graphic>
          </wp:inline>
        </w:drawing>
      </w:r>
    </w:p>
    <w:p/>
    <w:p/>
    <w:p/>
    <w:p/>
    <w:p/>
    <w:p/>
    <w:p/>
    <w:p/>
    <w:p>
      <w:r>
        <w:drawing>
          <wp:inline distT="0" distB="0" distL="114300" distR="114300">
            <wp:extent cx="5269865" cy="2754630"/>
            <wp:effectExtent l="0" t="0" r="6985"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tretch>
                      <a:fillRect/>
                    </a:stretch>
                  </pic:blipFill>
                  <pic:spPr>
                    <a:xfrm>
                      <a:off x="0" y="0"/>
                      <a:ext cx="5269865" cy="2754630"/>
                    </a:xfrm>
                    <a:prstGeom prst="rect">
                      <a:avLst/>
                    </a:prstGeom>
                    <a:noFill/>
                    <a:ln>
                      <a:noFill/>
                    </a:ln>
                  </pic:spPr>
                </pic:pic>
              </a:graphicData>
            </a:graphic>
          </wp:inline>
        </w:drawing>
      </w:r>
    </w:p>
    <w:p/>
    <w:p/>
    <w:p/>
    <w:p/>
    <w:p/>
    <w:p/>
    <w:p>
      <w:r>
        <w:drawing>
          <wp:inline distT="0" distB="0" distL="114300" distR="114300">
            <wp:extent cx="5270500" cy="2687320"/>
            <wp:effectExtent l="0" t="0" r="6350" b="177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tretch>
                      <a:fillRect/>
                    </a:stretch>
                  </pic:blipFill>
                  <pic:spPr>
                    <a:xfrm>
                      <a:off x="0" y="0"/>
                      <a:ext cx="5270500" cy="2687320"/>
                    </a:xfrm>
                    <a:prstGeom prst="rect">
                      <a:avLst/>
                    </a:prstGeom>
                    <a:noFill/>
                    <a:ln>
                      <a:noFill/>
                    </a:ln>
                  </pic:spPr>
                </pic:pic>
              </a:graphicData>
            </a:graphic>
          </wp:inline>
        </w:drawing>
      </w:r>
    </w:p>
    <w:p/>
    <w:p/>
    <w:p/>
    <w:p/>
    <w:p/>
    <w:p/>
    <w:p>
      <w:r>
        <w:drawing>
          <wp:inline distT="0" distB="0" distL="114300" distR="114300">
            <wp:extent cx="5273040" cy="2884805"/>
            <wp:effectExtent l="0" t="0" r="3810" b="1079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1"/>
                    <a:stretch>
                      <a:fillRect/>
                    </a:stretch>
                  </pic:blipFill>
                  <pic:spPr>
                    <a:xfrm>
                      <a:off x="0" y="0"/>
                      <a:ext cx="5273040" cy="2884805"/>
                    </a:xfrm>
                    <a:prstGeom prst="rect">
                      <a:avLst/>
                    </a:prstGeom>
                    <a:noFill/>
                    <a:ln>
                      <a:noFill/>
                    </a:ln>
                  </pic:spPr>
                </pic:pic>
              </a:graphicData>
            </a:graphic>
          </wp:inline>
        </w:drawing>
      </w:r>
    </w:p>
    <w:p/>
    <w:p/>
    <w:p/>
    <w:p/>
    <w:p/>
    <w:p/>
    <w:p/>
    <w:p/>
    <w:p>
      <w:r>
        <w:drawing>
          <wp:inline distT="0" distB="0" distL="114300" distR="114300">
            <wp:extent cx="5273675" cy="1757680"/>
            <wp:effectExtent l="0" t="0" r="3175" b="139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stretch>
                      <a:fillRect/>
                    </a:stretch>
                  </pic:blipFill>
                  <pic:spPr>
                    <a:xfrm>
                      <a:off x="0" y="0"/>
                      <a:ext cx="5273675" cy="1757680"/>
                    </a:xfrm>
                    <a:prstGeom prst="rect">
                      <a:avLst/>
                    </a:prstGeom>
                    <a:noFill/>
                    <a:ln>
                      <a:noFill/>
                    </a:ln>
                  </pic:spPr>
                </pic:pic>
              </a:graphicData>
            </a:graphic>
          </wp:inline>
        </w:drawing>
      </w:r>
      <w:bookmarkStart w:id="6" w:name="_GoBack"/>
      <w:bookmarkEnd w:id="6"/>
    </w:p>
    <w:p/>
    <w:p/>
    <w:p/>
    <w:p>
      <w:r>
        <w:drawing>
          <wp:inline distT="0" distB="0" distL="114300" distR="114300">
            <wp:extent cx="5271770" cy="2686685"/>
            <wp:effectExtent l="0" t="0" r="5080" b="1841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
                    <a:stretch>
                      <a:fillRect/>
                    </a:stretch>
                  </pic:blipFill>
                  <pic:spPr>
                    <a:xfrm>
                      <a:off x="0" y="0"/>
                      <a:ext cx="5271770" cy="2686685"/>
                    </a:xfrm>
                    <a:prstGeom prst="rect">
                      <a:avLst/>
                    </a:prstGeom>
                    <a:noFill/>
                    <a:ln>
                      <a:noFill/>
                    </a:ln>
                  </pic:spPr>
                </pic:pic>
              </a:graphicData>
            </a:graphic>
          </wp:inline>
        </w:drawing>
      </w:r>
    </w:p>
    <w:p/>
    <w:p/>
    <w:p/>
    <w:p/>
    <w:p/>
    <w:p/>
    <w:p/>
    <w:p/>
    <w:p/>
    <w:p/>
    <w:p/>
    <w:p/>
    <w:p/>
    <w:p>
      <w:r>
        <w:drawing>
          <wp:inline distT="0" distB="0" distL="114300" distR="114300">
            <wp:extent cx="5272405" cy="363474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4"/>
                    <a:stretch>
                      <a:fillRect/>
                    </a:stretch>
                  </pic:blipFill>
                  <pic:spPr>
                    <a:xfrm>
                      <a:off x="0" y="0"/>
                      <a:ext cx="5272405" cy="3634740"/>
                    </a:xfrm>
                    <a:prstGeom prst="rect">
                      <a:avLst/>
                    </a:prstGeom>
                    <a:noFill/>
                    <a:ln>
                      <a:noFill/>
                    </a:ln>
                  </pic:spPr>
                </pic:pic>
              </a:graphicData>
            </a:graphic>
          </wp:inline>
        </w:drawing>
      </w:r>
    </w:p>
    <w:p>
      <w:r>
        <w:drawing>
          <wp:inline distT="0" distB="0" distL="114300" distR="114300">
            <wp:extent cx="5029200" cy="473392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5"/>
                    <a:stretch>
                      <a:fillRect/>
                    </a:stretch>
                  </pic:blipFill>
                  <pic:spPr>
                    <a:xfrm>
                      <a:off x="0" y="0"/>
                      <a:ext cx="5029200" cy="473392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FangSong_GB2312-Identity-H">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A30A7"/>
    <w:multiLevelType w:val="multilevel"/>
    <w:tmpl w:val="01DA30A7"/>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E57E072"/>
    <w:multiLevelType w:val="singleLevel"/>
    <w:tmpl w:val="1E57E072"/>
    <w:lvl w:ilvl="0" w:tentative="0">
      <w:start w:val="1"/>
      <w:numFmt w:val="chineseCounting"/>
      <w:suff w:val="nothing"/>
      <w:lvlText w:val="（%1）"/>
      <w:lvlJc w:val="left"/>
      <w:rPr>
        <w:rFonts w:hint="eastAsia"/>
      </w:rPr>
    </w:lvl>
  </w:abstractNum>
  <w:abstractNum w:abstractNumId="2">
    <w:nsid w:val="2AFE5449"/>
    <w:multiLevelType w:val="singleLevel"/>
    <w:tmpl w:val="2AFE5449"/>
    <w:lvl w:ilvl="0" w:tentative="0">
      <w:start w:val="1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MGY2YTU1MjcxMWYzMzUzMzYyNGUxNjdiZTY0YTIifQ=="/>
  </w:docVars>
  <w:rsids>
    <w:rsidRoot w:val="4AF40408"/>
    <w:rsid w:val="093C12EB"/>
    <w:rsid w:val="174141F3"/>
    <w:rsid w:val="27F21951"/>
    <w:rsid w:val="360D5BA8"/>
    <w:rsid w:val="3C4261D8"/>
    <w:rsid w:val="3EE30603"/>
    <w:rsid w:val="4AF40408"/>
    <w:rsid w:val="4F744850"/>
    <w:rsid w:val="5F8D54E0"/>
    <w:rsid w:val="61DA0784"/>
    <w:rsid w:val="69C000AB"/>
    <w:rsid w:val="7D582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jc w:val="left"/>
    </w:pPr>
    <w:rPr>
      <w:rFonts w:ascii="宋体" w:hAnsi="宋体" w:eastAsia="宋体" w:cs="宋体"/>
      <w:kern w:val="0"/>
      <w:sz w:val="32"/>
      <w:szCs w:val="32"/>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emf"/><Relationship Id="rId14" Type="http://schemas.openxmlformats.org/officeDocument/2006/relationships/image" Target="media/image11.emf"/><Relationship Id="rId13" Type="http://schemas.openxmlformats.org/officeDocument/2006/relationships/image" Target="media/image10.emf"/><Relationship Id="rId12" Type="http://schemas.openxmlformats.org/officeDocument/2006/relationships/image" Target="media/image9.png"/><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2272</Words>
  <Characters>2492</Characters>
  <Lines>0</Lines>
  <Paragraphs>0</Paragraphs>
  <TotalTime>4</TotalTime>
  <ScaleCrop>false</ScaleCrop>
  <LinksUpToDate>false</LinksUpToDate>
  <CharactersWithSpaces>2527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2022-09-28T01:35:00Z</dcterms:created>
  <dc:creator>Administrator</dc:creator>
  <cp:lastModifiedBy>沈娟</cp:lastModifiedBy>
  <dcterms:modified xsi:type="dcterms:W3CDTF">2023-09-25T00:08:33Z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6C0B7FE018254BBA9AED89E303034DD1</vt:lpwstr>
  </property>
</Properties>
</file>