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附件4.</w:t>
      </w:r>
    </w:p>
    <w:p>
      <w:pPr>
        <w:ind w:left="840" w:leftChars="400" w:right="840" w:rightChars="400"/>
        <w:jc w:val="center"/>
        <w:rPr>
          <w:rFonts w:ascii="黑体" w:hAnsi="宋体" w:eastAsia="黑体" w:cs="宋体"/>
          <w:kern w:val="0"/>
          <w:sz w:val="44"/>
          <w:szCs w:val="44"/>
        </w:rPr>
      </w:pPr>
    </w:p>
    <w:p>
      <w:pPr>
        <w:tabs>
          <w:tab w:val="left" w:pos="7560"/>
        </w:tabs>
        <w:spacing w:line="560" w:lineRule="exact"/>
        <w:ind w:left="-3" w:leftChars="0" w:right="-92" w:rightChars="-44" w:firstLine="3" w:firstLineChars="0"/>
        <w:jc w:val="center"/>
        <w:rPr>
          <w:rFonts w:hint="eastAsia" w:ascii="黑体" w:eastAsia="黑体"/>
          <w:sz w:val="44"/>
          <w:szCs w:val="44"/>
        </w:rPr>
      </w:pPr>
      <w:r>
        <w:rPr>
          <w:rFonts w:hint="eastAsia" w:ascii="黑体" w:eastAsia="黑体"/>
          <w:sz w:val="44"/>
          <w:szCs w:val="44"/>
        </w:rPr>
        <w:t>五河县交通运输综合行政执法大队</w:t>
      </w:r>
    </w:p>
    <w:p>
      <w:pPr>
        <w:tabs>
          <w:tab w:val="left" w:pos="7350"/>
          <w:tab w:val="left" w:pos="8400"/>
        </w:tabs>
        <w:ind w:left="-5" w:leftChars="0" w:right="-92" w:rightChars="-44" w:firstLine="5" w:firstLineChars="0"/>
        <w:jc w:val="center"/>
        <w:rPr>
          <w:rFonts w:ascii="黑体" w:hAnsi="宋体" w:eastAsia="黑体" w:cs="宋体"/>
          <w:kern w:val="0"/>
          <w:sz w:val="44"/>
          <w:szCs w:val="44"/>
        </w:rPr>
      </w:pPr>
      <w:r>
        <w:rPr>
          <w:rFonts w:hint="eastAsia" w:ascii="黑体" w:hAnsi="宋体" w:eastAsia="黑体" w:cs="宋体"/>
          <w:kern w:val="0"/>
          <w:sz w:val="44"/>
          <w:szCs w:val="44"/>
        </w:rPr>
        <w:t>2024年财政拨款安排“三公”经费预算情况</w:t>
      </w:r>
    </w:p>
    <w:p>
      <w:pPr>
        <w:ind w:left="840" w:leftChars="400" w:right="840" w:rightChars="400"/>
        <w:jc w:val="center"/>
        <w:rPr>
          <w:rFonts w:hint="eastAsia"/>
        </w:rPr>
      </w:pPr>
    </w:p>
    <w:p>
      <w:pPr>
        <w:ind w:left="840" w:leftChars="400" w:right="840" w:rightChars="400"/>
        <w:jc w:val="center"/>
        <w:rPr>
          <w:rFonts w:hint="eastAsia"/>
        </w:rPr>
      </w:pPr>
    </w:p>
    <w:p>
      <w:pPr>
        <w:ind w:left="840" w:leftChars="400" w:right="840" w:rightChars="400"/>
        <w:jc w:val="center"/>
        <w:rPr>
          <w:rFonts w:hint="eastAsia"/>
        </w:rPr>
      </w:pPr>
    </w:p>
    <w:p>
      <w:pPr>
        <w:ind w:left="840" w:leftChars="400" w:right="840" w:rightChars="400"/>
        <w:jc w:val="center"/>
      </w:pPr>
    </w:p>
    <w:p>
      <w:pPr>
        <w:spacing w:line="560" w:lineRule="exact"/>
        <w:jc w:val="left"/>
        <w:rPr>
          <w:rFonts w:hint="eastAsia" w:ascii="黑体" w:eastAsia="黑体"/>
          <w:sz w:val="32"/>
          <w:szCs w:val="32"/>
        </w:rPr>
      </w:pPr>
      <w:r>
        <w:rPr>
          <w:rFonts w:ascii="仿宋_GB2312" w:eastAsia="仿宋_GB2312"/>
          <w:sz w:val="32"/>
          <w:szCs w:val="32"/>
        </w:rPr>
        <w:t xml:space="preserve"> </w:t>
      </w:r>
      <w:r>
        <w:rPr>
          <w:rFonts w:hint="eastAsia" w:ascii="黑体" w:eastAsia="黑体"/>
          <w:sz w:val="32"/>
          <w:szCs w:val="32"/>
        </w:rPr>
        <w:t>一、“三公”经费预算财政拨款情况表</w:t>
      </w:r>
      <w:bookmarkStart w:id="0" w:name="_GoBack"/>
      <w:bookmarkEnd w:id="0"/>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单位：万元</w:t>
      </w:r>
    </w:p>
    <w:tbl>
      <w:tblPr>
        <w:tblStyle w:val="5"/>
        <w:tblW w:w="8662" w:type="dxa"/>
        <w:jc w:val="center"/>
        <w:tblLayout w:type="fixed"/>
        <w:tblCellMar>
          <w:top w:w="0" w:type="dxa"/>
          <w:left w:w="108" w:type="dxa"/>
          <w:bottom w:w="0" w:type="dxa"/>
          <w:right w:w="108" w:type="dxa"/>
        </w:tblCellMar>
      </w:tblPr>
      <w:tblGrid>
        <w:gridCol w:w="3847"/>
        <w:gridCol w:w="1513"/>
        <w:gridCol w:w="1568"/>
        <w:gridCol w:w="1734"/>
      </w:tblGrid>
      <w:tr>
        <w:tblPrEx>
          <w:tblCellMar>
            <w:top w:w="0" w:type="dxa"/>
            <w:left w:w="108" w:type="dxa"/>
            <w:bottom w:w="0" w:type="dxa"/>
            <w:right w:w="108" w:type="dxa"/>
          </w:tblCellMar>
        </w:tblPrEx>
        <w:trPr>
          <w:trHeight w:val="995" w:hRule="atLeast"/>
          <w:jc w:val="center"/>
        </w:trPr>
        <w:tc>
          <w:tcPr>
            <w:tcW w:w="384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宋体" w:eastAsia="仿宋_GB2312" w:cs="宋体"/>
                <w:sz w:val="28"/>
                <w:szCs w:val="28"/>
              </w:rPr>
            </w:pPr>
            <w:r>
              <w:rPr>
                <w:rFonts w:hint="eastAsia" w:ascii="仿宋_GB2312" w:hAnsi="宋体" w:eastAsia="仿宋_GB2312"/>
                <w:sz w:val="28"/>
                <w:szCs w:val="28"/>
              </w:rPr>
              <w:t>项目</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仿宋_GB2312" w:hAnsi="宋体" w:eastAsia="仿宋_GB2312" w:cs="宋体"/>
                <w:color w:val="000000"/>
                <w:sz w:val="28"/>
                <w:szCs w:val="28"/>
              </w:rPr>
            </w:pPr>
            <w:r>
              <w:rPr>
                <w:rFonts w:hint="eastAsia" w:ascii="仿宋_GB2312" w:hAnsi="宋体" w:eastAsia="仿宋_GB2312"/>
                <w:color w:val="000000"/>
                <w:sz w:val="28"/>
                <w:szCs w:val="28"/>
              </w:rPr>
              <w:t>2024年预算数</w:t>
            </w:r>
          </w:p>
        </w:tc>
        <w:tc>
          <w:tcPr>
            <w:tcW w:w="1568" w:type="dxa"/>
            <w:tcBorders>
              <w:top w:val="single" w:color="auto" w:sz="8" w:space="0"/>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color w:val="000000"/>
                <w:sz w:val="28"/>
                <w:szCs w:val="28"/>
              </w:rPr>
            </w:pPr>
            <w:r>
              <w:rPr>
                <w:rFonts w:hint="eastAsia" w:ascii="仿宋_GB2312" w:hAnsi="宋体" w:eastAsia="仿宋_GB2312"/>
                <w:color w:val="000000"/>
                <w:sz w:val="28"/>
                <w:szCs w:val="28"/>
              </w:rPr>
              <w:t>2023年预算数</w:t>
            </w:r>
          </w:p>
        </w:tc>
        <w:tc>
          <w:tcPr>
            <w:tcW w:w="1734" w:type="dxa"/>
            <w:tcBorders>
              <w:top w:val="single" w:color="auto" w:sz="8" w:space="0"/>
              <w:left w:val="nil"/>
              <w:bottom w:val="single" w:color="auto" w:sz="4" w:space="0"/>
              <w:right w:val="single" w:color="auto" w:sz="4" w:space="0"/>
            </w:tcBorders>
            <w:vAlign w:val="center"/>
          </w:tcPr>
          <w:p>
            <w:pPr>
              <w:jc w:val="center"/>
              <w:rPr>
                <w:rFonts w:hint="eastAsia" w:ascii="仿宋_GB2312" w:hAnsi="宋体" w:eastAsia="仿宋_GB2312" w:cs="宋体"/>
                <w:color w:val="000000"/>
                <w:sz w:val="28"/>
                <w:szCs w:val="28"/>
              </w:rPr>
            </w:pPr>
            <w:r>
              <w:rPr>
                <w:rFonts w:hint="eastAsia" w:ascii="仿宋_GB2312" w:hAnsi="宋体" w:eastAsia="仿宋_GB2312"/>
                <w:color w:val="000000"/>
                <w:sz w:val="28"/>
                <w:szCs w:val="28"/>
              </w:rPr>
              <w:t>增幅（%）</w:t>
            </w:r>
          </w:p>
        </w:tc>
      </w:tr>
      <w:tr>
        <w:tblPrEx>
          <w:tblCellMar>
            <w:top w:w="0" w:type="dxa"/>
            <w:left w:w="108" w:type="dxa"/>
            <w:bottom w:w="0" w:type="dxa"/>
            <w:right w:w="108" w:type="dxa"/>
          </w:tblCellMar>
        </w:tblPrEx>
        <w:trPr>
          <w:trHeight w:val="684" w:hRule="atLeast"/>
          <w:jc w:val="center"/>
        </w:trPr>
        <w:tc>
          <w:tcPr>
            <w:tcW w:w="384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宋体" w:eastAsia="仿宋_GB2312" w:cs="宋体"/>
                <w:sz w:val="28"/>
                <w:szCs w:val="28"/>
              </w:rPr>
            </w:pPr>
            <w:r>
              <w:rPr>
                <w:rFonts w:hint="eastAsia" w:ascii="仿宋_GB2312" w:hAnsi="宋体" w:eastAsia="仿宋_GB2312"/>
                <w:sz w:val="28"/>
                <w:szCs w:val="28"/>
              </w:rPr>
              <w:t>合计</w:t>
            </w:r>
          </w:p>
        </w:tc>
        <w:tc>
          <w:tcPr>
            <w:tcW w:w="1513" w:type="dxa"/>
            <w:tcBorders>
              <w:top w:val="single" w:color="auto" w:sz="4" w:space="0"/>
              <w:left w:val="nil"/>
              <w:bottom w:val="single" w:color="auto" w:sz="4" w:space="0"/>
              <w:right w:val="single" w:color="auto" w:sz="4" w:space="0"/>
            </w:tcBorders>
            <w:noWrap/>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20.5</w:t>
            </w:r>
          </w:p>
        </w:tc>
        <w:tc>
          <w:tcPr>
            <w:tcW w:w="1568"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56.5</w:t>
            </w:r>
          </w:p>
        </w:tc>
        <w:tc>
          <w:tcPr>
            <w:tcW w:w="1734"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-63.72</w:t>
            </w:r>
          </w:p>
        </w:tc>
      </w:tr>
      <w:tr>
        <w:tblPrEx>
          <w:tblCellMar>
            <w:top w:w="0" w:type="dxa"/>
            <w:left w:w="108" w:type="dxa"/>
            <w:bottom w:w="0" w:type="dxa"/>
            <w:right w:w="108" w:type="dxa"/>
          </w:tblCellMar>
        </w:tblPrEx>
        <w:trPr>
          <w:trHeight w:val="694" w:hRule="atLeast"/>
          <w:jc w:val="center"/>
        </w:trPr>
        <w:tc>
          <w:tcPr>
            <w:tcW w:w="3847" w:type="dxa"/>
            <w:tcBorders>
              <w:top w:val="nil"/>
              <w:left w:val="single" w:color="auto" w:sz="4" w:space="0"/>
              <w:bottom w:val="single" w:color="auto" w:sz="4" w:space="0"/>
              <w:right w:val="single" w:color="auto" w:sz="4" w:space="0"/>
            </w:tcBorders>
            <w:noWrap/>
            <w:vAlign w:val="center"/>
          </w:tcPr>
          <w:p>
            <w:pPr>
              <w:rPr>
                <w:rFonts w:hint="eastAsia" w:ascii="仿宋_GB2312" w:hAnsi="宋体" w:eastAsia="仿宋_GB2312" w:cs="宋体"/>
                <w:sz w:val="28"/>
                <w:szCs w:val="28"/>
              </w:rPr>
            </w:pPr>
            <w:r>
              <w:rPr>
                <w:rFonts w:hint="eastAsia" w:ascii="仿宋_GB2312" w:hAnsi="宋体" w:eastAsia="仿宋_GB2312"/>
                <w:sz w:val="28"/>
                <w:szCs w:val="28"/>
              </w:rPr>
              <w:t>因公出国（境）费</w:t>
            </w:r>
          </w:p>
        </w:tc>
        <w:tc>
          <w:tcPr>
            <w:tcW w:w="1513" w:type="dxa"/>
            <w:tcBorders>
              <w:top w:val="nil"/>
              <w:left w:val="nil"/>
              <w:bottom w:val="single" w:color="auto" w:sz="4" w:space="0"/>
              <w:right w:val="single" w:color="auto" w:sz="4" w:space="0"/>
            </w:tcBorders>
            <w:noWrap/>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0</w:t>
            </w:r>
          </w:p>
        </w:tc>
        <w:tc>
          <w:tcPr>
            <w:tcW w:w="1568"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0</w:t>
            </w:r>
          </w:p>
        </w:tc>
        <w:tc>
          <w:tcPr>
            <w:tcW w:w="1734"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0</w:t>
            </w:r>
          </w:p>
        </w:tc>
      </w:tr>
      <w:tr>
        <w:tblPrEx>
          <w:tblCellMar>
            <w:top w:w="0" w:type="dxa"/>
            <w:left w:w="108" w:type="dxa"/>
            <w:bottom w:w="0" w:type="dxa"/>
            <w:right w:w="108" w:type="dxa"/>
          </w:tblCellMar>
        </w:tblPrEx>
        <w:trPr>
          <w:trHeight w:val="693" w:hRule="atLeast"/>
          <w:jc w:val="center"/>
        </w:trPr>
        <w:tc>
          <w:tcPr>
            <w:tcW w:w="3847" w:type="dxa"/>
            <w:tcBorders>
              <w:top w:val="nil"/>
              <w:left w:val="single" w:color="auto" w:sz="4" w:space="0"/>
              <w:bottom w:val="single" w:color="auto" w:sz="4" w:space="0"/>
              <w:right w:val="single" w:color="auto" w:sz="4" w:space="0"/>
            </w:tcBorders>
            <w:noWrap/>
            <w:vAlign w:val="center"/>
          </w:tcPr>
          <w:p>
            <w:pPr>
              <w:rPr>
                <w:rFonts w:hint="eastAsia" w:ascii="仿宋_GB2312" w:hAnsi="宋体" w:eastAsia="仿宋_GB2312" w:cs="宋体"/>
                <w:sz w:val="28"/>
                <w:szCs w:val="28"/>
              </w:rPr>
            </w:pPr>
            <w:r>
              <w:rPr>
                <w:rFonts w:hint="eastAsia" w:ascii="仿宋_GB2312" w:hAnsi="宋体" w:eastAsia="仿宋_GB2312"/>
                <w:sz w:val="28"/>
                <w:szCs w:val="28"/>
              </w:rPr>
              <w:t>公务接待费</w:t>
            </w:r>
          </w:p>
        </w:tc>
        <w:tc>
          <w:tcPr>
            <w:tcW w:w="1513" w:type="dxa"/>
            <w:tcBorders>
              <w:top w:val="nil"/>
              <w:left w:val="nil"/>
              <w:bottom w:val="single" w:color="auto" w:sz="4" w:space="0"/>
              <w:right w:val="single" w:color="auto" w:sz="4" w:space="0"/>
            </w:tcBorders>
            <w:noWrap/>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1.5</w:t>
            </w:r>
          </w:p>
        </w:tc>
        <w:tc>
          <w:tcPr>
            <w:tcW w:w="1568"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1.5</w:t>
            </w:r>
          </w:p>
        </w:tc>
        <w:tc>
          <w:tcPr>
            <w:tcW w:w="1734"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0</w:t>
            </w:r>
          </w:p>
        </w:tc>
      </w:tr>
      <w:tr>
        <w:tblPrEx>
          <w:tblCellMar>
            <w:top w:w="0" w:type="dxa"/>
            <w:left w:w="108" w:type="dxa"/>
            <w:bottom w:w="0" w:type="dxa"/>
            <w:right w:w="108" w:type="dxa"/>
          </w:tblCellMar>
        </w:tblPrEx>
        <w:trPr>
          <w:trHeight w:val="716" w:hRule="atLeast"/>
          <w:jc w:val="center"/>
        </w:trPr>
        <w:tc>
          <w:tcPr>
            <w:tcW w:w="3847" w:type="dxa"/>
            <w:tcBorders>
              <w:top w:val="nil"/>
              <w:left w:val="single" w:color="auto" w:sz="4" w:space="0"/>
              <w:bottom w:val="nil"/>
              <w:right w:val="single" w:color="auto" w:sz="4" w:space="0"/>
            </w:tcBorders>
            <w:noWrap/>
            <w:vAlign w:val="center"/>
          </w:tcPr>
          <w:p>
            <w:pPr>
              <w:rPr>
                <w:rFonts w:hint="eastAsia" w:ascii="仿宋_GB2312" w:hAnsi="宋体" w:eastAsia="仿宋_GB2312" w:cs="宋体"/>
                <w:sz w:val="28"/>
                <w:szCs w:val="28"/>
              </w:rPr>
            </w:pPr>
            <w:r>
              <w:rPr>
                <w:rFonts w:hint="eastAsia" w:ascii="仿宋_GB2312" w:hAnsi="宋体" w:eastAsia="仿宋_GB2312"/>
                <w:sz w:val="28"/>
                <w:szCs w:val="28"/>
              </w:rPr>
              <w:t>公务用车购置及运行费</w:t>
            </w:r>
          </w:p>
        </w:tc>
        <w:tc>
          <w:tcPr>
            <w:tcW w:w="1513" w:type="dxa"/>
            <w:tcBorders>
              <w:top w:val="nil"/>
              <w:left w:val="nil"/>
              <w:bottom w:val="nil"/>
              <w:right w:val="single" w:color="auto" w:sz="4" w:space="0"/>
            </w:tcBorders>
            <w:noWrap/>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19</w:t>
            </w:r>
          </w:p>
        </w:tc>
        <w:tc>
          <w:tcPr>
            <w:tcW w:w="1568" w:type="dxa"/>
            <w:tcBorders>
              <w:top w:val="nil"/>
              <w:left w:val="nil"/>
              <w:bottom w:val="nil"/>
              <w:right w:val="single" w:color="auto" w:sz="4" w:space="0"/>
            </w:tcBorders>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55</w:t>
            </w:r>
          </w:p>
        </w:tc>
        <w:tc>
          <w:tcPr>
            <w:tcW w:w="1734" w:type="dxa"/>
            <w:tcBorders>
              <w:top w:val="nil"/>
              <w:left w:val="nil"/>
              <w:bottom w:val="nil"/>
              <w:right w:val="single" w:color="auto" w:sz="4" w:space="0"/>
            </w:tcBorders>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-65.45</w:t>
            </w:r>
          </w:p>
        </w:tc>
      </w:tr>
      <w:tr>
        <w:tblPrEx>
          <w:tblCellMar>
            <w:top w:w="0" w:type="dxa"/>
            <w:left w:w="108" w:type="dxa"/>
            <w:bottom w:w="0" w:type="dxa"/>
            <w:right w:w="108" w:type="dxa"/>
          </w:tblCellMar>
        </w:tblPrEx>
        <w:trPr>
          <w:trHeight w:val="684" w:hRule="atLeast"/>
          <w:jc w:val="center"/>
        </w:trPr>
        <w:tc>
          <w:tcPr>
            <w:tcW w:w="3847" w:type="dxa"/>
            <w:tcBorders>
              <w:top w:val="single" w:color="auto" w:sz="4" w:space="0"/>
              <w:left w:val="single" w:color="auto" w:sz="4" w:space="0"/>
              <w:bottom w:val="nil"/>
              <w:right w:val="single" w:color="auto" w:sz="4" w:space="0"/>
            </w:tcBorders>
            <w:vAlign w:val="center"/>
          </w:tcPr>
          <w:p>
            <w:pPr>
              <w:rPr>
                <w:rFonts w:hint="eastAsia" w:ascii="仿宋_GB2312" w:hAnsi="宋体" w:eastAsia="仿宋_GB2312" w:cs="宋体"/>
                <w:sz w:val="28"/>
                <w:szCs w:val="28"/>
              </w:rPr>
            </w:pPr>
            <w:r>
              <w:rPr>
                <w:rFonts w:hint="eastAsia" w:ascii="仿宋_GB2312" w:hAnsi="宋体" w:eastAsia="仿宋_GB2312"/>
                <w:sz w:val="28"/>
                <w:szCs w:val="28"/>
              </w:rPr>
              <w:t xml:space="preserve">  其中：公务用车运行维护费</w:t>
            </w:r>
          </w:p>
        </w:tc>
        <w:tc>
          <w:tcPr>
            <w:tcW w:w="1513" w:type="dxa"/>
            <w:tcBorders>
              <w:top w:val="single" w:color="auto" w:sz="4" w:space="0"/>
              <w:left w:val="nil"/>
              <w:bottom w:val="nil"/>
              <w:right w:val="single" w:color="auto" w:sz="4" w:space="0"/>
            </w:tcBorders>
            <w:noWrap/>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19</w:t>
            </w:r>
          </w:p>
        </w:tc>
        <w:tc>
          <w:tcPr>
            <w:tcW w:w="1568" w:type="dxa"/>
            <w:tcBorders>
              <w:top w:val="single" w:color="auto" w:sz="4" w:space="0"/>
              <w:left w:val="nil"/>
              <w:bottom w:val="nil"/>
              <w:right w:val="single" w:color="auto" w:sz="4" w:space="0"/>
            </w:tcBorders>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19</w:t>
            </w:r>
          </w:p>
        </w:tc>
        <w:tc>
          <w:tcPr>
            <w:tcW w:w="1734" w:type="dxa"/>
            <w:tcBorders>
              <w:top w:val="single" w:color="auto" w:sz="4" w:space="0"/>
              <w:left w:val="nil"/>
              <w:bottom w:val="nil"/>
              <w:right w:val="single" w:color="auto" w:sz="4" w:space="0"/>
            </w:tcBorders>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0</w:t>
            </w:r>
          </w:p>
        </w:tc>
      </w:tr>
      <w:tr>
        <w:tblPrEx>
          <w:tblCellMar>
            <w:top w:w="0" w:type="dxa"/>
            <w:left w:w="108" w:type="dxa"/>
            <w:bottom w:w="0" w:type="dxa"/>
            <w:right w:w="108" w:type="dxa"/>
          </w:tblCellMar>
        </w:tblPrEx>
        <w:trPr>
          <w:trHeight w:val="443" w:hRule="atLeast"/>
          <w:jc w:val="center"/>
        </w:trPr>
        <w:tc>
          <w:tcPr>
            <w:tcW w:w="3847" w:type="dxa"/>
            <w:tcBorders>
              <w:top w:val="single" w:color="auto" w:sz="4" w:space="0"/>
              <w:left w:val="single" w:color="auto" w:sz="4" w:space="0"/>
              <w:bottom w:val="single" w:color="auto" w:sz="8" w:space="0"/>
              <w:right w:val="single" w:color="auto" w:sz="4" w:space="0"/>
            </w:tcBorders>
            <w:vAlign w:val="center"/>
          </w:tcPr>
          <w:p>
            <w:pPr>
              <w:rPr>
                <w:rFonts w:hint="eastAsia" w:ascii="仿宋_GB2312" w:hAnsi="宋体" w:eastAsia="仿宋_GB2312" w:cs="宋体"/>
                <w:sz w:val="28"/>
                <w:szCs w:val="28"/>
              </w:rPr>
            </w:pPr>
            <w:r>
              <w:rPr>
                <w:rFonts w:hint="eastAsia" w:ascii="仿宋_GB2312" w:hAnsi="宋体" w:eastAsia="仿宋_GB2312"/>
                <w:sz w:val="28"/>
                <w:szCs w:val="28"/>
              </w:rPr>
              <w:t xml:space="preserve">        公务用车购置 </w:t>
            </w:r>
          </w:p>
        </w:tc>
        <w:tc>
          <w:tcPr>
            <w:tcW w:w="1513" w:type="dxa"/>
            <w:tcBorders>
              <w:top w:val="single" w:color="auto" w:sz="4" w:space="0"/>
              <w:left w:val="nil"/>
              <w:bottom w:val="single" w:color="auto" w:sz="8" w:space="0"/>
              <w:right w:val="single" w:color="auto" w:sz="4" w:space="0"/>
            </w:tcBorders>
            <w:noWrap/>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0</w:t>
            </w:r>
          </w:p>
        </w:tc>
        <w:tc>
          <w:tcPr>
            <w:tcW w:w="1568" w:type="dxa"/>
            <w:tcBorders>
              <w:top w:val="single" w:color="auto" w:sz="4" w:space="0"/>
              <w:left w:val="nil"/>
              <w:bottom w:val="single" w:color="auto" w:sz="8" w:space="0"/>
              <w:right w:val="single" w:color="auto" w:sz="4" w:space="0"/>
            </w:tcBorders>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36</w:t>
            </w:r>
          </w:p>
        </w:tc>
        <w:tc>
          <w:tcPr>
            <w:tcW w:w="1734" w:type="dxa"/>
            <w:tcBorders>
              <w:top w:val="single" w:color="auto" w:sz="4" w:space="0"/>
              <w:left w:val="nil"/>
              <w:bottom w:val="single" w:color="auto" w:sz="8" w:space="0"/>
              <w:right w:val="single" w:color="auto" w:sz="4" w:space="0"/>
            </w:tcBorders>
            <w:vAlign w:val="center"/>
          </w:tcPr>
          <w:p>
            <w:pPr>
              <w:jc w:val="right"/>
              <w:rPr>
                <w:rFonts w:hint="eastAsia" w:ascii="仿宋_GB2312" w:hAnsi="宋体" w:eastAsia="仿宋_GB2312" w:cs="宋体"/>
                <w:sz w:val="28"/>
                <w:szCs w:val="28"/>
              </w:rPr>
            </w:pPr>
            <w:r>
              <w:rPr>
                <w:rFonts w:hint="eastAsia" w:ascii="仿宋_GB2312" w:hAnsi="宋体" w:eastAsia="仿宋_GB2312" w:cs="宋体"/>
                <w:sz w:val="28"/>
                <w:szCs w:val="28"/>
              </w:rPr>
              <w:t>-100</w:t>
            </w:r>
          </w:p>
        </w:tc>
      </w:tr>
    </w:tbl>
    <w:p>
      <w:pPr>
        <w:spacing w:line="560" w:lineRule="exact"/>
        <w:ind w:firstLine="640" w:firstLineChars="200"/>
        <w:jc w:val="left"/>
        <w:rPr>
          <w:rFonts w:hint="eastAsia" w:ascii="黑体" w:hAnsi="仿宋" w:eastAsia="黑体"/>
          <w:sz w:val="32"/>
          <w:szCs w:val="32"/>
        </w:rPr>
      </w:pPr>
      <w:r>
        <w:rPr>
          <w:rFonts w:hint="eastAsia" w:ascii="黑体" w:hAnsi="仿宋" w:eastAsia="黑体"/>
          <w:sz w:val="32"/>
          <w:szCs w:val="32"/>
        </w:rPr>
        <w:t>二、“三公”经费财政拨款支出情况说明</w:t>
      </w:r>
    </w:p>
    <w:p>
      <w:pPr>
        <w:widowControl/>
        <w:spacing w:line="56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sz w:val="32"/>
          <w:szCs w:val="32"/>
        </w:rPr>
        <w:t>五河县交通运输综合行政执法大队2024年“三公</w:t>
      </w:r>
      <w:r>
        <w:rPr>
          <w:rFonts w:hint="eastAsia" w:ascii="仿宋_GB2312" w:hAnsi="黑体" w:eastAsia="仿宋_GB2312"/>
          <w:sz w:val="32"/>
          <w:szCs w:val="32"/>
        </w:rPr>
        <w:t>”</w:t>
      </w:r>
      <w:r>
        <w:rPr>
          <w:rFonts w:hint="eastAsia" w:ascii="仿宋_GB2312" w:hAnsi="仿宋" w:eastAsia="仿宋_GB2312"/>
          <w:sz w:val="32"/>
          <w:szCs w:val="32"/>
        </w:rPr>
        <w:t>经费支出预算为20.5万元，比2023年预算减少36万元，下降63.72%。其中：因公出国（境）费支出预算为0万元，公务接待费支出预算为1.5万元，公务用车购置及运行费支出预算为19万元。</w:t>
      </w:r>
      <w:r>
        <w:rPr>
          <w:rFonts w:hint="eastAsia" w:ascii="仿宋_GB2312" w:hAnsi="仿宋" w:eastAsia="仿宋_GB2312" w:cs="宋体"/>
          <w:kern w:val="0"/>
          <w:sz w:val="32"/>
          <w:szCs w:val="32"/>
        </w:rPr>
        <w:t>具体情况如下：</w:t>
      </w:r>
    </w:p>
    <w:p>
      <w:pPr>
        <w:widowControl/>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w:t>
      </w:r>
      <w:r>
        <w:rPr>
          <w:rFonts w:hint="eastAsia" w:ascii="仿宋_GB2312" w:hAnsi="仿宋" w:eastAsia="仿宋_GB2312" w:cs="宋体"/>
          <w:b/>
          <w:kern w:val="0"/>
          <w:sz w:val="32"/>
          <w:szCs w:val="32"/>
        </w:rPr>
        <w:t>因公出国（境）费</w:t>
      </w:r>
      <w:r>
        <w:rPr>
          <w:rFonts w:hint="eastAsia" w:ascii="仿宋_GB2312" w:hAnsi="仿宋" w:eastAsia="仿宋_GB2312" w:cs="宋体"/>
          <w:kern w:val="0"/>
          <w:sz w:val="32"/>
          <w:szCs w:val="32"/>
        </w:rPr>
        <w:t>预算0万元，与2023年预算持平，原因主要是近两年均无出国（境）计划</w:t>
      </w:r>
      <w:r>
        <w:rPr>
          <w:rFonts w:hint="eastAsia" w:ascii="仿宋_GB2312" w:hAnsi="仿宋" w:eastAsia="仿宋_GB2312"/>
          <w:sz w:val="32"/>
          <w:szCs w:val="32"/>
        </w:rPr>
        <w:t>。</w:t>
      </w:r>
      <w:r>
        <w:rPr>
          <w:rFonts w:hint="eastAsia" w:ascii="仿宋_GB2312" w:hAnsi="仿宋" w:eastAsia="仿宋_GB2312" w:cs="宋体"/>
          <w:kern w:val="0"/>
          <w:sz w:val="32"/>
          <w:szCs w:val="32"/>
        </w:rPr>
        <w:t>经费使用严格执行《转发&lt;安徽省省直党政机关因公出国经费管理办法&gt;》（五办</w:t>
      </w:r>
      <w:r>
        <w:rPr>
          <w:rFonts w:hint="eastAsia" w:ascii="仿宋_GB2312" w:hAnsi="仿宋_GB2312" w:eastAsia="仿宋_GB2312" w:cs="仿宋_GB2312"/>
          <w:kern w:val="0"/>
          <w:sz w:val="32"/>
          <w:szCs w:val="32"/>
        </w:rPr>
        <w:t>〔</w:t>
      </w:r>
      <w:r>
        <w:rPr>
          <w:rFonts w:hint="eastAsia" w:ascii="仿宋_GB2312" w:hAnsi="仿宋" w:eastAsia="仿宋_GB2312" w:cs="宋体"/>
          <w:kern w:val="0"/>
          <w:sz w:val="32"/>
          <w:szCs w:val="32"/>
        </w:rPr>
        <w:t>2014</w:t>
      </w:r>
      <w:r>
        <w:rPr>
          <w:rFonts w:hint="eastAsia" w:ascii="仿宋_GB2312" w:hAnsi="仿宋_GB2312" w:eastAsia="仿宋_GB2312" w:cs="仿宋_GB2312"/>
          <w:kern w:val="0"/>
          <w:sz w:val="32"/>
          <w:szCs w:val="32"/>
        </w:rPr>
        <w:t>〕</w:t>
      </w:r>
      <w:r>
        <w:rPr>
          <w:rFonts w:hint="eastAsia" w:ascii="仿宋_GB2312" w:hAnsi="仿宋" w:eastAsia="仿宋_GB2312" w:cs="宋体"/>
          <w:kern w:val="0"/>
          <w:sz w:val="32"/>
          <w:szCs w:val="32"/>
        </w:rPr>
        <w:t>18号）等相关规定。</w:t>
      </w:r>
    </w:p>
    <w:p>
      <w:pPr>
        <w:widowControl/>
        <w:spacing w:line="56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w:t>
      </w:r>
      <w:r>
        <w:rPr>
          <w:rFonts w:hint="eastAsia" w:ascii="仿宋_GB2312" w:hAnsi="仿宋" w:eastAsia="仿宋_GB2312" w:cs="宋体"/>
          <w:b/>
          <w:kern w:val="0"/>
          <w:sz w:val="32"/>
          <w:szCs w:val="32"/>
        </w:rPr>
        <w:t>公务接待费</w:t>
      </w:r>
      <w:r>
        <w:rPr>
          <w:rFonts w:hint="eastAsia" w:ascii="仿宋_GB2312" w:hAnsi="仿宋" w:eastAsia="仿宋_GB2312" w:cs="宋体"/>
          <w:kern w:val="0"/>
          <w:sz w:val="32"/>
          <w:szCs w:val="32"/>
        </w:rPr>
        <w:t>预算1.5万元，与上年持平，原因主要是预计</w:t>
      </w:r>
      <w:r>
        <w:rPr>
          <w:rFonts w:ascii="仿宋_GB2312" w:hAnsi="仿宋" w:eastAsia="仿宋_GB2312" w:cs="宋体"/>
          <w:kern w:val="0"/>
          <w:sz w:val="32"/>
          <w:szCs w:val="32"/>
        </w:rPr>
        <w:t>公务接待批次和人数与上年</w:t>
      </w:r>
      <w:r>
        <w:rPr>
          <w:rFonts w:hint="eastAsia" w:ascii="仿宋_GB2312" w:hAnsi="仿宋" w:eastAsia="仿宋_GB2312" w:cs="宋体"/>
          <w:kern w:val="0"/>
          <w:sz w:val="32"/>
          <w:szCs w:val="32"/>
        </w:rPr>
        <w:t>基本相同。</w:t>
      </w:r>
      <w:r>
        <w:rPr>
          <w:rFonts w:hint="eastAsia" w:ascii="仿宋_GB2312" w:hAnsi="仿宋" w:eastAsia="仿宋_GB2312"/>
          <w:sz w:val="32"/>
          <w:szCs w:val="32"/>
        </w:rPr>
        <w:t>该项经费主要用于接待上级单位业务指导和工作调研等公务往来支出。</w:t>
      </w:r>
      <w:r>
        <w:rPr>
          <w:rFonts w:hint="eastAsia" w:ascii="仿宋_GB2312" w:hAnsi="仿宋" w:eastAsia="仿宋_GB2312" w:cs="宋体"/>
          <w:kern w:val="0"/>
          <w:sz w:val="32"/>
          <w:szCs w:val="32"/>
        </w:rPr>
        <w:t>经费使用严格执行《转发&lt;安徽省省直党政机关因公出国经费管理办法&gt;》（五办</w:t>
      </w:r>
      <w:r>
        <w:rPr>
          <w:rFonts w:hint="eastAsia" w:ascii="仿宋_GB2312" w:hAnsi="仿宋_GB2312" w:eastAsia="仿宋_GB2312" w:cs="仿宋_GB2312"/>
          <w:kern w:val="0"/>
          <w:sz w:val="32"/>
          <w:szCs w:val="32"/>
        </w:rPr>
        <w:t>〔</w:t>
      </w:r>
      <w:r>
        <w:rPr>
          <w:rFonts w:hint="eastAsia" w:ascii="仿宋_GB2312" w:hAnsi="仿宋" w:eastAsia="仿宋_GB2312" w:cs="宋体"/>
          <w:kern w:val="0"/>
          <w:sz w:val="32"/>
          <w:szCs w:val="32"/>
        </w:rPr>
        <w:t>2014</w:t>
      </w:r>
      <w:r>
        <w:rPr>
          <w:rFonts w:hint="eastAsia" w:ascii="仿宋_GB2312" w:hAnsi="仿宋_GB2312" w:eastAsia="仿宋_GB2312" w:cs="仿宋_GB2312"/>
          <w:kern w:val="0"/>
          <w:sz w:val="32"/>
          <w:szCs w:val="32"/>
        </w:rPr>
        <w:t>〕</w:t>
      </w:r>
      <w:r>
        <w:rPr>
          <w:rFonts w:hint="eastAsia" w:ascii="仿宋_GB2312" w:hAnsi="仿宋" w:eastAsia="仿宋_GB2312" w:cs="宋体"/>
          <w:kern w:val="0"/>
          <w:sz w:val="32"/>
          <w:szCs w:val="32"/>
        </w:rPr>
        <w:t>18号）等相关规定。</w:t>
      </w:r>
    </w:p>
    <w:p>
      <w:pPr>
        <w:pStyle w:val="4"/>
        <w:adjustRightInd w:val="0"/>
        <w:snapToGrid w:val="0"/>
        <w:spacing w:before="0" w:beforeAutospacing="0" w:after="0" w:afterAutospacing="0" w:line="560" w:lineRule="exact"/>
        <w:ind w:firstLine="640" w:firstLineChars="200"/>
        <w:jc w:val="both"/>
        <w:rPr>
          <w:rFonts w:hint="eastAsia" w:ascii="仿宋_GB2312" w:hAnsi="楷体" w:eastAsia="仿宋_GB2312"/>
          <w:sz w:val="32"/>
          <w:szCs w:val="32"/>
        </w:rPr>
      </w:pPr>
      <w:r>
        <w:rPr>
          <w:rFonts w:hint="eastAsia" w:ascii="仿宋_GB2312" w:hAnsi="仿宋" w:eastAsia="仿宋_GB2312"/>
          <w:sz w:val="32"/>
          <w:szCs w:val="32"/>
        </w:rPr>
        <w:t>（三）</w:t>
      </w:r>
      <w:r>
        <w:rPr>
          <w:rFonts w:hint="eastAsia" w:ascii="仿宋_GB2312" w:hAnsi="仿宋" w:eastAsia="仿宋_GB2312"/>
          <w:b/>
          <w:sz w:val="32"/>
          <w:szCs w:val="32"/>
        </w:rPr>
        <w:t>公务用车购置及运行费</w:t>
      </w:r>
      <w:r>
        <w:rPr>
          <w:rFonts w:hint="eastAsia" w:ascii="仿宋_GB2312" w:hAnsi="仿宋" w:eastAsia="仿宋_GB2312"/>
          <w:sz w:val="32"/>
          <w:szCs w:val="32"/>
        </w:rPr>
        <w:t>预算19万元，比上年减少36万元，同比下降65.45%。其中，公务用车运行费19万元，与上年持平，主要是近两年公车总量未发生变化，公车运行费用趋于稳定；该项经费主要用于车辆燃料费、维修费、过路过桥费、保险费等支出。公务用车购置费0万元，比上年减少36万元，同比下降100%，主要原因是本年未安排公务用车购置计划，相应也未安排公务用车购置费预算。</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eastAsia="zh-CN"/>
      </w:rPr>
      <w:t>1</w:t>
    </w:r>
    <w:r>
      <w:rPr>
        <w:lang w:val="zh-CN" w:eastAsia="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OGE3MzBiNWNhYzY1NTNjYWUzNDAwYjMxMWUzYjcifQ=="/>
  </w:docVars>
  <w:rsids>
    <w:rsidRoot w:val="00C53C8C"/>
    <w:rsid w:val="000028BB"/>
    <w:rsid w:val="00021D5C"/>
    <w:rsid w:val="00035C0F"/>
    <w:rsid w:val="00046ECF"/>
    <w:rsid w:val="00052A31"/>
    <w:rsid w:val="00061C07"/>
    <w:rsid w:val="00074C21"/>
    <w:rsid w:val="000768D8"/>
    <w:rsid w:val="000B269E"/>
    <w:rsid w:val="000C1396"/>
    <w:rsid w:val="000D1555"/>
    <w:rsid w:val="000D531F"/>
    <w:rsid w:val="000E16E5"/>
    <w:rsid w:val="000F2CF3"/>
    <w:rsid w:val="00105B2B"/>
    <w:rsid w:val="00120007"/>
    <w:rsid w:val="00120A4F"/>
    <w:rsid w:val="00137B22"/>
    <w:rsid w:val="00174BDC"/>
    <w:rsid w:val="00191A3C"/>
    <w:rsid w:val="001B0239"/>
    <w:rsid w:val="001D2812"/>
    <w:rsid w:val="001E115A"/>
    <w:rsid w:val="001E39AD"/>
    <w:rsid w:val="002062E5"/>
    <w:rsid w:val="00212799"/>
    <w:rsid w:val="0026607A"/>
    <w:rsid w:val="00266A89"/>
    <w:rsid w:val="0027457A"/>
    <w:rsid w:val="0028574D"/>
    <w:rsid w:val="00287796"/>
    <w:rsid w:val="002A4B8B"/>
    <w:rsid w:val="002B44D1"/>
    <w:rsid w:val="002B6378"/>
    <w:rsid w:val="002D730A"/>
    <w:rsid w:val="002E1AB8"/>
    <w:rsid w:val="002F2984"/>
    <w:rsid w:val="00340540"/>
    <w:rsid w:val="00352A80"/>
    <w:rsid w:val="00353466"/>
    <w:rsid w:val="0036183A"/>
    <w:rsid w:val="00393B99"/>
    <w:rsid w:val="003A4522"/>
    <w:rsid w:val="003B4B7A"/>
    <w:rsid w:val="003B7F29"/>
    <w:rsid w:val="004250CD"/>
    <w:rsid w:val="00426337"/>
    <w:rsid w:val="00427337"/>
    <w:rsid w:val="00455115"/>
    <w:rsid w:val="004623B0"/>
    <w:rsid w:val="00465625"/>
    <w:rsid w:val="004927E1"/>
    <w:rsid w:val="004A0391"/>
    <w:rsid w:val="004B71A1"/>
    <w:rsid w:val="004C387B"/>
    <w:rsid w:val="004D3017"/>
    <w:rsid w:val="005074AA"/>
    <w:rsid w:val="00522189"/>
    <w:rsid w:val="0052381B"/>
    <w:rsid w:val="00536D0D"/>
    <w:rsid w:val="00554BE5"/>
    <w:rsid w:val="0056036D"/>
    <w:rsid w:val="00563566"/>
    <w:rsid w:val="00583997"/>
    <w:rsid w:val="00584D4B"/>
    <w:rsid w:val="005A1243"/>
    <w:rsid w:val="005A49B7"/>
    <w:rsid w:val="005A57E6"/>
    <w:rsid w:val="005E62CF"/>
    <w:rsid w:val="005E74C6"/>
    <w:rsid w:val="005F0F5B"/>
    <w:rsid w:val="00623321"/>
    <w:rsid w:val="006511CF"/>
    <w:rsid w:val="0067738D"/>
    <w:rsid w:val="00694B53"/>
    <w:rsid w:val="006A452D"/>
    <w:rsid w:val="006A7828"/>
    <w:rsid w:val="006B0EFC"/>
    <w:rsid w:val="006D68F7"/>
    <w:rsid w:val="00702A23"/>
    <w:rsid w:val="00737E7B"/>
    <w:rsid w:val="007453D2"/>
    <w:rsid w:val="00773EB3"/>
    <w:rsid w:val="00793594"/>
    <w:rsid w:val="007A582B"/>
    <w:rsid w:val="007B5E28"/>
    <w:rsid w:val="007C3148"/>
    <w:rsid w:val="007C4408"/>
    <w:rsid w:val="007C5595"/>
    <w:rsid w:val="007E2C04"/>
    <w:rsid w:val="008112CB"/>
    <w:rsid w:val="00834548"/>
    <w:rsid w:val="00836A0C"/>
    <w:rsid w:val="00852820"/>
    <w:rsid w:val="008659CB"/>
    <w:rsid w:val="0086771B"/>
    <w:rsid w:val="0088103E"/>
    <w:rsid w:val="008A13B7"/>
    <w:rsid w:val="008B7AA6"/>
    <w:rsid w:val="008D1E28"/>
    <w:rsid w:val="008D4F0D"/>
    <w:rsid w:val="008E3CE4"/>
    <w:rsid w:val="00904D73"/>
    <w:rsid w:val="00935C34"/>
    <w:rsid w:val="00942D92"/>
    <w:rsid w:val="00951136"/>
    <w:rsid w:val="00970081"/>
    <w:rsid w:val="0097119F"/>
    <w:rsid w:val="00987954"/>
    <w:rsid w:val="00996FA3"/>
    <w:rsid w:val="009A0557"/>
    <w:rsid w:val="009A717D"/>
    <w:rsid w:val="009B06FD"/>
    <w:rsid w:val="009B17F7"/>
    <w:rsid w:val="009C3520"/>
    <w:rsid w:val="009C390D"/>
    <w:rsid w:val="009C7D82"/>
    <w:rsid w:val="009D16AE"/>
    <w:rsid w:val="009E6278"/>
    <w:rsid w:val="009F13F9"/>
    <w:rsid w:val="009F78E7"/>
    <w:rsid w:val="00A060F2"/>
    <w:rsid w:val="00A13B92"/>
    <w:rsid w:val="00A1541C"/>
    <w:rsid w:val="00A15667"/>
    <w:rsid w:val="00A2373C"/>
    <w:rsid w:val="00A459D2"/>
    <w:rsid w:val="00A6742C"/>
    <w:rsid w:val="00A7258E"/>
    <w:rsid w:val="00A739FF"/>
    <w:rsid w:val="00A767E3"/>
    <w:rsid w:val="00A83FE7"/>
    <w:rsid w:val="00A858CE"/>
    <w:rsid w:val="00A969A3"/>
    <w:rsid w:val="00AB55CD"/>
    <w:rsid w:val="00AB652D"/>
    <w:rsid w:val="00B34DD6"/>
    <w:rsid w:val="00B54229"/>
    <w:rsid w:val="00B643B2"/>
    <w:rsid w:val="00B67A1B"/>
    <w:rsid w:val="00B85375"/>
    <w:rsid w:val="00B85DB1"/>
    <w:rsid w:val="00B93481"/>
    <w:rsid w:val="00B978D0"/>
    <w:rsid w:val="00BB436E"/>
    <w:rsid w:val="00BB5C38"/>
    <w:rsid w:val="00BC1B53"/>
    <w:rsid w:val="00BD185A"/>
    <w:rsid w:val="00BD7435"/>
    <w:rsid w:val="00BF18C9"/>
    <w:rsid w:val="00BF1BBA"/>
    <w:rsid w:val="00C2191F"/>
    <w:rsid w:val="00C25777"/>
    <w:rsid w:val="00C26A0F"/>
    <w:rsid w:val="00C304F9"/>
    <w:rsid w:val="00C53C8C"/>
    <w:rsid w:val="00C55C48"/>
    <w:rsid w:val="00C66E1A"/>
    <w:rsid w:val="00C67CEE"/>
    <w:rsid w:val="00C71C4F"/>
    <w:rsid w:val="00CB6F98"/>
    <w:rsid w:val="00CC5D82"/>
    <w:rsid w:val="00CD0214"/>
    <w:rsid w:val="00CF323F"/>
    <w:rsid w:val="00D2526D"/>
    <w:rsid w:val="00D26990"/>
    <w:rsid w:val="00D710D6"/>
    <w:rsid w:val="00D750DB"/>
    <w:rsid w:val="00D7657D"/>
    <w:rsid w:val="00D831B4"/>
    <w:rsid w:val="00D85A08"/>
    <w:rsid w:val="00DA388A"/>
    <w:rsid w:val="00DB0A72"/>
    <w:rsid w:val="00DB5AE6"/>
    <w:rsid w:val="00DC3ED8"/>
    <w:rsid w:val="00DE6940"/>
    <w:rsid w:val="00DF04B7"/>
    <w:rsid w:val="00E1032A"/>
    <w:rsid w:val="00E21E76"/>
    <w:rsid w:val="00E379E0"/>
    <w:rsid w:val="00E471D1"/>
    <w:rsid w:val="00E47543"/>
    <w:rsid w:val="00E81790"/>
    <w:rsid w:val="00EA1FDD"/>
    <w:rsid w:val="00EA7A06"/>
    <w:rsid w:val="00ED4F2E"/>
    <w:rsid w:val="00EE2970"/>
    <w:rsid w:val="00EF3C90"/>
    <w:rsid w:val="00F048EF"/>
    <w:rsid w:val="00F6426D"/>
    <w:rsid w:val="00F66269"/>
    <w:rsid w:val="00F879AA"/>
    <w:rsid w:val="00FA590F"/>
    <w:rsid w:val="00FB1597"/>
    <w:rsid w:val="00FB2703"/>
    <w:rsid w:val="00FC76B3"/>
    <w:rsid w:val="00FD0AEA"/>
    <w:rsid w:val="00FE7E02"/>
    <w:rsid w:val="063453D2"/>
    <w:rsid w:val="072E6F42"/>
    <w:rsid w:val="0F486B5F"/>
    <w:rsid w:val="0F692FC4"/>
    <w:rsid w:val="135D568E"/>
    <w:rsid w:val="16B53957"/>
    <w:rsid w:val="21B524A9"/>
    <w:rsid w:val="21C35711"/>
    <w:rsid w:val="29F1486B"/>
    <w:rsid w:val="37A34A15"/>
    <w:rsid w:val="3EEC0D81"/>
    <w:rsid w:val="4B6B4895"/>
    <w:rsid w:val="4DB56DF9"/>
    <w:rsid w:val="67DE3880"/>
    <w:rsid w:val="6C6D0DAE"/>
    <w:rsid w:val="6D5E26ED"/>
    <w:rsid w:val="78DE4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kern w:val="0"/>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autoRedefine/>
    <w:qFormat/>
    <w:uiPriority w:val="0"/>
  </w:style>
  <w:style w:type="character" w:customStyle="1" w:styleId="8">
    <w:name w:val="页脚 Char"/>
    <w:link w:val="2"/>
    <w:uiPriority w:val="99"/>
    <w:rPr>
      <w:sz w:val="18"/>
      <w:szCs w:val="18"/>
    </w:rPr>
  </w:style>
  <w:style w:type="character" w:customStyle="1" w:styleId="9">
    <w:name w:val="页眉 Char"/>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蚌埠中兴</Company>
  <Pages>2</Pages>
  <Words>118</Words>
  <Characters>673</Characters>
  <Lines>5</Lines>
  <Paragraphs>1</Paragraphs>
  <TotalTime>3</TotalTime>
  <ScaleCrop>false</ScaleCrop>
  <LinksUpToDate>false</LinksUpToDate>
  <CharactersWithSpaces>790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2024-03-04T06:33:00Z</dcterms:created>
  <dc:creator>王春梅</dc:creator>
  <cp:lastModifiedBy>Administrator</cp:lastModifiedBy>
  <cp:lastPrinted>2024-02-19T01:37:00Z</cp:lastPrinted>
  <dcterms:modified xsi:type="dcterms:W3CDTF">2024-03-04T07:27:20Z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B73BC65DC3FD48E88962A21A85D12AAC_13</vt:lpwstr>
  </property>
</Properties>
</file>