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30" w:rightChars="3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exact"/>
        <w:ind w:left="630" w:leftChars="300" w:right="630" w:rightChars="300"/>
        <w:jc w:val="center"/>
        <w:rPr>
          <w:rFonts w:hint="eastAsia" w:ascii="黑体" w:eastAsia="黑体"/>
          <w:sz w:val="52"/>
          <w:szCs w:val="52"/>
        </w:rPr>
      </w:pPr>
      <w:r>
        <w:rPr>
          <w:rFonts w:hint="eastAsia" w:ascii="黑体" w:eastAsia="黑体"/>
          <w:sz w:val="52"/>
          <w:szCs w:val="52"/>
        </w:rPr>
        <w:t>五河县交通运输综合行政执法大队</w:t>
      </w:r>
    </w:p>
    <w:p>
      <w:pPr>
        <w:spacing w:line="560" w:lineRule="exact"/>
        <w:ind w:left="630" w:leftChars="300" w:right="630" w:rightChars="300"/>
        <w:jc w:val="center"/>
        <w:rPr>
          <w:rFonts w:hint="eastAsia" w:ascii="黑体" w:eastAsia="黑体"/>
          <w:sz w:val="52"/>
          <w:szCs w:val="52"/>
        </w:rPr>
      </w:pPr>
      <w:r>
        <w:rPr>
          <w:rFonts w:hint="eastAsia" w:ascii="黑体" w:eastAsia="黑体"/>
          <w:sz w:val="52"/>
          <w:szCs w:val="52"/>
        </w:rPr>
        <w:t>2024年单位预算</w:t>
      </w:r>
    </w:p>
    <w:p>
      <w:pPr>
        <w:jc w:val="left"/>
        <w:rPr>
          <w:rFonts w:ascii="黑体" w:eastAsia="黑体"/>
          <w:sz w:val="36"/>
          <w:szCs w:val="36"/>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2024年2月</w:t>
      </w:r>
    </w:p>
    <w:p>
      <w:pPr>
        <w:pStyle w:val="7"/>
        <w:adjustRightInd w:val="0"/>
        <w:snapToGrid w:val="0"/>
        <w:spacing w:before="0" w:beforeAutospacing="0" w:after="0" w:afterAutospacing="0" w:line="360" w:lineRule="auto"/>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目 录</w:t>
      </w:r>
    </w:p>
    <w:p>
      <w:pPr>
        <w:pStyle w:val="7"/>
        <w:adjustRightInd w:val="0"/>
        <w:snapToGrid w:val="0"/>
        <w:spacing w:before="0" w:beforeAutospacing="0" w:after="0" w:afterAutospacing="0" w:line="54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单位概况</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2.单位预算构成</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3.2024年度主要工作任务</w:t>
      </w:r>
    </w:p>
    <w:p>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2024年单位预算情况说明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1.关于2024年收支总表的说明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2.关于2024年</w:t>
      </w:r>
      <w:r>
        <w:rPr>
          <w:rFonts w:ascii="TimesNewRoman" w:hAnsi="TimesNewRoman" w:eastAsia="仿宋_GB2312" w:cs="TimesNewRoman"/>
          <w:bCs/>
          <w:sz w:val="32"/>
          <w:szCs w:val="32"/>
        </w:rPr>
        <w:t>收入总表的说明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3.关于2024年支出总表的说明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4.关于2024年财政拨款收支总表的说明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5.关于2024年一般公共预算支出表的说明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6.关于2024年一般公共预算基本支出表的说明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7.关于2024年政府性基金预算支出表的说明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8.关于2024年国有资本经营预算支出表的说明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9.关于2024年项目支出表的说明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10.关于2024年政府采购支出表的说明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11.关于2024年政府购买服务支出表的说明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12.其他重要事项情况说明</w:t>
      </w:r>
    </w:p>
    <w:p>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名词解释</w:t>
      </w:r>
    </w:p>
    <w:p>
      <w:pPr>
        <w:pStyle w:val="7"/>
        <w:adjustRightInd w:val="0"/>
        <w:snapToGrid w:val="0"/>
        <w:spacing w:before="0" w:beforeAutospacing="0" w:after="0" w:afterAutospacing="0" w:line="540" w:lineRule="exact"/>
        <w:ind w:firstLine="643" w:firstLineChars="200"/>
        <w:rPr>
          <w:rFonts w:ascii="仿宋_GB2312" w:hAnsi="仿宋" w:eastAsia="仿宋_GB2312" w:cs="仿宋"/>
          <w:b/>
          <w:sz w:val="32"/>
          <w:szCs w:val="32"/>
        </w:rPr>
      </w:pPr>
      <w:r>
        <w:rPr>
          <w:rFonts w:ascii="仿宋_GB2312" w:hAnsi="仿宋" w:eastAsia="仿宋_GB2312" w:cs="仿宋"/>
          <w:b/>
          <w:sz w:val="32"/>
          <w:szCs w:val="32"/>
        </w:rPr>
        <w:t>第</w:t>
      </w:r>
      <w:r>
        <w:rPr>
          <w:rFonts w:hint="eastAsia" w:ascii="仿宋_GB2312" w:hAnsi="仿宋" w:eastAsia="仿宋_GB2312" w:cs="仿宋"/>
          <w:b/>
          <w:sz w:val="32"/>
          <w:szCs w:val="32"/>
        </w:rPr>
        <w:t>四</w:t>
      </w:r>
      <w:r>
        <w:rPr>
          <w:rFonts w:ascii="仿宋_GB2312" w:hAnsi="仿宋" w:eastAsia="仿宋_GB2312" w:cs="仿宋"/>
          <w:b/>
          <w:sz w:val="32"/>
          <w:szCs w:val="32"/>
        </w:rPr>
        <w:t xml:space="preserve">部分 </w:t>
      </w:r>
      <w:r>
        <w:rPr>
          <w:rFonts w:hint="eastAsia" w:ascii="仿宋_GB2312" w:hAnsi="仿宋" w:eastAsia="仿宋_GB2312" w:cs="仿宋"/>
          <w:b/>
          <w:sz w:val="32"/>
          <w:szCs w:val="32"/>
        </w:rPr>
        <w:t>2024年单位预算公开附表</w:t>
      </w:r>
    </w:p>
    <w:p>
      <w:pPr>
        <w:spacing w:line="560" w:lineRule="exact"/>
        <w:ind w:firstLine="180" w:firstLineChars="50"/>
        <w:rPr>
          <w:rFonts w:hint="eastAsia" w:ascii="黑体" w:eastAsia="黑体"/>
          <w:sz w:val="36"/>
          <w:szCs w:val="36"/>
        </w:rPr>
      </w:pPr>
    </w:p>
    <w:p>
      <w:pPr>
        <w:pStyle w:val="7"/>
        <w:adjustRightInd w:val="0"/>
        <w:snapToGrid w:val="0"/>
        <w:spacing w:before="0" w:beforeAutospacing="0" w:after="0" w:afterAutospacing="0" w:line="360" w:lineRule="auto"/>
        <w:ind w:firstLine="784" w:firstLineChars="245"/>
        <w:jc w:val="both"/>
        <w:rPr>
          <w:rFonts w:hint="eastAsia" w:ascii="楷体_GB2312" w:hAnsi="黑体" w:eastAsia="楷体_GB2312"/>
          <w:bCs/>
          <w:color w:val="FF0000"/>
          <w:sz w:val="32"/>
          <w:szCs w:val="32"/>
        </w:rPr>
      </w:pPr>
    </w:p>
    <w:p>
      <w:pPr>
        <w:spacing w:line="560" w:lineRule="exact"/>
        <w:ind w:firstLine="180" w:firstLineChars="50"/>
        <w:rPr>
          <w:rFonts w:hint="eastAsia" w:ascii="黑体" w:eastAsia="黑体"/>
          <w:sz w:val="36"/>
          <w:szCs w:val="36"/>
        </w:rPr>
      </w:pPr>
    </w:p>
    <w:p>
      <w:pPr>
        <w:spacing w:line="560" w:lineRule="exact"/>
        <w:ind w:firstLine="180" w:firstLineChars="50"/>
        <w:jc w:val="center"/>
        <w:rPr>
          <w:rFonts w:hint="eastAsia" w:ascii="黑体" w:eastAsia="黑体"/>
          <w:sz w:val="36"/>
          <w:szCs w:val="36"/>
        </w:rPr>
      </w:pPr>
      <w:r>
        <w:rPr>
          <w:rFonts w:hint="eastAsia" w:ascii="黑体" w:eastAsia="黑体"/>
          <w:sz w:val="36"/>
          <w:szCs w:val="36"/>
        </w:rPr>
        <w:br w:type="page"/>
      </w:r>
      <w:r>
        <w:rPr>
          <w:rFonts w:hint="eastAsia" w:ascii="黑体" w:eastAsia="黑体"/>
          <w:sz w:val="36"/>
          <w:szCs w:val="36"/>
        </w:rPr>
        <w:t>第一部分   单位概况</w:t>
      </w:r>
    </w:p>
    <w:p>
      <w:pPr>
        <w:spacing w:line="56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jc w:val="left"/>
        <w:rPr>
          <w:rFonts w:ascii="仿宋_GB2312" w:hAnsi="Calibri" w:eastAsia="仿宋_GB2312"/>
          <w:sz w:val="32"/>
          <w:szCs w:val="32"/>
        </w:rPr>
      </w:pPr>
      <w:r>
        <w:rPr>
          <w:rFonts w:hint="eastAsia" w:ascii="仿宋_GB2312" w:hAnsi="Calibri" w:eastAsia="仿宋_GB2312"/>
          <w:sz w:val="32"/>
          <w:szCs w:val="32"/>
        </w:rPr>
        <w:t xml:space="preserve">根据中共五河县机构编制委员会五编[2020]24号文件批复，五河县交通运输综合行政执法大队主要承担全县道路运输、公共交通管理、公路路政、道路运政、交通工程质量监管等交通领域行政执法职责，具体包括： </w:t>
      </w:r>
    </w:p>
    <w:p>
      <w:pPr>
        <w:spacing w:line="600" w:lineRule="exact"/>
        <w:jc w:val="left"/>
        <w:rPr>
          <w:rFonts w:ascii="仿宋_GB2312" w:hAnsi="Calibri" w:eastAsia="仿宋_GB2312"/>
          <w:sz w:val="32"/>
          <w:szCs w:val="32"/>
        </w:rPr>
      </w:pPr>
      <w:r>
        <w:rPr>
          <w:rFonts w:hint="eastAsia" w:ascii="仿宋_GB2312" w:hAnsi="Calibri" w:eastAsia="仿宋_GB2312"/>
          <w:sz w:val="32"/>
          <w:szCs w:val="32"/>
        </w:rPr>
        <w:t>（一）贯彻执行国家和省、市有关交通运输行政执法的方针政策和法律法规，负责全县境内交通运输综合行政执法工作，组织实施。</w:t>
      </w:r>
    </w:p>
    <w:p>
      <w:pPr>
        <w:spacing w:line="600" w:lineRule="exact"/>
        <w:jc w:val="left"/>
        <w:rPr>
          <w:rFonts w:ascii="仿宋_GB2312" w:hAnsi="Calibri" w:eastAsia="仿宋_GB2312"/>
          <w:sz w:val="32"/>
          <w:szCs w:val="32"/>
        </w:rPr>
      </w:pPr>
      <w:r>
        <w:rPr>
          <w:rFonts w:hint="eastAsia" w:ascii="仿宋_GB2312" w:hAnsi="Calibri" w:eastAsia="仿宋_GB2312"/>
          <w:sz w:val="32"/>
          <w:szCs w:val="32"/>
        </w:rPr>
        <w:t>（二）负责全县公路路政和道路运政的行政处罚以及与行政处罚相关的行政检查、行政强制等执法工作。</w:t>
      </w:r>
    </w:p>
    <w:p>
      <w:pPr>
        <w:spacing w:line="600" w:lineRule="exact"/>
        <w:jc w:val="left"/>
        <w:rPr>
          <w:rFonts w:ascii="仿宋_GB2312" w:hAnsi="Calibri" w:eastAsia="仿宋_GB2312"/>
          <w:sz w:val="32"/>
          <w:szCs w:val="32"/>
        </w:rPr>
      </w:pPr>
      <w:r>
        <w:rPr>
          <w:rFonts w:hint="eastAsia" w:ascii="仿宋_GB2312" w:hAnsi="Calibri" w:eastAsia="仿宋_GB2312"/>
          <w:sz w:val="32"/>
          <w:szCs w:val="32"/>
        </w:rPr>
        <w:t>（三）负责全县公路水运工程质量监督、安全生产和交通建设项目市场行为、行政处罚以及与行政处罚相关的行政检查、行政强制等执法工作。</w:t>
      </w:r>
    </w:p>
    <w:p>
      <w:pPr>
        <w:spacing w:line="600" w:lineRule="exact"/>
        <w:jc w:val="left"/>
        <w:rPr>
          <w:rFonts w:ascii="仿宋_GB2312" w:hAnsi="Calibri" w:eastAsia="仿宋_GB2312"/>
          <w:sz w:val="32"/>
          <w:szCs w:val="32"/>
        </w:rPr>
      </w:pPr>
      <w:r>
        <w:rPr>
          <w:rFonts w:hint="eastAsia" w:ascii="仿宋_GB2312" w:hAnsi="Calibri" w:eastAsia="仿宋_GB2312"/>
          <w:sz w:val="32"/>
          <w:szCs w:val="32"/>
        </w:rPr>
        <w:t>（四）负责交通运输行业安全执法工作；参与交通运输安全事故调查和应急处置工作；参与保障国家重点物资道路、紧急客货运输、军事和抢险救灾物资等运输有关工作。</w:t>
      </w:r>
    </w:p>
    <w:p>
      <w:pPr>
        <w:spacing w:line="560" w:lineRule="exact"/>
        <w:jc w:val="left"/>
        <w:rPr>
          <w:rFonts w:hint="eastAsia" w:ascii="仿宋_GB2312" w:hAnsi="Calibri" w:eastAsia="仿宋_GB2312"/>
          <w:sz w:val="32"/>
          <w:szCs w:val="32"/>
        </w:rPr>
      </w:pPr>
      <w:r>
        <w:rPr>
          <w:rFonts w:hint="eastAsia" w:ascii="仿宋_GB2312" w:hAnsi="Calibri" w:eastAsia="仿宋_GB2312"/>
          <w:sz w:val="32"/>
          <w:szCs w:val="32"/>
        </w:rPr>
        <w:t>（五）完成上级交办的其他任务。</w:t>
      </w:r>
    </w:p>
    <w:p>
      <w:pPr>
        <w:ind w:firstLine="640" w:firstLineChars="200"/>
        <w:jc w:val="left"/>
        <w:rPr>
          <w:rFonts w:hint="eastAsia" w:ascii="仿宋_GB2312" w:eastAsia="仿宋_GB2312"/>
          <w:sz w:val="32"/>
          <w:szCs w:val="32"/>
        </w:rPr>
      </w:pPr>
      <w:r>
        <w:rPr>
          <w:rFonts w:hint="eastAsia" w:ascii="黑体" w:eastAsia="黑体"/>
          <w:sz w:val="32"/>
          <w:szCs w:val="32"/>
        </w:rPr>
        <w:t>二、单位预算构成</w:t>
      </w:r>
    </w:p>
    <w:p>
      <w:pPr>
        <w:ind w:firstLine="640" w:firstLineChars="200"/>
        <w:jc w:val="left"/>
        <w:rPr>
          <w:rFonts w:hint="eastAsia" w:ascii="黑体" w:eastAsia="黑体"/>
          <w:sz w:val="32"/>
          <w:szCs w:val="32"/>
        </w:rPr>
      </w:pPr>
      <w:r>
        <w:rPr>
          <w:rFonts w:hint="eastAsia" w:ascii="仿宋_GB2312" w:hAnsi="Calibri" w:eastAsia="仿宋_GB2312"/>
          <w:sz w:val="32"/>
          <w:szCs w:val="32"/>
        </w:rPr>
        <w:t>五河县交通运输综合行政执法大队为五河县交通运输局下属二级预算单位，属于公益一类事业单位，无下设其他单位。</w:t>
      </w:r>
    </w:p>
    <w:p>
      <w:pPr>
        <w:ind w:firstLine="640" w:firstLineChars="200"/>
        <w:jc w:val="left"/>
        <w:rPr>
          <w:rFonts w:hint="eastAsia" w:ascii="黑体" w:eastAsia="黑体"/>
          <w:sz w:val="32"/>
          <w:szCs w:val="32"/>
        </w:rPr>
      </w:pPr>
      <w:r>
        <w:rPr>
          <w:rFonts w:hint="eastAsia" w:ascii="黑体" w:eastAsia="黑体"/>
          <w:sz w:val="32"/>
          <w:szCs w:val="32"/>
        </w:rPr>
        <w:t>三、2024年度主要工作任务</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sz w:val="32"/>
          <w:szCs w:val="32"/>
        </w:rPr>
        <w:t>扎实推进治超工作，组织开展各类联合行动、突击行动，重点打击</w:t>
      </w:r>
      <w:r>
        <w:rPr>
          <w:rFonts w:ascii="仿宋_GB2312" w:eastAsia="仿宋_GB2312"/>
          <w:color w:val="000000"/>
          <w:sz w:val="32"/>
          <w:szCs w:val="32"/>
        </w:rPr>
        <w:t>车货总重超过75吨或者超限率100%以上的</w:t>
      </w:r>
      <w:r>
        <w:rPr>
          <w:rFonts w:hint="eastAsia" w:ascii="仿宋_GB2312" w:eastAsia="仿宋_GB2312"/>
          <w:color w:val="000000"/>
          <w:sz w:val="32"/>
          <w:szCs w:val="32"/>
        </w:rPr>
        <w:t>严重超限超载车辆。</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sz w:val="32"/>
          <w:szCs w:val="32"/>
        </w:rPr>
        <w:t>加大力度整治非法营运、出租车不规范行为、长途班线客运车辆站外揽客等违法违规行为，维护良好地客运市场秩序。</w:t>
      </w:r>
    </w:p>
    <w:p>
      <w:pPr>
        <w:ind w:firstLine="640" w:firstLineChars="200"/>
        <w:jc w:val="left"/>
        <w:rPr>
          <w:rFonts w:hint="eastAsia" w:ascii="仿宋_GB2312" w:eastAsia="仿宋_GB2312"/>
          <w:color w:val="000000"/>
          <w:sz w:val="32"/>
          <w:szCs w:val="32"/>
        </w:rPr>
      </w:pPr>
      <w:r>
        <w:rPr>
          <w:rFonts w:hint="eastAsia" w:ascii="仿宋_GB2312" w:eastAsia="仿宋_GB2312"/>
          <w:sz w:val="32"/>
          <w:szCs w:val="32"/>
        </w:rPr>
        <w:t>（三）</w:t>
      </w:r>
      <w:r>
        <w:rPr>
          <w:rFonts w:hint="eastAsia" w:ascii="仿宋_GB2312" w:eastAsia="仿宋_GB2312"/>
          <w:color w:val="000000"/>
          <w:sz w:val="32"/>
          <w:szCs w:val="32"/>
        </w:rPr>
        <w:t>常态化开展道路运输企业安全生产检查、“两客一危”重点企业检查、高中风险企业整改闭环管理。</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hAnsi="仿宋_GB2312" w:eastAsia="仿宋_GB2312" w:cs="仿宋_GB2312"/>
          <w:color w:val="000000"/>
          <w:sz w:val="32"/>
          <w:szCs w:val="32"/>
        </w:rPr>
        <w:t>加强同周边县、市交通执法机构联系，积极组织开展各类</w:t>
      </w:r>
      <w:r>
        <w:rPr>
          <w:rFonts w:hint="eastAsia" w:ascii="仿宋_GB2312" w:eastAsia="仿宋_GB2312"/>
          <w:color w:val="000000"/>
          <w:sz w:val="32"/>
          <w:szCs w:val="32"/>
        </w:rPr>
        <w:t>跨区域联合执法行动，</w:t>
      </w:r>
      <w:r>
        <w:rPr>
          <w:rFonts w:hint="eastAsia" w:ascii="仿宋_GB2312" w:hAnsi="宋体" w:eastAsia="仿宋_GB2312" w:cs="仿宋_GB2312"/>
          <w:color w:val="000000"/>
          <w:kern w:val="0"/>
          <w:sz w:val="32"/>
          <w:szCs w:val="32"/>
        </w:rPr>
        <w:t>进一步优化行政执法工作机制，强化执法系统区域协同</w:t>
      </w:r>
    </w:p>
    <w:p>
      <w:pPr>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（五）强化工程质量监督，开展质量安全检查，确保工程质量，做好“四好农村路”各施工单位施工安全现场管理、质量管理。</w:t>
      </w:r>
    </w:p>
    <w:p>
      <w:pPr>
        <w:ind w:firstLine="720" w:firstLineChars="200"/>
        <w:jc w:val="left"/>
        <w:rPr>
          <w:rFonts w:hint="eastAsia" w:ascii="黑体" w:eastAsia="黑体"/>
          <w:sz w:val="36"/>
          <w:szCs w:val="36"/>
        </w:rPr>
        <w:sectPr>
          <w:footerReference r:id="rId3" w:type="default"/>
          <w:pgSz w:w="16838" w:h="11906" w:orient="landscape"/>
          <w:pgMar w:top="1800" w:right="1440" w:bottom="1800" w:left="1440" w:header="851" w:footer="992" w:gutter="0"/>
          <w:cols w:space="720" w:num="1"/>
          <w:docGrid w:type="lines" w:linePitch="312" w:charSpace="0"/>
        </w:sectPr>
      </w:pPr>
      <w:r>
        <w:rPr>
          <w:rFonts w:hint="eastAsia" w:ascii="黑体" w:eastAsia="黑体"/>
          <w:sz w:val="36"/>
          <w:szCs w:val="36"/>
        </w:rPr>
        <w:t>（六）</w:t>
      </w:r>
      <w:r>
        <w:rPr>
          <w:rFonts w:hint="eastAsia" w:ascii="仿宋_GB2312" w:hAnsi="仿宋" w:eastAsia="仿宋_GB2312" w:cs="宋体"/>
          <w:kern w:val="0"/>
          <w:sz w:val="32"/>
          <w:szCs w:val="32"/>
        </w:rPr>
        <w:t>完成上级交办其他工作任务。</w:t>
      </w:r>
    </w:p>
    <w:p>
      <w:pPr>
        <w:spacing w:line="560" w:lineRule="exact"/>
        <w:jc w:val="center"/>
        <w:rPr>
          <w:rFonts w:ascii="黑体" w:eastAsia="黑体"/>
          <w:sz w:val="36"/>
          <w:szCs w:val="36"/>
        </w:rPr>
      </w:pPr>
      <w:r>
        <w:rPr>
          <w:rFonts w:hint="eastAsia" w:ascii="黑体" w:eastAsia="黑体"/>
          <w:sz w:val="36"/>
          <w:szCs w:val="36"/>
        </w:rPr>
        <w:t>第二部分  2024年单位预算情况说明</w:t>
      </w:r>
    </w:p>
    <w:p>
      <w:pPr>
        <w:spacing w:line="560" w:lineRule="exact"/>
        <w:ind w:firstLine="664" w:firstLineChars="200"/>
        <w:jc w:val="left"/>
        <w:rPr>
          <w:rFonts w:hint="eastAsia" w:ascii="仿宋_GB2312" w:eastAsia="仿宋_GB2312"/>
          <w:b/>
          <w:sz w:val="32"/>
          <w:szCs w:val="32"/>
        </w:rPr>
      </w:pPr>
    </w:p>
    <w:p>
      <w:pPr>
        <w:pStyle w:val="7"/>
        <w:widowControl w:val="0"/>
        <w:adjustRightInd w:val="0"/>
        <w:snapToGrid w:val="0"/>
        <w:spacing w:before="0" w:beforeAutospacing="0" w:after="0" w:afterAutospacing="0" w:line="560" w:lineRule="exact"/>
        <w:ind w:firstLine="664" w:firstLineChars="200"/>
        <w:jc w:val="both"/>
        <w:rPr>
          <w:rFonts w:hint="eastAsia" w:ascii="黑体" w:hAnsi="Times New Roman" w:eastAsia="黑体" w:cs="Times New Roman"/>
          <w:sz w:val="32"/>
          <w:szCs w:val="32"/>
        </w:rPr>
      </w:pPr>
      <w:r>
        <w:rPr>
          <w:rFonts w:hint="eastAsia" w:ascii="黑体" w:hAnsi="Times New Roman" w:eastAsia="黑体" w:cs="Times New Roman"/>
          <w:sz w:val="32"/>
          <w:szCs w:val="32"/>
        </w:rPr>
        <w:t>一、关于2024年收支</w:t>
      </w:r>
      <w:r>
        <w:rPr>
          <w:rFonts w:ascii="TimesNewRoman" w:hAnsi="TimesNewRoman" w:eastAsia="黑体" w:cs="TimesNewRoman"/>
          <w:kern w:val="2"/>
          <w:sz w:val="32"/>
          <w:szCs w:val="32"/>
        </w:rPr>
        <w:t>总表的说明</w:t>
      </w:r>
    </w:p>
    <w:p>
      <w:pPr>
        <w:pStyle w:val="7"/>
        <w:adjustRightInd w:val="0"/>
        <w:snapToGrid w:val="0"/>
        <w:spacing w:before="0" w:beforeAutospacing="0" w:after="0" w:afterAutospacing="0" w:line="560" w:lineRule="exact"/>
        <w:ind w:firstLine="664" w:firstLineChars="200"/>
        <w:jc w:val="both"/>
        <w:rPr>
          <w:rFonts w:hint="eastAsia" w:ascii="仿宋_GB2312" w:hAnsi="仿宋" w:eastAsia="仿宋_GB2312"/>
          <w:sz w:val="32"/>
          <w:szCs w:val="32"/>
        </w:rPr>
      </w:pPr>
      <w:r>
        <w:rPr>
          <w:rFonts w:hint="eastAsia" w:ascii="仿宋_GB2312" w:hAnsi="仿宋" w:eastAsia="仿宋_GB2312"/>
          <w:sz w:val="32"/>
          <w:szCs w:val="32"/>
        </w:rPr>
        <w:t>按照综合预算管理原则，五河县交通运输综合行政执法大队所有收入和支出均纳入单位预算管理。五河县交通运输综合行政执法大队2024年收支总预算1310.4万元，收入全部是一般公共预算拨款收入，支出包括：社会保障和就业支出、卫生健康支出、交通运输支出、住房保障支出等。</w:t>
      </w:r>
    </w:p>
    <w:p>
      <w:pPr>
        <w:pStyle w:val="7"/>
        <w:widowControl w:val="0"/>
        <w:adjustRightInd w:val="0"/>
        <w:snapToGrid w:val="0"/>
        <w:spacing w:before="0" w:beforeAutospacing="0" w:after="0" w:afterAutospacing="0" w:line="560" w:lineRule="exact"/>
        <w:ind w:firstLine="650" w:firstLineChars="196"/>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kern w:val="2"/>
          <w:sz w:val="32"/>
          <w:szCs w:val="32"/>
        </w:rPr>
        <w:t>关于2024年收入总表的说明</w:t>
      </w:r>
    </w:p>
    <w:p>
      <w:pPr>
        <w:spacing w:line="560" w:lineRule="exact"/>
        <w:ind w:firstLine="664" w:firstLineChars="200"/>
        <w:rPr>
          <w:rFonts w:hint="eastAsia" w:ascii="仿宋_GB2312" w:eastAsia="仿宋_GB2312"/>
          <w:sz w:val="32"/>
          <w:szCs w:val="32"/>
        </w:rPr>
      </w:pPr>
      <w:r>
        <w:rPr>
          <w:rFonts w:hint="eastAsia" w:ascii="仿宋_GB2312" w:hAnsi="仿宋" w:eastAsia="仿宋_GB2312"/>
          <w:sz w:val="32"/>
          <w:szCs w:val="32"/>
        </w:rPr>
        <w:t>五河县交通运输综合行政执法大队</w:t>
      </w:r>
      <w:r>
        <w:rPr>
          <w:rFonts w:hint="eastAsia" w:ascii="仿宋_GB2312" w:eastAsia="仿宋_GB2312"/>
          <w:sz w:val="32"/>
          <w:szCs w:val="32"/>
        </w:rPr>
        <w:t>2024</w:t>
      </w:r>
      <w:r>
        <w:rPr>
          <w:rFonts w:ascii="仿宋_GB2312" w:eastAsia="仿宋_GB2312"/>
          <w:sz w:val="32"/>
          <w:szCs w:val="32"/>
        </w:rPr>
        <w:t>年收入预算</w:t>
      </w:r>
      <w:r>
        <w:rPr>
          <w:rFonts w:hint="eastAsia" w:ascii="仿宋_GB2312" w:eastAsia="仿宋_GB2312"/>
          <w:sz w:val="32"/>
          <w:szCs w:val="32"/>
        </w:rPr>
        <w:t>1310.4</w:t>
      </w:r>
      <w:r>
        <w:rPr>
          <w:rFonts w:ascii="仿宋_GB2312" w:eastAsia="仿宋_GB2312"/>
          <w:sz w:val="32"/>
          <w:szCs w:val="32"/>
        </w:rPr>
        <w:t>万元，其中，本年收入</w:t>
      </w:r>
      <w:r>
        <w:rPr>
          <w:rFonts w:hint="eastAsia" w:ascii="仿宋_GB2312" w:eastAsia="仿宋_GB2312"/>
          <w:sz w:val="32"/>
          <w:szCs w:val="32"/>
        </w:rPr>
        <w:t>1310.4</w:t>
      </w:r>
      <w:r>
        <w:rPr>
          <w:rFonts w:ascii="仿宋_GB2312" w:eastAsia="仿宋_GB2312"/>
          <w:sz w:val="32"/>
          <w:szCs w:val="32"/>
        </w:rPr>
        <w:t>万元，上年结转</w:t>
      </w:r>
      <w:r>
        <w:rPr>
          <w:rFonts w:hint="eastAsia" w:ascii="仿宋_GB2312" w:eastAsia="仿宋_GB2312"/>
          <w:sz w:val="32"/>
          <w:szCs w:val="32"/>
        </w:rPr>
        <w:t>收入0</w:t>
      </w:r>
      <w:r>
        <w:rPr>
          <w:rFonts w:ascii="仿宋_GB2312" w:eastAsia="仿宋_GB2312"/>
          <w:sz w:val="32"/>
          <w:szCs w:val="32"/>
        </w:rPr>
        <w:t>万元。</w:t>
      </w:r>
    </w:p>
    <w:p>
      <w:pPr>
        <w:spacing w:line="560" w:lineRule="exact"/>
        <w:ind w:firstLine="664" w:firstLineChars="200"/>
        <w:rPr>
          <w:rFonts w:hint="eastAsia" w:ascii="仿宋_GB2312" w:eastAsia="仿宋_GB2312"/>
          <w:sz w:val="32"/>
          <w:szCs w:val="32"/>
        </w:rPr>
      </w:pPr>
      <w:r>
        <w:rPr>
          <w:rFonts w:ascii="仿宋_GB2312" w:eastAsia="仿宋_GB2312"/>
          <w:sz w:val="32"/>
          <w:szCs w:val="32"/>
        </w:rPr>
        <w:t>本年收入</w:t>
      </w:r>
      <w:r>
        <w:rPr>
          <w:rFonts w:hint="eastAsia" w:ascii="仿宋_GB2312" w:eastAsia="仿宋_GB2312"/>
          <w:sz w:val="32"/>
          <w:szCs w:val="32"/>
        </w:rPr>
        <w:t>1310.4</w:t>
      </w:r>
      <w:r>
        <w:rPr>
          <w:rFonts w:ascii="仿宋_GB2312" w:eastAsia="仿宋_GB2312"/>
          <w:sz w:val="32"/>
          <w:szCs w:val="32"/>
        </w:rPr>
        <w:t>万元，收入</w:t>
      </w:r>
      <w:r>
        <w:rPr>
          <w:rFonts w:hint="eastAsia" w:ascii="仿宋_GB2312" w:eastAsia="仿宋_GB2312"/>
          <w:sz w:val="32"/>
          <w:szCs w:val="32"/>
        </w:rPr>
        <w:t>全部为</w:t>
      </w:r>
      <w:r>
        <w:rPr>
          <w:rFonts w:ascii="仿宋_GB2312" w:eastAsia="仿宋_GB2312"/>
          <w:sz w:val="32"/>
          <w:szCs w:val="32"/>
        </w:rPr>
        <w:t>一般公共预算</w:t>
      </w:r>
      <w:r>
        <w:rPr>
          <w:rFonts w:hint="eastAsia" w:ascii="仿宋_GB2312" w:eastAsia="仿宋_GB2312"/>
          <w:sz w:val="32"/>
          <w:szCs w:val="32"/>
        </w:rPr>
        <w:t>拨款</w:t>
      </w:r>
      <w:r>
        <w:rPr>
          <w:rFonts w:ascii="仿宋_GB2312" w:eastAsia="仿宋_GB2312"/>
          <w:sz w:val="32"/>
          <w:szCs w:val="32"/>
        </w:rPr>
        <w:t>收入，占</w:t>
      </w:r>
      <w:r>
        <w:rPr>
          <w:rFonts w:hint="eastAsia" w:ascii="仿宋_GB2312" w:eastAsia="仿宋_GB2312"/>
          <w:sz w:val="32"/>
          <w:szCs w:val="32"/>
        </w:rPr>
        <w:t>100</w:t>
      </w:r>
      <w:r>
        <w:rPr>
          <w:rFonts w:ascii="仿宋_GB2312" w:eastAsia="仿宋_GB2312"/>
          <w:sz w:val="32"/>
          <w:szCs w:val="32"/>
        </w:rPr>
        <w:t>%，比 </w:t>
      </w:r>
      <w:r>
        <w:rPr>
          <w:rFonts w:hint="eastAsia" w:ascii="仿宋_GB2312" w:eastAsia="仿宋_GB2312"/>
          <w:sz w:val="32"/>
          <w:szCs w:val="32"/>
        </w:rPr>
        <w:t>2023</w:t>
      </w:r>
      <w:r>
        <w:rPr>
          <w:rFonts w:ascii="仿宋_GB2312" w:eastAsia="仿宋_GB2312"/>
          <w:sz w:val="32"/>
          <w:szCs w:val="32"/>
        </w:rPr>
        <w:t> 年预算增加</w:t>
      </w:r>
      <w:r>
        <w:rPr>
          <w:rFonts w:hint="eastAsia" w:ascii="仿宋_GB2312" w:eastAsia="仿宋_GB2312"/>
          <w:sz w:val="32"/>
          <w:szCs w:val="32"/>
        </w:rPr>
        <w:t>223.67</w:t>
      </w:r>
      <w:r>
        <w:rPr>
          <w:rFonts w:ascii="仿宋_GB2312" w:eastAsia="仿宋_GB2312"/>
          <w:sz w:val="32"/>
          <w:szCs w:val="32"/>
        </w:rPr>
        <w:t>万元，增长</w:t>
      </w:r>
      <w:r>
        <w:rPr>
          <w:rFonts w:hint="eastAsia" w:ascii="仿宋_GB2312" w:eastAsia="仿宋_GB2312"/>
          <w:sz w:val="32"/>
          <w:szCs w:val="32"/>
        </w:rPr>
        <w:t>20.58</w:t>
      </w:r>
      <w:r>
        <w:rPr>
          <w:rFonts w:ascii="仿宋_GB2312" w:eastAsia="仿宋_GB2312"/>
          <w:sz w:val="32"/>
          <w:szCs w:val="32"/>
        </w:rPr>
        <w:t>%，增长原因主要是</w:t>
      </w:r>
      <w:r>
        <w:rPr>
          <w:rFonts w:hint="eastAsia" w:ascii="仿宋_GB2312" w:eastAsia="仿宋_GB2312"/>
          <w:sz w:val="32"/>
          <w:szCs w:val="32"/>
        </w:rPr>
        <w:t>交通运输支出增加。</w:t>
      </w:r>
    </w:p>
    <w:p>
      <w:pPr>
        <w:pStyle w:val="7"/>
        <w:widowControl w:val="0"/>
        <w:adjustRightInd w:val="0"/>
        <w:snapToGrid w:val="0"/>
        <w:spacing w:before="0" w:beforeAutospacing="0" w:after="0" w:afterAutospacing="0" w:line="560" w:lineRule="exact"/>
        <w:ind w:firstLine="650" w:firstLineChars="196"/>
        <w:jc w:val="both"/>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关于2024年支出总表的说明</w:t>
      </w:r>
    </w:p>
    <w:p>
      <w:pPr>
        <w:spacing w:line="560" w:lineRule="exact"/>
        <w:ind w:firstLine="498" w:firstLineChars="150"/>
        <w:jc w:val="left"/>
        <w:rPr>
          <w:rFonts w:hint="eastAsia" w:ascii="仿宋_GB2312" w:eastAsia="仿宋_GB2312"/>
          <w:b/>
          <w:sz w:val="32"/>
          <w:szCs w:val="32"/>
        </w:rPr>
      </w:pPr>
      <w:r>
        <w:rPr>
          <w:rFonts w:hint="eastAsia" w:ascii="仿宋_GB2312" w:hAnsi="仿宋" w:eastAsia="仿宋_GB2312"/>
          <w:sz w:val="32"/>
          <w:szCs w:val="32"/>
        </w:rPr>
        <w:t>五河县交通运输综合行政执法大队</w:t>
      </w:r>
      <w:r>
        <w:rPr>
          <w:rFonts w:hint="eastAsia" w:ascii="仿宋_GB2312" w:eastAsia="仿宋_GB2312"/>
          <w:sz w:val="32"/>
          <w:szCs w:val="32"/>
        </w:rPr>
        <w:t>2024年度</w:t>
      </w:r>
      <w:r>
        <w:rPr>
          <w:rFonts w:ascii="仿宋_GB2312" w:eastAsia="仿宋_GB2312"/>
          <w:sz w:val="32"/>
          <w:szCs w:val="32"/>
        </w:rPr>
        <w:t>支出预算</w:t>
      </w:r>
      <w:r>
        <w:rPr>
          <w:rFonts w:hint="eastAsia" w:ascii="仿宋_GB2312" w:eastAsia="仿宋_GB2312"/>
          <w:sz w:val="32"/>
          <w:szCs w:val="32"/>
        </w:rPr>
        <w:t>1310.4</w:t>
      </w:r>
      <w:r>
        <w:rPr>
          <w:rFonts w:ascii="仿宋_GB2312" w:eastAsia="仿宋_GB2312"/>
          <w:sz w:val="32"/>
          <w:szCs w:val="32"/>
        </w:rPr>
        <w:t>万元，</w:t>
      </w:r>
      <w:r>
        <w:rPr>
          <w:rFonts w:hint="eastAsia" w:ascii="仿宋_GB2312" w:eastAsia="仿宋_GB2312"/>
          <w:sz w:val="32"/>
          <w:szCs w:val="32"/>
        </w:rPr>
        <w:t>比2023年预算增加223.67万元，增长20.58%，原因主要是交通运输支出增加；其中，</w:t>
      </w:r>
      <w:r>
        <w:rPr>
          <w:rFonts w:ascii="仿宋_GB2312" w:eastAsia="仿宋_GB2312"/>
          <w:sz w:val="32"/>
          <w:szCs w:val="32"/>
        </w:rPr>
        <w:t>基本支出</w:t>
      </w:r>
      <w:r>
        <w:rPr>
          <w:rFonts w:hint="eastAsia" w:ascii="仿宋_GB2312" w:eastAsia="仿宋_GB2312"/>
          <w:sz w:val="32"/>
          <w:szCs w:val="32"/>
        </w:rPr>
        <w:t>1240.4</w:t>
      </w:r>
      <w:r>
        <w:rPr>
          <w:rFonts w:ascii="仿宋_GB2312" w:eastAsia="仿宋_GB2312"/>
          <w:sz w:val="32"/>
          <w:szCs w:val="32"/>
        </w:rPr>
        <w:t>万元</w:t>
      </w:r>
      <w:r>
        <w:rPr>
          <w:rFonts w:hint="eastAsia" w:ascii="仿宋_GB2312" w:eastAsia="仿宋_GB2312"/>
          <w:sz w:val="32"/>
          <w:szCs w:val="32"/>
        </w:rPr>
        <w:t>，占94.66%，</w:t>
      </w:r>
      <w:r>
        <w:rPr>
          <w:rFonts w:hint="eastAsia" w:ascii="仿宋_GB2312" w:hAnsi="仿宋" w:eastAsia="仿宋_GB2312"/>
          <w:sz w:val="32"/>
          <w:szCs w:val="32"/>
        </w:rPr>
        <w:t>主要用于保障机构日常运转、完成日常工作任务</w:t>
      </w:r>
      <w:r>
        <w:rPr>
          <w:rFonts w:hint="eastAsia" w:ascii="仿宋_GB2312" w:eastAsia="仿宋_GB2312"/>
          <w:sz w:val="32"/>
          <w:szCs w:val="32"/>
        </w:rPr>
        <w:t>等</w:t>
      </w:r>
      <w:r>
        <w:rPr>
          <w:rFonts w:ascii="仿宋_GB2312" w:eastAsia="仿宋_GB2312"/>
          <w:sz w:val="32"/>
          <w:szCs w:val="32"/>
        </w:rPr>
        <w:t>；项目支出</w:t>
      </w:r>
      <w:r>
        <w:rPr>
          <w:rFonts w:hint="eastAsia" w:ascii="仿宋_GB2312" w:eastAsia="仿宋_GB2312"/>
          <w:sz w:val="32"/>
          <w:szCs w:val="32"/>
        </w:rPr>
        <w:t>70</w:t>
      </w:r>
      <w:r>
        <w:rPr>
          <w:rFonts w:ascii="仿宋_GB2312" w:eastAsia="仿宋_GB2312"/>
          <w:sz w:val="32"/>
          <w:szCs w:val="32"/>
        </w:rPr>
        <w:t>万元，</w:t>
      </w:r>
      <w:r>
        <w:rPr>
          <w:rFonts w:hint="eastAsia" w:ascii="仿宋_GB2312" w:eastAsia="仿宋_GB2312"/>
          <w:sz w:val="32"/>
          <w:szCs w:val="32"/>
        </w:rPr>
        <w:t>占5.34%，</w:t>
      </w:r>
      <w:r>
        <w:rPr>
          <w:rFonts w:hint="eastAsia" w:ascii="仿宋_GB2312" w:hAnsi="仿宋" w:eastAsia="仿宋_GB2312"/>
          <w:sz w:val="32"/>
          <w:szCs w:val="32"/>
        </w:rPr>
        <w:t>主要用于完成特定的工作任务和事业发展目标</w:t>
      </w:r>
      <w:r>
        <w:rPr>
          <w:rFonts w:hint="eastAsia" w:ascii="仿宋_GB2312" w:eastAsia="仿宋_GB2312"/>
          <w:sz w:val="32"/>
          <w:szCs w:val="32"/>
        </w:rPr>
        <w:t>。</w:t>
      </w:r>
    </w:p>
    <w:p>
      <w:pPr>
        <w:widowControl/>
        <w:shd w:val="clear" w:color="auto" w:fill="FFFFFF"/>
        <w:spacing w:line="560" w:lineRule="exact"/>
        <w:ind w:firstLine="640"/>
        <w:jc w:val="left"/>
        <w:rPr>
          <w:rFonts w:ascii="黑体" w:eastAsia="黑体"/>
          <w:sz w:val="32"/>
          <w:szCs w:val="32"/>
        </w:rPr>
      </w:pPr>
      <w:r>
        <w:rPr>
          <w:rFonts w:ascii="黑体" w:eastAsia="黑体"/>
          <w:sz w:val="32"/>
          <w:szCs w:val="32"/>
        </w:rPr>
        <w:t>四、关于2024年财政拨款收支总表的说明</w:t>
      </w:r>
    </w:p>
    <w:p>
      <w:pPr>
        <w:pStyle w:val="7"/>
        <w:adjustRightInd w:val="0"/>
        <w:snapToGrid w:val="0"/>
        <w:spacing w:before="0" w:beforeAutospacing="0" w:after="0" w:afterAutospacing="0" w:line="560" w:lineRule="exact"/>
        <w:ind w:firstLine="664" w:firstLineChars="200"/>
        <w:rPr>
          <w:rFonts w:hint="eastAsia" w:ascii="仿宋_GB2312" w:hAnsi="仿宋" w:eastAsia="仿宋_GB2312" w:cs="Times New Roman"/>
          <w:kern w:val="2"/>
          <w:sz w:val="32"/>
          <w:szCs w:val="32"/>
        </w:rPr>
      </w:pPr>
      <w:r>
        <w:rPr>
          <w:rFonts w:hint="eastAsia" w:ascii="仿宋_GB2312" w:hAnsi="仿宋" w:eastAsia="仿宋_GB2312"/>
          <w:sz w:val="32"/>
          <w:szCs w:val="32"/>
        </w:rPr>
        <w:t>五河县交通运输综合行政执法大队</w:t>
      </w:r>
      <w:r>
        <w:rPr>
          <w:rFonts w:hint="eastAsia" w:ascii="仿宋_GB2312" w:eastAsia="仿宋_GB2312"/>
          <w:sz w:val="32"/>
          <w:szCs w:val="32"/>
        </w:rPr>
        <w:t>2024</w:t>
      </w:r>
      <w:r>
        <w:rPr>
          <w:rFonts w:ascii="仿宋_GB2312" w:eastAsia="仿宋_GB2312"/>
          <w:sz w:val="32"/>
          <w:szCs w:val="32"/>
        </w:rPr>
        <w:t>年</w:t>
      </w:r>
      <w:r>
        <w:rPr>
          <w:rFonts w:hint="eastAsia" w:ascii="仿宋_GB2312" w:eastAsia="仿宋_GB2312"/>
          <w:sz w:val="32"/>
          <w:szCs w:val="32"/>
        </w:rPr>
        <w:t>财政拨款</w:t>
      </w:r>
      <w:r>
        <w:rPr>
          <w:rFonts w:ascii="仿宋_GB2312" w:eastAsia="仿宋_GB2312"/>
          <w:sz w:val="32"/>
          <w:szCs w:val="32"/>
        </w:rPr>
        <w:t>收</w:t>
      </w:r>
      <w:r>
        <w:rPr>
          <w:rFonts w:hint="eastAsia" w:ascii="仿宋_GB2312" w:eastAsia="仿宋_GB2312"/>
          <w:sz w:val="32"/>
          <w:szCs w:val="32"/>
        </w:rPr>
        <w:t>支预算1310.4</w:t>
      </w:r>
      <w:r>
        <w:rPr>
          <w:rFonts w:ascii="仿宋_GB2312" w:eastAsia="仿宋_GB2312"/>
          <w:sz w:val="32"/>
          <w:szCs w:val="32"/>
        </w:rPr>
        <w:t>万元</w:t>
      </w:r>
      <w:r>
        <w:rPr>
          <w:rFonts w:hint="eastAsia" w:ascii="仿宋_GB2312" w:eastAsia="仿宋_GB2312"/>
          <w:sz w:val="32"/>
          <w:szCs w:val="32"/>
        </w:rPr>
        <w:t>，收入按资金来源分全部为一般公共预算拨款，一般公共预算财政拨款1310.4万元</w:t>
      </w:r>
      <w:r>
        <w:rPr>
          <w:rFonts w:hint="eastAsia" w:ascii="仿宋_GB2312" w:hAnsi="仿宋" w:eastAsia="仿宋_GB2312"/>
          <w:sz w:val="32"/>
          <w:szCs w:val="32"/>
        </w:rPr>
        <w:t>；</w:t>
      </w:r>
      <w:r>
        <w:rPr>
          <w:rFonts w:hint="eastAsia" w:ascii="仿宋_GB2312" w:eastAsia="仿宋_GB2312"/>
          <w:sz w:val="32"/>
          <w:szCs w:val="32"/>
        </w:rPr>
        <w:t>按资金年度分全部为当年财政拨款收入。支出按功</w:t>
      </w:r>
      <w:r>
        <w:rPr>
          <w:rFonts w:hint="eastAsia" w:ascii="仿宋_GB2312" w:hAnsi="仿宋" w:eastAsia="仿宋_GB2312" w:cs="Times New Roman"/>
          <w:kern w:val="2"/>
          <w:sz w:val="32"/>
          <w:szCs w:val="32"/>
        </w:rPr>
        <w:t>能分类分为：社会保障和就业支出212.9万元，占16.24%；卫生健康支出76.2万元，占5.82%；交通运输支出870.4万元，占66.42%；住房保障支出150.9万元，占11.52%。</w:t>
      </w:r>
    </w:p>
    <w:p>
      <w:pPr>
        <w:pStyle w:val="7"/>
        <w:adjustRightInd w:val="0"/>
        <w:snapToGrid w:val="0"/>
        <w:spacing w:before="0" w:beforeAutospacing="0" w:after="0" w:afterAutospacing="0" w:line="560" w:lineRule="exact"/>
        <w:ind w:firstLine="650" w:firstLineChars="196"/>
        <w:rPr>
          <w:rFonts w:ascii="TimesNewRoman" w:hAnsi="TimesNewRoman" w:eastAsia="黑体" w:cs="TimesNewRoman"/>
          <w:sz w:val="32"/>
          <w:szCs w:val="32"/>
        </w:rPr>
      </w:pPr>
      <w:r>
        <w:rPr>
          <w:rFonts w:ascii="TimesNewRoman" w:hAnsi="TimesNewRoman" w:eastAsia="黑体" w:cs="TimesNewRoman"/>
          <w:sz w:val="32"/>
          <w:szCs w:val="32"/>
        </w:rPr>
        <w:t>五、关于2024年一般公共预算支出表的说明</w:t>
      </w:r>
    </w:p>
    <w:p>
      <w:pPr>
        <w:pStyle w:val="7"/>
        <w:widowControl w:val="0"/>
        <w:adjustRightInd w:val="0"/>
        <w:snapToGrid w:val="0"/>
        <w:spacing w:before="0" w:beforeAutospacing="0" w:after="0" w:afterAutospacing="0" w:line="560" w:lineRule="exact"/>
        <w:ind w:firstLine="650" w:firstLineChars="196"/>
        <w:jc w:val="both"/>
        <w:rPr>
          <w:rFonts w:hint="eastAsia" w:ascii="楷体" w:hAnsi="楷体" w:eastAsia="楷体" w:cs="Times New Roman"/>
          <w:b/>
          <w:kern w:val="2"/>
          <w:sz w:val="32"/>
          <w:szCs w:val="32"/>
        </w:rPr>
      </w:pPr>
      <w:r>
        <w:rPr>
          <w:rFonts w:hint="eastAsia" w:ascii="楷体" w:hAnsi="楷体" w:eastAsia="楷体" w:cs="Times New Roman"/>
          <w:b/>
          <w:kern w:val="2"/>
          <w:sz w:val="32"/>
          <w:szCs w:val="32"/>
        </w:rPr>
        <w:t>（一）</w:t>
      </w:r>
      <w:r>
        <w:rPr>
          <w:rFonts w:ascii="TimesNewRoman" w:hAnsi="TimesNewRoman" w:eastAsia="楷体_GB2312" w:cs="TimesNewRoman"/>
          <w:b/>
          <w:kern w:val="2"/>
          <w:sz w:val="32"/>
          <w:szCs w:val="32"/>
        </w:rPr>
        <w:t>一般公共预算支出规模变化情况。</w:t>
      </w:r>
    </w:p>
    <w:p>
      <w:pPr>
        <w:pStyle w:val="7"/>
        <w:adjustRightInd w:val="0"/>
        <w:snapToGrid w:val="0"/>
        <w:spacing w:before="0" w:beforeAutospacing="0" w:after="0" w:afterAutospacing="0" w:line="560" w:lineRule="exact"/>
        <w:ind w:firstLine="650" w:firstLineChars="196"/>
        <w:rPr>
          <w:rFonts w:hint="eastAsia" w:ascii="仿宋_GB2312" w:hAnsi="仿宋" w:eastAsia="仿宋_GB2312" w:cs="Times New Roman"/>
          <w:kern w:val="2"/>
          <w:sz w:val="32"/>
          <w:szCs w:val="32"/>
        </w:rPr>
      </w:pPr>
      <w:r>
        <w:rPr>
          <w:rFonts w:hint="eastAsia" w:ascii="仿宋_GB2312" w:hAnsi="仿宋" w:eastAsia="仿宋_GB2312"/>
          <w:sz w:val="32"/>
          <w:szCs w:val="32"/>
        </w:rPr>
        <w:t>五河县交通运输综合行政执法大队</w:t>
      </w:r>
      <w:r>
        <w:rPr>
          <w:rFonts w:hint="eastAsia" w:ascii="仿宋_GB2312" w:hAnsi="仿宋" w:eastAsia="仿宋_GB2312" w:cs="Times New Roman"/>
          <w:kern w:val="2"/>
          <w:sz w:val="32"/>
          <w:szCs w:val="32"/>
        </w:rPr>
        <w:t>2024年一般公共预算支出1310.4万元，比2023年预算拨款增加223.67万元，增长20.58%，主要原因：一是交通运输支出增加；二是社会保障和就业支出增加。</w:t>
      </w:r>
    </w:p>
    <w:p>
      <w:pPr>
        <w:adjustRightInd w:val="0"/>
        <w:snapToGrid w:val="0"/>
        <w:spacing w:line="560" w:lineRule="exact"/>
        <w:ind w:firstLine="65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pPr>
        <w:pStyle w:val="7"/>
        <w:adjustRightInd w:val="0"/>
        <w:snapToGrid w:val="0"/>
        <w:spacing w:before="0" w:beforeAutospacing="0" w:after="0" w:afterAutospacing="0" w:line="560" w:lineRule="exact"/>
        <w:ind w:firstLine="664"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社会保障和就业支出212.9万元，占16.24%；卫生健康支出76.2万元，占5.82%；交通运输支出870.4万元，占66.42%；住房保障支出150.9万元，占11.52%。</w:t>
      </w:r>
    </w:p>
    <w:p>
      <w:pPr>
        <w:adjustRightInd w:val="0"/>
        <w:snapToGrid w:val="0"/>
        <w:spacing w:line="560" w:lineRule="exact"/>
        <w:ind w:firstLine="664" w:firstLineChars="200"/>
        <w:rPr>
          <w:rFonts w:ascii="TimesNewRoman" w:hAnsi="TimesNewRoman" w:eastAsia="楷体_GB2312" w:cs="TimesNewRoman"/>
          <w:b/>
          <w:sz w:val="32"/>
          <w:szCs w:val="32"/>
        </w:rPr>
      </w:pPr>
      <w:r>
        <w:rPr>
          <w:rFonts w:ascii="TimesNewRoman" w:hAnsi="TimesNewRoman" w:eastAsia="楷体_GB2312" w:cs="TimesNewRoman"/>
          <w:b/>
          <w:sz w:val="32"/>
          <w:szCs w:val="32"/>
        </w:rPr>
        <w:t>（三）一般公共预算支出具体使用情况。</w:t>
      </w:r>
    </w:p>
    <w:p>
      <w:pPr>
        <w:pStyle w:val="3"/>
        <w:spacing w:line="560" w:lineRule="exact"/>
        <w:ind w:firstLine="664" w:firstLineChars="200"/>
        <w:jc w:val="both"/>
        <w:rPr>
          <w:rFonts w:hint="eastAsia" w:ascii="仿宋_GB2312" w:eastAsia="仿宋_GB2312"/>
          <w:lang w:eastAsia="zh-CN"/>
        </w:rPr>
      </w:pPr>
      <w:r>
        <w:rPr>
          <w:rFonts w:hint="eastAsia" w:ascii="仿宋_GB2312" w:eastAsia="仿宋_GB2312"/>
          <w:b/>
          <w:lang w:eastAsia="zh-CN"/>
        </w:rPr>
        <w:t>1</w:t>
      </w:r>
      <w:r>
        <w:rPr>
          <w:rFonts w:hint="eastAsia" w:ascii="仿宋_GB2312" w:eastAsia="仿宋_GB2312"/>
          <w:b/>
        </w:rPr>
        <w:t>、</w:t>
      </w:r>
      <w:r>
        <w:rPr>
          <w:rFonts w:hint="eastAsia" w:ascii="仿宋_GB2312" w:hAnsi="微软雅黑" w:eastAsia="仿宋_GB2312"/>
          <w:b/>
          <w:spacing w:val="7"/>
          <w:w w:val="99"/>
        </w:rPr>
        <w:t>社会保障和就业支出（类）行政事业单位</w:t>
      </w:r>
      <w:r>
        <w:rPr>
          <w:rFonts w:hint="eastAsia" w:ascii="仿宋_GB2312" w:hAnsi="微软雅黑" w:eastAsia="仿宋_GB2312"/>
          <w:b/>
          <w:spacing w:val="7"/>
          <w:w w:val="99"/>
          <w:lang w:eastAsia="zh-CN"/>
        </w:rPr>
        <w:t>养老</w:t>
      </w:r>
      <w:r>
        <w:rPr>
          <w:rFonts w:hint="eastAsia" w:ascii="仿宋_GB2312" w:hAnsi="微软雅黑" w:eastAsia="仿宋_GB2312"/>
          <w:b/>
          <w:spacing w:val="7"/>
          <w:w w:val="99"/>
        </w:rPr>
        <w:t>支出（款</w:t>
      </w:r>
      <w:r>
        <w:rPr>
          <w:rFonts w:hint="eastAsia" w:ascii="仿宋_GB2312" w:hAnsi="微软雅黑" w:eastAsia="仿宋_GB2312"/>
          <w:b/>
          <w:w w:val="99"/>
        </w:rPr>
        <w:t>）</w:t>
      </w:r>
      <w:r>
        <w:rPr>
          <w:rFonts w:hint="eastAsia" w:ascii="仿宋_GB2312" w:eastAsia="仿宋_GB2312"/>
          <w:b/>
          <w:spacing w:val="-3"/>
        </w:rPr>
        <w:t>归口管理的事业单位离退休</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lang w:eastAsia="zh-CN"/>
        </w:rPr>
        <w:t>2024</w:t>
      </w:r>
      <w:r>
        <w:rPr>
          <w:rFonts w:hint="eastAsia" w:ascii="仿宋_GB2312" w:eastAsia="仿宋_GB2312"/>
          <w:spacing w:val="-21"/>
        </w:rPr>
        <w:t xml:space="preserve"> 年预算</w:t>
      </w:r>
      <w:r>
        <w:rPr>
          <w:rFonts w:hint="eastAsia" w:ascii="仿宋_GB2312" w:eastAsia="仿宋_GB2312"/>
          <w:lang w:eastAsia="zh-CN"/>
        </w:rPr>
        <w:t>13.2</w:t>
      </w:r>
      <w:r>
        <w:rPr>
          <w:rFonts w:hint="eastAsia" w:ascii="仿宋_GB2312" w:eastAsia="仿宋_GB2312"/>
          <w:spacing w:val="-9"/>
        </w:rPr>
        <w:t>万元，比</w:t>
      </w:r>
      <w:r>
        <w:rPr>
          <w:rFonts w:hint="eastAsia" w:ascii="仿宋_GB2312" w:eastAsia="仿宋_GB2312"/>
          <w:lang w:eastAsia="zh-CN"/>
        </w:rPr>
        <w:t>2023</w:t>
      </w:r>
      <w:r>
        <w:rPr>
          <w:rFonts w:hint="eastAsia" w:ascii="仿宋_GB2312" w:eastAsia="仿宋_GB2312"/>
          <w:spacing w:val="-27"/>
        </w:rPr>
        <w:t>年预算增加</w:t>
      </w:r>
      <w:r>
        <w:rPr>
          <w:rFonts w:hint="eastAsia" w:ascii="仿宋_GB2312" w:eastAsia="仿宋_GB2312"/>
          <w:spacing w:val="-27"/>
          <w:lang w:eastAsia="zh-CN"/>
        </w:rPr>
        <w:t xml:space="preserve"> 8.68</w:t>
      </w:r>
      <w:r>
        <w:rPr>
          <w:rFonts w:hint="eastAsia" w:ascii="仿宋_GB2312" w:eastAsia="仿宋_GB2312"/>
          <w:spacing w:val="-24"/>
        </w:rPr>
        <w:t>万元，增长</w:t>
      </w:r>
      <w:r>
        <w:rPr>
          <w:rFonts w:hint="eastAsia" w:ascii="仿宋_GB2312" w:eastAsia="仿宋_GB2312"/>
          <w:spacing w:val="-24"/>
          <w:lang w:eastAsia="zh-CN"/>
        </w:rPr>
        <w:t>192.04</w:t>
      </w:r>
      <w:r>
        <w:rPr>
          <w:rFonts w:hint="eastAsia" w:ascii="仿宋_GB2312" w:eastAsia="仿宋_GB2312"/>
          <w:spacing w:val="-23"/>
        </w:rPr>
        <w:t>%，增长</w:t>
      </w:r>
      <w:r>
        <w:rPr>
          <w:rFonts w:hint="eastAsia" w:ascii="仿宋_GB2312" w:eastAsia="仿宋_GB2312"/>
        </w:rPr>
        <w:t>原因主要是</w:t>
      </w:r>
      <w:r>
        <w:rPr>
          <w:rFonts w:hint="eastAsia" w:ascii="仿宋_GB2312" w:eastAsia="仿宋_GB2312"/>
          <w:lang w:eastAsia="zh-CN"/>
        </w:rPr>
        <w:t>退休</w:t>
      </w:r>
      <w:r>
        <w:rPr>
          <w:rFonts w:hint="eastAsia" w:ascii="仿宋_GB2312" w:eastAsia="仿宋_GB2312"/>
        </w:rPr>
        <w:t>人员增加了退休补贴。</w:t>
      </w:r>
    </w:p>
    <w:p>
      <w:pPr>
        <w:pStyle w:val="3"/>
        <w:spacing w:line="560" w:lineRule="exact"/>
        <w:ind w:firstLine="664" w:firstLineChars="200"/>
        <w:jc w:val="both"/>
        <w:rPr>
          <w:rFonts w:hint="eastAsia" w:ascii="仿宋_GB2312" w:eastAsia="仿宋_GB2312"/>
          <w:lang w:eastAsia="zh-CN"/>
        </w:rPr>
      </w:pPr>
      <w:r>
        <w:rPr>
          <w:rFonts w:hint="eastAsia" w:ascii="仿宋_GB2312" w:eastAsia="仿宋_GB2312"/>
          <w:b/>
          <w:lang w:eastAsia="zh-CN"/>
        </w:rPr>
        <w:t>2</w:t>
      </w:r>
      <w:r>
        <w:rPr>
          <w:rFonts w:hint="eastAsia" w:ascii="仿宋_GB2312" w:eastAsia="仿宋_GB2312"/>
          <w:b/>
        </w:rPr>
        <w:t>、</w:t>
      </w:r>
      <w:r>
        <w:rPr>
          <w:rFonts w:hint="eastAsia" w:ascii="仿宋_GB2312" w:hAnsi="微软雅黑" w:eastAsia="仿宋_GB2312"/>
          <w:b/>
          <w:spacing w:val="7"/>
          <w:w w:val="99"/>
        </w:rPr>
        <w:t>社会保障和就业支出（类）行政事业单位</w:t>
      </w:r>
      <w:r>
        <w:rPr>
          <w:rFonts w:hint="eastAsia" w:ascii="仿宋_GB2312" w:hAnsi="微软雅黑" w:eastAsia="仿宋_GB2312"/>
          <w:b/>
          <w:spacing w:val="7"/>
          <w:w w:val="99"/>
          <w:lang w:eastAsia="zh-CN"/>
        </w:rPr>
        <w:t>养老</w:t>
      </w:r>
      <w:r>
        <w:rPr>
          <w:rFonts w:hint="eastAsia" w:ascii="仿宋_GB2312" w:hAnsi="微软雅黑" w:eastAsia="仿宋_GB2312"/>
          <w:b/>
          <w:spacing w:val="7"/>
          <w:w w:val="99"/>
        </w:rPr>
        <w:t>支出（款</w:t>
      </w:r>
      <w:r>
        <w:rPr>
          <w:rFonts w:hint="eastAsia" w:ascii="仿宋_GB2312" w:hAnsi="微软雅黑" w:eastAsia="仿宋_GB2312"/>
          <w:b/>
          <w:w w:val="99"/>
        </w:rPr>
        <w:t>）</w:t>
      </w:r>
      <w:r>
        <w:rPr>
          <w:rFonts w:hint="eastAsia" w:ascii="仿宋_GB2312" w:eastAsia="仿宋_GB2312"/>
          <w:b/>
          <w:spacing w:val="-3"/>
        </w:rPr>
        <w:t>归口管理的行政事业单位</w:t>
      </w:r>
      <w:r>
        <w:rPr>
          <w:rFonts w:hint="eastAsia" w:ascii="仿宋_GB2312" w:eastAsia="仿宋_GB2312"/>
          <w:b/>
          <w:spacing w:val="-3"/>
          <w:lang w:eastAsia="zh-CN"/>
        </w:rPr>
        <w:t>基本</w:t>
      </w:r>
      <w:r>
        <w:rPr>
          <w:rFonts w:hint="eastAsia" w:ascii="仿宋_GB2312" w:eastAsia="仿宋_GB2312"/>
          <w:b/>
          <w:spacing w:val="-3"/>
        </w:rPr>
        <w:t>养老保险费</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lang w:eastAsia="zh-CN"/>
        </w:rPr>
        <w:t>2024</w:t>
      </w:r>
      <w:r>
        <w:rPr>
          <w:rFonts w:hint="eastAsia" w:ascii="仿宋_GB2312" w:eastAsia="仿宋_GB2312"/>
          <w:spacing w:val="-21"/>
        </w:rPr>
        <w:t xml:space="preserve"> 年预算</w:t>
      </w:r>
      <w:r>
        <w:rPr>
          <w:rFonts w:hint="eastAsia" w:ascii="仿宋_GB2312" w:eastAsia="仿宋_GB2312"/>
          <w:lang w:eastAsia="zh-CN"/>
        </w:rPr>
        <w:t>116.5</w:t>
      </w:r>
      <w:r>
        <w:rPr>
          <w:rFonts w:hint="eastAsia" w:ascii="仿宋_GB2312" w:eastAsia="仿宋_GB2312"/>
          <w:spacing w:val="-9"/>
        </w:rPr>
        <w:t>万元，比</w:t>
      </w:r>
      <w:r>
        <w:rPr>
          <w:rFonts w:hint="eastAsia" w:ascii="仿宋_GB2312" w:eastAsia="仿宋_GB2312"/>
          <w:lang w:eastAsia="zh-CN"/>
        </w:rPr>
        <w:t>2023</w:t>
      </w:r>
      <w:r>
        <w:rPr>
          <w:rFonts w:hint="eastAsia" w:ascii="仿宋_GB2312" w:eastAsia="仿宋_GB2312"/>
          <w:spacing w:val="-27"/>
        </w:rPr>
        <w:t>年预算增加</w:t>
      </w:r>
      <w:r>
        <w:rPr>
          <w:rFonts w:hint="eastAsia" w:ascii="仿宋_GB2312" w:eastAsia="仿宋_GB2312"/>
          <w:spacing w:val="-27"/>
          <w:lang w:eastAsia="zh-CN"/>
        </w:rPr>
        <w:t xml:space="preserve"> 43.61</w:t>
      </w:r>
      <w:r>
        <w:rPr>
          <w:rFonts w:hint="eastAsia" w:ascii="仿宋_GB2312" w:eastAsia="仿宋_GB2312"/>
          <w:spacing w:val="-24"/>
        </w:rPr>
        <w:t>万元，增长</w:t>
      </w:r>
      <w:r>
        <w:rPr>
          <w:rFonts w:hint="eastAsia" w:ascii="仿宋_GB2312" w:eastAsia="仿宋_GB2312"/>
          <w:spacing w:val="-24"/>
          <w:lang w:eastAsia="zh-CN"/>
        </w:rPr>
        <w:t>59.83</w:t>
      </w:r>
      <w:r>
        <w:rPr>
          <w:rFonts w:hint="eastAsia" w:ascii="仿宋_GB2312" w:eastAsia="仿宋_GB2312"/>
          <w:spacing w:val="-23"/>
        </w:rPr>
        <w:t>%，增长</w:t>
      </w:r>
      <w:r>
        <w:rPr>
          <w:rFonts w:hint="eastAsia" w:ascii="仿宋_GB2312" w:eastAsia="仿宋_GB2312"/>
        </w:rPr>
        <w:t>原因主要是机关事业单位基本养老保险缴费基数增加。</w:t>
      </w:r>
    </w:p>
    <w:p>
      <w:pPr>
        <w:pStyle w:val="3"/>
        <w:spacing w:line="560" w:lineRule="exact"/>
        <w:ind w:firstLine="664" w:firstLineChars="200"/>
        <w:jc w:val="both"/>
        <w:rPr>
          <w:rFonts w:hint="eastAsia" w:ascii="仿宋_GB2312" w:eastAsia="仿宋_GB2312"/>
          <w:lang w:eastAsia="zh-CN"/>
        </w:rPr>
      </w:pPr>
      <w:r>
        <w:rPr>
          <w:rFonts w:hint="eastAsia" w:ascii="仿宋_GB2312" w:eastAsia="仿宋_GB2312"/>
          <w:b/>
          <w:lang w:eastAsia="zh-CN"/>
        </w:rPr>
        <w:t>3</w:t>
      </w:r>
      <w:r>
        <w:rPr>
          <w:rFonts w:hint="eastAsia" w:ascii="仿宋_GB2312" w:eastAsia="仿宋_GB2312"/>
          <w:b/>
        </w:rPr>
        <w:t>、</w:t>
      </w:r>
      <w:r>
        <w:rPr>
          <w:rFonts w:hint="eastAsia" w:ascii="仿宋_GB2312" w:hAnsi="微软雅黑" w:eastAsia="仿宋_GB2312"/>
          <w:b/>
          <w:spacing w:val="7"/>
          <w:w w:val="99"/>
        </w:rPr>
        <w:t>社会保障和就业支出（类）行政事业单位</w:t>
      </w:r>
      <w:r>
        <w:rPr>
          <w:rFonts w:hint="eastAsia" w:ascii="仿宋_GB2312" w:hAnsi="微软雅黑" w:eastAsia="仿宋_GB2312"/>
          <w:b/>
          <w:spacing w:val="7"/>
          <w:w w:val="99"/>
          <w:lang w:eastAsia="zh-CN"/>
        </w:rPr>
        <w:t>养老</w:t>
      </w:r>
      <w:r>
        <w:rPr>
          <w:rFonts w:hint="eastAsia" w:ascii="仿宋_GB2312" w:hAnsi="微软雅黑" w:eastAsia="仿宋_GB2312"/>
          <w:b/>
          <w:spacing w:val="7"/>
          <w:w w:val="99"/>
        </w:rPr>
        <w:t>支出（款</w:t>
      </w:r>
      <w:r>
        <w:rPr>
          <w:rFonts w:hint="eastAsia" w:ascii="仿宋_GB2312" w:hAnsi="微软雅黑" w:eastAsia="仿宋_GB2312"/>
          <w:b/>
          <w:w w:val="99"/>
        </w:rPr>
        <w:t>）</w:t>
      </w:r>
      <w:r>
        <w:rPr>
          <w:rFonts w:hint="eastAsia" w:ascii="仿宋_GB2312" w:eastAsia="仿宋_GB2312"/>
          <w:b/>
          <w:spacing w:val="-3"/>
        </w:rPr>
        <w:t>归口管理的</w:t>
      </w:r>
      <w:r>
        <w:rPr>
          <w:rFonts w:hint="eastAsia" w:ascii="仿宋_GB2312" w:eastAsia="仿宋_GB2312"/>
          <w:b/>
          <w:spacing w:val="-3"/>
          <w:lang w:eastAsia="zh-CN"/>
        </w:rPr>
        <w:t>机关</w:t>
      </w:r>
      <w:r>
        <w:rPr>
          <w:rFonts w:hint="eastAsia" w:ascii="仿宋_GB2312" w:eastAsia="仿宋_GB2312"/>
          <w:b/>
          <w:spacing w:val="-3"/>
        </w:rPr>
        <w:t>事业单位职业年金缴费支出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lang w:eastAsia="zh-CN"/>
        </w:rPr>
        <w:t>2024</w:t>
      </w:r>
      <w:r>
        <w:rPr>
          <w:rFonts w:hint="eastAsia" w:ascii="仿宋_GB2312" w:eastAsia="仿宋_GB2312"/>
          <w:spacing w:val="-21"/>
        </w:rPr>
        <w:t xml:space="preserve"> 年预算</w:t>
      </w:r>
      <w:r>
        <w:rPr>
          <w:rFonts w:hint="eastAsia" w:ascii="仿宋_GB2312" w:eastAsia="仿宋_GB2312"/>
          <w:lang w:eastAsia="zh-CN"/>
        </w:rPr>
        <w:t>83.2</w:t>
      </w:r>
      <w:r>
        <w:rPr>
          <w:rFonts w:hint="eastAsia" w:ascii="仿宋_GB2312" w:eastAsia="仿宋_GB2312"/>
          <w:spacing w:val="-9"/>
        </w:rPr>
        <w:t>万元，比</w:t>
      </w:r>
      <w:r>
        <w:rPr>
          <w:rFonts w:hint="eastAsia" w:ascii="仿宋_GB2312" w:eastAsia="仿宋_GB2312"/>
          <w:lang w:eastAsia="zh-CN"/>
        </w:rPr>
        <w:t>2023</w:t>
      </w:r>
      <w:r>
        <w:rPr>
          <w:rFonts w:hint="eastAsia" w:ascii="仿宋_GB2312" w:eastAsia="仿宋_GB2312"/>
          <w:spacing w:val="-27"/>
        </w:rPr>
        <w:t>年预算增加</w:t>
      </w:r>
      <w:r>
        <w:rPr>
          <w:rFonts w:hint="eastAsia" w:ascii="仿宋_GB2312" w:eastAsia="仿宋_GB2312"/>
          <w:spacing w:val="-27"/>
          <w:lang w:eastAsia="zh-CN"/>
        </w:rPr>
        <w:t xml:space="preserve"> 33.95</w:t>
      </w:r>
      <w:r>
        <w:rPr>
          <w:rFonts w:hint="eastAsia" w:ascii="仿宋_GB2312" w:eastAsia="仿宋_GB2312"/>
          <w:spacing w:val="-24"/>
        </w:rPr>
        <w:t>万元，增长</w:t>
      </w:r>
      <w:r>
        <w:rPr>
          <w:rFonts w:hint="eastAsia" w:ascii="仿宋_GB2312" w:eastAsia="仿宋_GB2312"/>
          <w:spacing w:val="-24"/>
          <w:lang w:eastAsia="zh-CN"/>
        </w:rPr>
        <w:t>68.93</w:t>
      </w:r>
      <w:r>
        <w:rPr>
          <w:rFonts w:hint="eastAsia" w:ascii="仿宋_GB2312" w:eastAsia="仿宋_GB2312"/>
          <w:spacing w:val="-23"/>
        </w:rPr>
        <w:t>%，增长</w:t>
      </w:r>
      <w:r>
        <w:rPr>
          <w:rFonts w:hint="eastAsia" w:ascii="仿宋_GB2312" w:eastAsia="仿宋_GB2312"/>
        </w:rPr>
        <w:t>原因主要是机关事业单位</w:t>
      </w:r>
      <w:r>
        <w:rPr>
          <w:rFonts w:hint="eastAsia" w:ascii="仿宋_GB2312" w:eastAsia="仿宋_GB2312"/>
          <w:lang w:eastAsia="zh-CN"/>
        </w:rPr>
        <w:t>职业</w:t>
      </w:r>
      <w:r>
        <w:rPr>
          <w:rFonts w:hint="eastAsia" w:ascii="仿宋_GB2312" w:eastAsia="仿宋_GB2312"/>
        </w:rPr>
        <w:t>年金缴费基数增加。</w:t>
      </w:r>
    </w:p>
    <w:p>
      <w:pPr>
        <w:pStyle w:val="3"/>
        <w:spacing w:line="560" w:lineRule="exact"/>
        <w:ind w:firstLine="664" w:firstLineChars="200"/>
        <w:jc w:val="both"/>
        <w:rPr>
          <w:rFonts w:hint="eastAsia" w:ascii="仿宋_GB2312" w:eastAsia="仿宋_GB2312"/>
          <w:spacing w:val="-23"/>
        </w:rPr>
      </w:pPr>
      <w:r>
        <w:rPr>
          <w:rFonts w:hint="eastAsia" w:ascii="仿宋_GB2312" w:eastAsia="仿宋_GB2312"/>
          <w:b/>
          <w:lang w:eastAsia="zh-CN"/>
        </w:rPr>
        <w:t>4</w:t>
      </w:r>
      <w:r>
        <w:rPr>
          <w:rFonts w:hint="eastAsia" w:ascii="仿宋_GB2312" w:eastAsia="仿宋_GB2312"/>
          <w:b/>
        </w:rPr>
        <w:t>、卫生健康</w:t>
      </w:r>
      <w:r>
        <w:rPr>
          <w:rFonts w:hint="eastAsia" w:ascii="仿宋_GB2312" w:hAnsi="微软雅黑" w:eastAsia="仿宋_GB2312"/>
          <w:b/>
          <w:spacing w:val="7"/>
          <w:w w:val="99"/>
        </w:rPr>
        <w:t>支出（类）行政事业单位</w:t>
      </w:r>
      <w:r>
        <w:rPr>
          <w:rFonts w:hint="eastAsia" w:ascii="仿宋_GB2312" w:hAnsi="微软雅黑" w:eastAsia="仿宋_GB2312"/>
          <w:b/>
          <w:spacing w:val="7"/>
          <w:w w:val="99"/>
          <w:lang w:eastAsia="zh-CN"/>
        </w:rPr>
        <w:t>医疗</w:t>
      </w:r>
      <w:r>
        <w:rPr>
          <w:rFonts w:hint="eastAsia" w:ascii="仿宋_GB2312" w:hAnsi="微软雅黑" w:eastAsia="仿宋_GB2312"/>
          <w:b/>
          <w:spacing w:val="7"/>
          <w:w w:val="99"/>
        </w:rPr>
        <w:t>（款</w:t>
      </w:r>
      <w:r>
        <w:rPr>
          <w:rFonts w:hint="eastAsia" w:ascii="仿宋_GB2312" w:hAnsi="微软雅黑" w:eastAsia="仿宋_GB2312"/>
          <w:b/>
          <w:w w:val="99"/>
        </w:rPr>
        <w:t>）</w:t>
      </w:r>
      <w:r>
        <w:rPr>
          <w:rFonts w:hint="eastAsia" w:ascii="仿宋_GB2312" w:eastAsia="仿宋_GB2312"/>
          <w:b/>
          <w:spacing w:val="-3"/>
        </w:rPr>
        <w:t>事业单位</w:t>
      </w:r>
      <w:r>
        <w:rPr>
          <w:rFonts w:hint="eastAsia" w:ascii="仿宋_GB2312" w:eastAsia="仿宋_GB2312"/>
          <w:b/>
          <w:spacing w:val="-3"/>
          <w:lang w:eastAsia="zh-CN"/>
        </w:rPr>
        <w:t>医疗</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lang w:eastAsia="zh-CN"/>
        </w:rPr>
        <w:t>2024</w:t>
      </w:r>
      <w:r>
        <w:rPr>
          <w:rFonts w:hint="eastAsia" w:ascii="仿宋_GB2312" w:eastAsia="仿宋_GB2312"/>
          <w:spacing w:val="-21"/>
        </w:rPr>
        <w:t xml:space="preserve"> 年预算</w:t>
      </w:r>
      <w:r>
        <w:rPr>
          <w:rFonts w:hint="eastAsia" w:ascii="仿宋_GB2312" w:eastAsia="仿宋_GB2312"/>
          <w:lang w:eastAsia="zh-CN"/>
        </w:rPr>
        <w:t>76.2</w:t>
      </w:r>
      <w:r>
        <w:rPr>
          <w:rFonts w:hint="eastAsia" w:ascii="仿宋_GB2312" w:eastAsia="仿宋_GB2312"/>
          <w:spacing w:val="-9"/>
        </w:rPr>
        <w:t>万元，比</w:t>
      </w:r>
      <w:r>
        <w:rPr>
          <w:rFonts w:hint="eastAsia" w:ascii="仿宋_GB2312" w:eastAsia="仿宋_GB2312"/>
          <w:lang w:eastAsia="zh-CN"/>
        </w:rPr>
        <w:t>2023</w:t>
      </w:r>
      <w:r>
        <w:rPr>
          <w:rFonts w:hint="eastAsia" w:ascii="仿宋_GB2312" w:eastAsia="仿宋_GB2312"/>
          <w:spacing w:val="-27"/>
        </w:rPr>
        <w:t>年预算增加</w:t>
      </w:r>
      <w:r>
        <w:rPr>
          <w:rFonts w:hint="eastAsia" w:ascii="仿宋_GB2312" w:eastAsia="仿宋_GB2312"/>
          <w:spacing w:val="-27"/>
          <w:lang w:eastAsia="zh-CN"/>
        </w:rPr>
        <w:t xml:space="preserve"> 37.63</w:t>
      </w:r>
      <w:r>
        <w:rPr>
          <w:rFonts w:hint="eastAsia" w:ascii="仿宋_GB2312" w:eastAsia="仿宋_GB2312"/>
          <w:spacing w:val="-24"/>
        </w:rPr>
        <w:t>万元，增长</w:t>
      </w:r>
      <w:r>
        <w:rPr>
          <w:rFonts w:hint="eastAsia" w:ascii="仿宋_GB2312" w:eastAsia="仿宋_GB2312"/>
          <w:spacing w:val="-24"/>
          <w:lang w:eastAsia="zh-CN"/>
        </w:rPr>
        <w:t>97.56</w:t>
      </w:r>
      <w:r>
        <w:rPr>
          <w:rFonts w:hint="eastAsia" w:ascii="仿宋_GB2312" w:eastAsia="仿宋_GB2312"/>
          <w:spacing w:val="-23"/>
        </w:rPr>
        <w:t>%，增长</w:t>
      </w:r>
      <w:r>
        <w:rPr>
          <w:rFonts w:hint="eastAsia" w:ascii="仿宋_GB2312" w:eastAsia="仿宋_GB2312"/>
        </w:rPr>
        <w:t>原因主要是</w:t>
      </w:r>
      <w:r>
        <w:rPr>
          <w:rFonts w:hint="eastAsia" w:ascii="仿宋_GB2312" w:eastAsia="仿宋_GB2312"/>
          <w:spacing w:val="-23"/>
        </w:rPr>
        <w:t>职工社保缴费基数增加。</w:t>
      </w:r>
    </w:p>
    <w:p>
      <w:pPr>
        <w:pStyle w:val="3"/>
        <w:spacing w:line="560" w:lineRule="exact"/>
        <w:ind w:firstLine="664" w:firstLineChars="200"/>
        <w:jc w:val="both"/>
        <w:rPr>
          <w:rFonts w:hint="eastAsia" w:ascii="仿宋_GB2312" w:eastAsia="仿宋_GB2312"/>
          <w:spacing w:val="-23"/>
        </w:rPr>
      </w:pPr>
      <w:r>
        <w:rPr>
          <w:rFonts w:hint="eastAsia" w:ascii="仿宋_GB2312" w:eastAsia="仿宋_GB2312"/>
          <w:b/>
          <w:lang w:eastAsia="zh-CN"/>
        </w:rPr>
        <w:t>5</w:t>
      </w:r>
      <w:r>
        <w:rPr>
          <w:rFonts w:hint="eastAsia" w:ascii="仿宋_GB2312" w:eastAsia="仿宋_GB2312"/>
          <w:b/>
        </w:rPr>
        <w:t>、</w:t>
      </w:r>
      <w:r>
        <w:rPr>
          <w:rFonts w:hint="eastAsia" w:ascii="仿宋_GB2312" w:eastAsia="仿宋_GB2312"/>
          <w:b/>
          <w:lang w:eastAsia="zh-CN"/>
        </w:rPr>
        <w:t>交通运输</w:t>
      </w:r>
      <w:r>
        <w:rPr>
          <w:rFonts w:hint="eastAsia" w:ascii="仿宋_GB2312" w:hAnsi="微软雅黑" w:eastAsia="仿宋_GB2312"/>
          <w:b/>
          <w:spacing w:val="7"/>
          <w:w w:val="99"/>
        </w:rPr>
        <w:t>支出（类）</w:t>
      </w:r>
      <w:r>
        <w:rPr>
          <w:rFonts w:hint="eastAsia" w:ascii="仿宋_GB2312" w:hAnsi="微软雅黑" w:eastAsia="仿宋_GB2312"/>
          <w:b/>
          <w:spacing w:val="7"/>
          <w:w w:val="99"/>
          <w:lang w:eastAsia="zh-CN"/>
        </w:rPr>
        <w:t>公路</w:t>
      </w:r>
      <w:r>
        <w:rPr>
          <w:rFonts w:hint="eastAsia" w:ascii="仿宋_GB2312" w:hAnsi="微软雅黑" w:eastAsia="仿宋_GB2312"/>
          <w:b/>
          <w:spacing w:val="7"/>
          <w:w w:val="99"/>
        </w:rPr>
        <w:t>水路运输（款</w:t>
      </w:r>
      <w:r>
        <w:rPr>
          <w:rFonts w:hint="eastAsia" w:ascii="仿宋_GB2312" w:hAnsi="微软雅黑" w:eastAsia="仿宋_GB2312"/>
          <w:b/>
          <w:w w:val="99"/>
        </w:rPr>
        <w:t>）</w:t>
      </w:r>
      <w:r>
        <w:rPr>
          <w:rFonts w:hint="eastAsia" w:ascii="仿宋_GB2312" w:eastAsia="仿宋_GB2312"/>
          <w:b/>
          <w:spacing w:val="-3"/>
          <w:lang w:eastAsia="zh-CN"/>
        </w:rPr>
        <w:t>公路运输管理</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lang w:eastAsia="zh-CN"/>
        </w:rPr>
        <w:t>2024</w:t>
      </w:r>
      <w:r>
        <w:rPr>
          <w:rFonts w:hint="eastAsia" w:ascii="仿宋_GB2312" w:eastAsia="仿宋_GB2312"/>
          <w:spacing w:val="-21"/>
        </w:rPr>
        <w:t xml:space="preserve"> 年预算</w:t>
      </w:r>
      <w:r>
        <w:rPr>
          <w:rFonts w:hint="eastAsia" w:ascii="仿宋_GB2312" w:eastAsia="仿宋_GB2312"/>
          <w:lang w:eastAsia="zh-CN"/>
        </w:rPr>
        <w:t>870.4</w:t>
      </w:r>
      <w:r>
        <w:rPr>
          <w:rFonts w:hint="eastAsia" w:ascii="仿宋_GB2312" w:eastAsia="仿宋_GB2312"/>
          <w:spacing w:val="-9"/>
        </w:rPr>
        <w:t>万元，比</w:t>
      </w:r>
      <w:r>
        <w:rPr>
          <w:rFonts w:hint="eastAsia" w:ascii="仿宋_GB2312" w:eastAsia="仿宋_GB2312"/>
          <w:lang w:eastAsia="zh-CN"/>
        </w:rPr>
        <w:t>2023</w:t>
      </w:r>
      <w:r>
        <w:rPr>
          <w:rFonts w:hint="eastAsia" w:ascii="仿宋_GB2312" w:eastAsia="仿宋_GB2312"/>
          <w:spacing w:val="-27"/>
        </w:rPr>
        <w:t>年预算增加</w:t>
      </w:r>
      <w:r>
        <w:rPr>
          <w:rFonts w:hint="eastAsia" w:ascii="仿宋_GB2312" w:eastAsia="仿宋_GB2312"/>
          <w:spacing w:val="-27"/>
          <w:lang w:eastAsia="zh-CN"/>
        </w:rPr>
        <w:t xml:space="preserve"> 106.7</w:t>
      </w:r>
      <w:r>
        <w:rPr>
          <w:rFonts w:hint="eastAsia" w:ascii="仿宋_GB2312" w:eastAsia="仿宋_GB2312"/>
          <w:spacing w:val="-24"/>
        </w:rPr>
        <w:t>万元，增长</w:t>
      </w:r>
      <w:r>
        <w:rPr>
          <w:rFonts w:hint="eastAsia" w:ascii="仿宋_GB2312" w:eastAsia="仿宋_GB2312"/>
          <w:spacing w:val="-24"/>
          <w:lang w:eastAsia="zh-CN"/>
        </w:rPr>
        <w:t>13.97</w:t>
      </w:r>
      <w:r>
        <w:rPr>
          <w:rFonts w:hint="eastAsia" w:ascii="仿宋_GB2312" w:eastAsia="仿宋_GB2312"/>
          <w:spacing w:val="-23"/>
        </w:rPr>
        <w:t>%，增长</w:t>
      </w:r>
      <w:r>
        <w:rPr>
          <w:rFonts w:hint="eastAsia" w:ascii="仿宋_GB2312" w:eastAsia="仿宋_GB2312"/>
        </w:rPr>
        <w:t>原因主要是</w:t>
      </w:r>
      <w:r>
        <w:rPr>
          <w:rFonts w:hint="eastAsia" w:ascii="仿宋_GB2312" w:eastAsia="仿宋_GB2312"/>
          <w:spacing w:val="-23"/>
        </w:rPr>
        <w:t>交通运输支出</w:t>
      </w:r>
      <w:r>
        <w:rPr>
          <w:rFonts w:hint="eastAsia" w:ascii="仿宋_GB2312" w:eastAsia="仿宋_GB2312"/>
          <w:spacing w:val="-23"/>
          <w:lang w:eastAsia="zh-CN"/>
        </w:rPr>
        <w:t>增加</w:t>
      </w:r>
      <w:r>
        <w:rPr>
          <w:rFonts w:hint="eastAsia" w:ascii="仿宋_GB2312" w:eastAsia="仿宋_GB2312"/>
          <w:spacing w:val="-23"/>
        </w:rPr>
        <w:t>。</w:t>
      </w:r>
    </w:p>
    <w:p>
      <w:pPr>
        <w:pStyle w:val="21"/>
        <w:spacing w:line="560" w:lineRule="exact"/>
        <w:ind w:left="0" w:firstLine="664" w:firstLineChars="200"/>
        <w:jc w:val="both"/>
        <w:rPr>
          <w:rFonts w:hint="eastAsia" w:ascii="仿宋_GB2312" w:eastAsia="仿宋_GB2312"/>
          <w:b w:val="0"/>
        </w:rPr>
      </w:pPr>
      <w:r>
        <w:rPr>
          <w:rFonts w:hint="eastAsia" w:ascii="仿宋_GB2312" w:eastAsia="仿宋_GB2312"/>
          <w:b w:val="0"/>
        </w:rPr>
        <w:t>6、</w:t>
      </w:r>
      <w:r>
        <w:rPr>
          <w:rFonts w:hint="eastAsia" w:ascii="仿宋_GB2312" w:hAnsi="宋体" w:eastAsia="仿宋_GB2312" w:cs="Times New Roman"/>
          <w:bCs w:val="0"/>
        </w:rPr>
        <w:t>住</w:t>
      </w:r>
      <w:r>
        <w:rPr>
          <w:rFonts w:hint="eastAsia" w:ascii="仿宋_GB2312" w:eastAsia="仿宋_GB2312"/>
          <w:spacing w:val="-11"/>
          <w:w w:val="99"/>
        </w:rPr>
        <w:t>房保障支出</w:t>
      </w:r>
      <w:r>
        <w:rPr>
          <w:rFonts w:hint="eastAsia" w:ascii="仿宋_GB2312" w:eastAsia="仿宋_GB2312"/>
          <w:w w:val="99"/>
        </w:rPr>
        <w:t>（</w:t>
      </w:r>
      <w:r>
        <w:rPr>
          <w:rFonts w:hint="eastAsia" w:ascii="仿宋_GB2312" w:eastAsia="仿宋_GB2312"/>
          <w:spacing w:val="2"/>
          <w:w w:val="99"/>
        </w:rPr>
        <w:t>类</w:t>
      </w:r>
      <w:r>
        <w:rPr>
          <w:rFonts w:hint="eastAsia" w:ascii="仿宋_GB2312" w:eastAsia="仿宋_GB2312"/>
          <w:spacing w:val="-67"/>
          <w:w w:val="99"/>
        </w:rPr>
        <w:t>）</w:t>
      </w:r>
      <w:r>
        <w:rPr>
          <w:rFonts w:hint="eastAsia" w:ascii="仿宋_GB2312" w:eastAsia="仿宋_GB2312"/>
          <w:spacing w:val="-12"/>
          <w:w w:val="99"/>
        </w:rPr>
        <w:t>住房改革支出</w:t>
      </w:r>
      <w:r>
        <w:rPr>
          <w:rFonts w:hint="eastAsia" w:ascii="仿宋_GB2312" w:eastAsia="仿宋_GB2312"/>
          <w:spacing w:val="2"/>
          <w:w w:val="99"/>
        </w:rPr>
        <w:t>（</w:t>
      </w:r>
      <w:r>
        <w:rPr>
          <w:rFonts w:hint="eastAsia" w:ascii="仿宋_GB2312" w:eastAsia="仿宋_GB2312"/>
          <w:w w:val="99"/>
        </w:rPr>
        <w:t>款</w:t>
      </w:r>
      <w:r>
        <w:rPr>
          <w:rFonts w:hint="eastAsia" w:ascii="仿宋_GB2312" w:eastAsia="仿宋_GB2312"/>
          <w:spacing w:val="-67"/>
          <w:w w:val="99"/>
        </w:rPr>
        <w:t>）</w:t>
      </w:r>
      <w:r>
        <w:rPr>
          <w:rFonts w:hint="eastAsia" w:ascii="仿宋_GB2312" w:eastAsia="仿宋_GB2312"/>
          <w:spacing w:val="-13"/>
          <w:w w:val="99"/>
        </w:rPr>
        <w:t>住房公积金</w:t>
      </w:r>
      <w:r>
        <w:rPr>
          <w:rFonts w:hint="eastAsia" w:ascii="仿宋_GB2312" w:eastAsia="仿宋_GB2312"/>
          <w:spacing w:val="2"/>
          <w:w w:val="99"/>
        </w:rPr>
        <w:t>（</w:t>
      </w:r>
      <w:r>
        <w:rPr>
          <w:rFonts w:hint="eastAsia" w:ascii="仿宋_GB2312" w:eastAsia="仿宋_GB2312"/>
          <w:w w:val="99"/>
        </w:rPr>
        <w:t>项）</w:t>
      </w:r>
      <w:r>
        <w:rPr>
          <w:rFonts w:hint="eastAsia" w:ascii="仿宋_GB2312" w:eastAsia="仿宋_GB2312"/>
          <w:b w:val="0"/>
        </w:rPr>
        <w:t>2024</w:t>
      </w:r>
      <w:r>
        <w:rPr>
          <w:rFonts w:hint="eastAsia" w:ascii="仿宋_GB2312" w:eastAsia="仿宋_GB2312"/>
          <w:b w:val="0"/>
          <w:spacing w:val="-22"/>
        </w:rPr>
        <w:t xml:space="preserve"> 年预算</w:t>
      </w:r>
      <w:r>
        <w:rPr>
          <w:rFonts w:hint="eastAsia" w:ascii="仿宋_GB2312" w:eastAsia="仿宋_GB2312"/>
          <w:b w:val="0"/>
        </w:rPr>
        <w:t>99.5</w:t>
      </w:r>
      <w:r>
        <w:rPr>
          <w:rFonts w:hint="eastAsia" w:ascii="仿宋_GB2312" w:eastAsia="仿宋_GB2312"/>
          <w:b w:val="0"/>
          <w:spacing w:val="-22"/>
        </w:rPr>
        <w:t xml:space="preserve">万元，比 </w:t>
      </w:r>
      <w:r>
        <w:rPr>
          <w:rFonts w:hint="eastAsia" w:ascii="仿宋_GB2312" w:eastAsia="仿宋_GB2312"/>
          <w:b w:val="0"/>
        </w:rPr>
        <w:t>2023</w:t>
      </w:r>
      <w:r>
        <w:rPr>
          <w:rFonts w:hint="eastAsia" w:ascii="仿宋_GB2312" w:eastAsia="仿宋_GB2312"/>
          <w:b w:val="0"/>
          <w:spacing w:val="-18"/>
        </w:rPr>
        <w:t xml:space="preserve"> 年预算增加</w:t>
      </w:r>
      <w:r>
        <w:rPr>
          <w:rFonts w:hint="eastAsia" w:ascii="仿宋_GB2312" w:eastAsia="仿宋_GB2312"/>
          <w:b w:val="0"/>
        </w:rPr>
        <w:t>0.92</w:t>
      </w:r>
      <w:r>
        <w:rPr>
          <w:rFonts w:hint="eastAsia" w:ascii="仿宋_GB2312" w:eastAsia="仿宋_GB2312"/>
          <w:b w:val="0"/>
          <w:spacing w:val="-6"/>
        </w:rPr>
        <w:t>万元，增长0.93%，增长原因主要是住房公积金调整了缴费基数。</w:t>
      </w:r>
    </w:p>
    <w:p>
      <w:pPr>
        <w:pStyle w:val="3"/>
        <w:spacing w:line="405" w:lineRule="exact"/>
        <w:ind w:firstLine="664" w:firstLineChars="200"/>
        <w:jc w:val="both"/>
        <w:rPr>
          <w:rFonts w:hint="eastAsia" w:ascii="楷体_GB2312" w:hAnsi="仿宋" w:eastAsia="楷体_GB2312"/>
          <w:color w:val="FF0000"/>
          <w:kern w:val="2"/>
        </w:rPr>
      </w:pPr>
      <w:r>
        <w:rPr>
          <w:rFonts w:hint="eastAsia" w:ascii="仿宋_GB2312" w:eastAsia="仿宋_GB2312"/>
          <w:b/>
          <w:lang w:eastAsia="zh-CN"/>
        </w:rPr>
        <w:t>7</w:t>
      </w:r>
      <w:r>
        <w:rPr>
          <w:rFonts w:hint="eastAsia" w:ascii="仿宋_GB2312" w:eastAsia="仿宋_GB2312"/>
          <w:b/>
        </w:rPr>
        <w:t>、</w:t>
      </w:r>
      <w:r>
        <w:rPr>
          <w:rFonts w:hint="eastAsia" w:ascii="仿宋_GB2312" w:eastAsia="仿宋_GB2312"/>
          <w:b/>
          <w:lang w:eastAsia="zh-CN"/>
        </w:rPr>
        <w:t>住房保障支出（类）住房改革支出（款）提租补贴（项）</w:t>
      </w:r>
      <w:r>
        <w:rPr>
          <w:rFonts w:hint="eastAsia" w:ascii="仿宋_GB2312" w:hAnsi="微软雅黑" w:eastAsia="仿宋_GB2312" w:cs="微软雅黑"/>
          <w:bCs/>
          <w:lang w:val="en-US" w:eastAsia="zh-CN"/>
        </w:rPr>
        <w:t>2024 年预算51.4万元，比 2023 年预算增加1.29万元，增长2.57%，增长原因主要是住房公积金调整了缴费基数。</w:t>
      </w:r>
    </w:p>
    <w:p>
      <w:pPr>
        <w:pStyle w:val="7"/>
        <w:adjustRightInd w:val="0"/>
        <w:snapToGrid w:val="0"/>
        <w:spacing w:before="0" w:beforeAutospacing="0" w:after="0" w:afterAutospacing="0" w:line="560" w:lineRule="exact"/>
        <w:ind w:firstLine="664" w:firstLineChars="200"/>
        <w:rPr>
          <w:rFonts w:hint="eastAsia" w:ascii="仿宋_GB2312" w:eastAsia="仿宋_GB2312"/>
          <w:sz w:val="32"/>
          <w:szCs w:val="32"/>
        </w:rPr>
      </w:pPr>
      <w:r>
        <w:rPr>
          <w:rFonts w:hint="eastAsia" w:ascii="黑体" w:hAnsi="仿宋" w:eastAsia="黑体" w:cs="Times New Roman"/>
          <w:kern w:val="2"/>
          <w:sz w:val="32"/>
          <w:szCs w:val="32"/>
        </w:rPr>
        <w:t>六、关于2024年一般公共预算基本支出表的说明</w:t>
      </w:r>
    </w:p>
    <w:p>
      <w:pPr>
        <w:pStyle w:val="7"/>
        <w:adjustRightInd w:val="0"/>
        <w:snapToGrid w:val="0"/>
        <w:spacing w:before="0" w:beforeAutospacing="0" w:after="0" w:afterAutospacing="0" w:line="560" w:lineRule="exact"/>
        <w:ind w:firstLine="664" w:firstLineChars="200"/>
        <w:rPr>
          <w:rFonts w:hint="eastAsia" w:ascii="仿宋_GB2312" w:eastAsia="仿宋_GB2312"/>
          <w:sz w:val="32"/>
          <w:szCs w:val="32"/>
        </w:rPr>
      </w:pPr>
      <w:r>
        <w:rPr>
          <w:rFonts w:hint="eastAsia" w:ascii="仿宋_GB2312" w:hAnsi="仿宋" w:eastAsia="仿宋_GB2312"/>
          <w:sz w:val="32"/>
          <w:szCs w:val="32"/>
        </w:rPr>
        <w:t>五河县交通运输综合行政执法大队</w:t>
      </w:r>
      <w:r>
        <w:rPr>
          <w:rFonts w:hint="eastAsia" w:ascii="仿宋_GB2312" w:eastAsia="仿宋_GB2312"/>
          <w:sz w:val="32"/>
          <w:szCs w:val="32"/>
        </w:rPr>
        <w:t>2024</w:t>
      </w:r>
      <w:r>
        <w:rPr>
          <w:rFonts w:ascii="仿宋_GB2312" w:eastAsia="仿宋_GB2312"/>
          <w:sz w:val="32"/>
          <w:szCs w:val="32"/>
        </w:rPr>
        <w:t>年度</w:t>
      </w:r>
      <w:r>
        <w:rPr>
          <w:rFonts w:hint="eastAsia" w:ascii="仿宋_GB2312" w:eastAsia="仿宋_GB2312"/>
          <w:sz w:val="32"/>
          <w:szCs w:val="32"/>
        </w:rPr>
        <w:t>一般公共预算基本支出1240.4万元，</w:t>
      </w:r>
      <w:r>
        <w:rPr>
          <w:rFonts w:ascii="仿宋_GB2312" w:eastAsia="仿宋_GB2312"/>
          <w:sz w:val="32"/>
          <w:szCs w:val="32"/>
        </w:rPr>
        <w:t>其中，人员经费</w:t>
      </w:r>
      <w:r>
        <w:rPr>
          <w:rFonts w:hint="eastAsia" w:ascii="仿宋_GB2312" w:eastAsia="仿宋_GB2312"/>
          <w:sz w:val="32"/>
          <w:szCs w:val="32"/>
        </w:rPr>
        <w:t>1196.6</w:t>
      </w:r>
      <w:r>
        <w:rPr>
          <w:rFonts w:ascii="仿宋_GB2312" w:eastAsia="仿宋_GB2312"/>
          <w:sz w:val="32"/>
          <w:szCs w:val="32"/>
        </w:rPr>
        <w:t>万元，公用经费</w:t>
      </w:r>
      <w:r>
        <w:rPr>
          <w:rFonts w:hint="eastAsia" w:ascii="仿宋_GB2312" w:eastAsia="仿宋_GB2312"/>
          <w:sz w:val="32"/>
          <w:szCs w:val="32"/>
        </w:rPr>
        <w:t>43.8</w:t>
      </w:r>
      <w:r>
        <w:rPr>
          <w:rFonts w:ascii="仿宋_GB2312" w:eastAsia="仿宋_GB2312"/>
          <w:sz w:val="32"/>
          <w:szCs w:val="32"/>
        </w:rPr>
        <w:t>万元。</w:t>
      </w:r>
    </w:p>
    <w:p>
      <w:pPr>
        <w:pStyle w:val="7"/>
        <w:adjustRightInd w:val="0"/>
        <w:snapToGrid w:val="0"/>
        <w:spacing w:before="0" w:beforeAutospacing="0" w:after="0" w:afterAutospacing="0" w:line="560" w:lineRule="exact"/>
        <w:ind w:firstLine="664" w:firstLineChars="200"/>
        <w:rPr>
          <w:rFonts w:hint="eastAsia" w:ascii="仿宋_GB2312" w:eastAsia="仿宋_GB2312"/>
          <w:sz w:val="32"/>
          <w:szCs w:val="32"/>
        </w:rPr>
      </w:pPr>
      <w:r>
        <w:rPr>
          <w:rFonts w:ascii="仿宋_GB2312" w:eastAsia="仿宋_GB2312"/>
          <w:sz w:val="32"/>
          <w:szCs w:val="32"/>
        </w:rPr>
        <w:t>（一）人员经费</w:t>
      </w:r>
      <w:r>
        <w:rPr>
          <w:rFonts w:hint="eastAsia" w:ascii="仿宋_GB2312" w:eastAsia="仿宋_GB2312"/>
          <w:sz w:val="32"/>
          <w:szCs w:val="32"/>
        </w:rPr>
        <w:t>1196.6</w:t>
      </w:r>
      <w:r>
        <w:rPr>
          <w:rFonts w:ascii="仿宋_GB2312" w:eastAsia="仿宋_GB2312"/>
          <w:sz w:val="32"/>
          <w:szCs w:val="32"/>
        </w:rPr>
        <w:t>万元，主要包括：基本工资、津贴补贴、绩效工资、机关事业单位基本养老保险费、职业年金缴费、职工基本医疗保险缴费、公务员医疗补助缴费、其他社会保障缴费、住房公积金、福利费、退休费、医疗费补助、对其他个人和家庭的补助支出。</w:t>
      </w:r>
    </w:p>
    <w:p>
      <w:pPr>
        <w:pStyle w:val="7"/>
        <w:adjustRightInd w:val="0"/>
        <w:snapToGrid w:val="0"/>
        <w:spacing w:before="0" w:beforeAutospacing="0" w:after="0" w:afterAutospacing="0" w:line="560" w:lineRule="exact"/>
        <w:ind w:firstLine="664" w:firstLineChars="200"/>
        <w:rPr>
          <w:rFonts w:hint="eastAsia" w:ascii="仿宋_GB2312" w:eastAsia="仿宋_GB2312"/>
          <w:sz w:val="32"/>
          <w:szCs w:val="32"/>
        </w:rPr>
      </w:pPr>
      <w:r>
        <w:rPr>
          <w:rFonts w:ascii="仿宋_GB2312" w:eastAsia="仿宋_GB2312"/>
          <w:sz w:val="32"/>
          <w:szCs w:val="32"/>
        </w:rPr>
        <w:t>（二）公用经费</w:t>
      </w:r>
      <w:r>
        <w:rPr>
          <w:rFonts w:hint="eastAsia" w:ascii="仿宋_GB2312" w:eastAsia="仿宋_GB2312"/>
          <w:sz w:val="32"/>
          <w:szCs w:val="32"/>
        </w:rPr>
        <w:t>43.8</w:t>
      </w:r>
      <w:r>
        <w:rPr>
          <w:rFonts w:ascii="仿宋_GB2312" w:eastAsia="仿宋_GB2312"/>
          <w:sz w:val="32"/>
          <w:szCs w:val="32"/>
        </w:rPr>
        <w:t>万元，主要包括：工会经费、福利费、其他商品和服务支出等。</w:t>
      </w:r>
    </w:p>
    <w:p>
      <w:pPr>
        <w:pStyle w:val="7"/>
        <w:adjustRightInd w:val="0"/>
        <w:snapToGrid w:val="0"/>
        <w:spacing w:before="0" w:beforeAutospacing="0" w:after="0" w:afterAutospacing="0" w:line="560" w:lineRule="exact"/>
        <w:ind w:firstLine="664" w:firstLineChars="200"/>
        <w:rPr>
          <w:rFonts w:hint="eastAsia" w:ascii="黑体" w:hAnsi="仿宋" w:eastAsia="黑体"/>
          <w:sz w:val="32"/>
          <w:szCs w:val="32"/>
        </w:rPr>
      </w:pPr>
      <w:r>
        <w:rPr>
          <w:rFonts w:hint="eastAsia" w:ascii="黑体" w:hAnsi="仿宋" w:eastAsia="黑体"/>
          <w:sz w:val="32"/>
          <w:szCs w:val="32"/>
        </w:rPr>
        <w:t>七、关于2024年政府性基金预算支出表的说明</w:t>
      </w:r>
    </w:p>
    <w:p>
      <w:pPr>
        <w:spacing w:line="560" w:lineRule="exact"/>
        <w:ind w:left="168" w:leftChars="76" w:firstLine="498" w:firstLineChars="150"/>
        <w:jc w:val="left"/>
        <w:rPr>
          <w:rFonts w:hint="eastAsia" w:ascii="仿宋_GB2312" w:eastAsia="仿宋_GB2312"/>
          <w:sz w:val="32"/>
          <w:szCs w:val="32"/>
        </w:rPr>
      </w:pPr>
      <w:r>
        <w:rPr>
          <w:rFonts w:hint="eastAsia" w:ascii="仿宋_GB2312" w:hAnsi="仿宋" w:eastAsia="仿宋_GB2312"/>
          <w:sz w:val="32"/>
          <w:szCs w:val="32"/>
        </w:rPr>
        <w:t>县交通运输综合行政执法大队</w:t>
      </w:r>
      <w:r>
        <w:rPr>
          <w:rFonts w:hint="eastAsia" w:ascii="仿宋_GB2312" w:eastAsia="仿宋_GB2312"/>
          <w:sz w:val="32"/>
          <w:szCs w:val="32"/>
        </w:rPr>
        <w:t>2024年没有政府性基金预算拨款收入，也没有使用政府性基金预算拨款安排的支出。</w:t>
      </w:r>
    </w:p>
    <w:p>
      <w:pPr>
        <w:widowControl/>
        <w:adjustRightInd w:val="0"/>
        <w:snapToGrid w:val="0"/>
        <w:spacing w:line="560" w:lineRule="exact"/>
        <w:ind w:firstLine="664" w:firstLineChars="200"/>
        <w:jc w:val="left"/>
        <w:rPr>
          <w:rFonts w:hint="eastAsia" w:ascii="黑体" w:eastAsia="黑体"/>
          <w:sz w:val="36"/>
          <w:szCs w:val="36"/>
        </w:rPr>
      </w:pPr>
      <w:r>
        <w:rPr>
          <w:rFonts w:hint="eastAsia" w:ascii="黑体" w:hAnsi="仿宋" w:eastAsia="黑体"/>
          <w:sz w:val="32"/>
          <w:szCs w:val="32"/>
        </w:rPr>
        <w:t>八、关于2024年国有资本经营预算支出表的说明</w:t>
      </w:r>
    </w:p>
    <w:p>
      <w:pPr>
        <w:adjustRightInd w:val="0"/>
        <w:snapToGrid w:val="0"/>
        <w:spacing w:line="560" w:lineRule="exact"/>
        <w:ind w:firstLine="664" w:firstLineChars="200"/>
        <w:rPr>
          <w:rFonts w:ascii="TimesNewRoman" w:hAnsi="TimesNewRoman" w:eastAsia="仿宋_GB2312" w:cs="TimesNewRoman"/>
          <w:sz w:val="32"/>
          <w:szCs w:val="32"/>
        </w:rPr>
      </w:pPr>
      <w:r>
        <w:rPr>
          <w:rFonts w:hint="eastAsia" w:ascii="仿宋_GB2312" w:hAnsi="仿宋" w:eastAsia="仿宋_GB2312"/>
          <w:sz w:val="32"/>
          <w:szCs w:val="32"/>
        </w:rPr>
        <w:t>五河县交通运输综合行政执法大队2024年</w:t>
      </w:r>
      <w:r>
        <w:rPr>
          <w:rFonts w:ascii="TimesNewRoman" w:hAnsi="TimesNewRoman" w:eastAsia="仿宋_GB2312" w:cs="TimesNewRoman"/>
          <w:sz w:val="32"/>
          <w:szCs w:val="32"/>
        </w:rPr>
        <w:t>没有国有资本经营</w:t>
      </w:r>
      <w:r>
        <w:rPr>
          <w:rFonts w:hint="eastAsia" w:ascii="TimesNewRoman" w:hAnsi="TimesNewRoman" w:eastAsia="仿宋_GB2312" w:cs="TimesNewRoman"/>
          <w:sz w:val="32"/>
          <w:szCs w:val="32"/>
        </w:rPr>
        <w:t>67*</w:t>
      </w:r>
      <w:r>
        <w:rPr>
          <w:rFonts w:ascii="TimesNewRoman" w:hAnsi="TimesNewRoman" w:eastAsia="仿宋_GB2312" w:cs="TimesNewRoman"/>
          <w:sz w:val="32"/>
          <w:szCs w:val="32"/>
        </w:rPr>
        <w:t>预算拨款收入，也没有使用国有资本经营预算拨款安排的支出。</w:t>
      </w:r>
    </w:p>
    <w:p>
      <w:pPr>
        <w:pStyle w:val="7"/>
        <w:adjustRightInd w:val="0"/>
        <w:snapToGrid w:val="0"/>
        <w:spacing w:before="0" w:beforeAutospacing="0" w:after="0" w:afterAutospacing="0" w:line="560" w:lineRule="exact"/>
        <w:ind w:firstLine="664" w:firstLineChars="200"/>
        <w:rPr>
          <w:rFonts w:hint="eastAsia" w:ascii="黑体" w:hAnsi="仿宋" w:eastAsia="黑体" w:cs="Times New Roman"/>
          <w:kern w:val="2"/>
          <w:sz w:val="32"/>
          <w:szCs w:val="32"/>
        </w:rPr>
      </w:pPr>
      <w:r>
        <w:rPr>
          <w:rFonts w:hint="eastAsia" w:ascii="黑体" w:hAnsi="仿宋" w:eastAsia="黑体" w:cs="Times New Roman"/>
          <w:kern w:val="2"/>
          <w:sz w:val="32"/>
          <w:szCs w:val="32"/>
        </w:rPr>
        <w:t>九、关于2024年项目支出表的说明</w:t>
      </w:r>
    </w:p>
    <w:p>
      <w:pPr>
        <w:pStyle w:val="7"/>
        <w:adjustRightInd w:val="0"/>
        <w:snapToGrid w:val="0"/>
        <w:spacing w:before="0" w:beforeAutospacing="0" w:after="0" w:afterAutospacing="0" w:line="560" w:lineRule="exact"/>
        <w:ind w:firstLine="664" w:firstLineChars="200"/>
        <w:rPr>
          <w:rFonts w:ascii="TimesNewRoman" w:hAnsi="TimesNewRoman" w:eastAsia="仿宋_GB2312" w:cs="TimesNewRoman"/>
          <w:sz w:val="32"/>
          <w:szCs w:val="32"/>
        </w:rPr>
      </w:pPr>
      <w:r>
        <w:rPr>
          <w:rFonts w:hint="eastAsia" w:ascii="仿宋_GB2312" w:hAnsi="仿宋" w:eastAsia="仿宋_GB2312"/>
          <w:sz w:val="32"/>
          <w:szCs w:val="32"/>
        </w:rPr>
        <w:t>五河县交通运输综合行政执法大队</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年预算共安排项目支出</w:t>
      </w:r>
      <w:r>
        <w:rPr>
          <w:rFonts w:hint="eastAsia" w:ascii="仿宋_GB2312" w:hAnsi="仿宋" w:eastAsia="仿宋_GB2312" w:cs="Times New Roman"/>
          <w:kern w:val="2"/>
          <w:sz w:val="32"/>
          <w:szCs w:val="32"/>
        </w:rPr>
        <w:t>70</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2023</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rPr>
        <w:t>36</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rPr>
        <w:t>33.96</w:t>
      </w:r>
      <w:r>
        <w:rPr>
          <w:rFonts w:ascii="TimesNewRoman" w:hAnsi="TimesNewRoman" w:eastAsia="仿宋_GB2312" w:cs="TimesNewRoman"/>
          <w:sz w:val="32"/>
          <w:szCs w:val="32"/>
        </w:rPr>
        <w:t>%，下降原因主要是</w:t>
      </w:r>
      <w:r>
        <w:rPr>
          <w:rFonts w:hint="eastAsia" w:ascii="TimesNewRoman" w:hAnsi="TimesNewRoman" w:eastAsia="仿宋_GB2312" w:cs="TimesNewRoman"/>
          <w:sz w:val="32"/>
          <w:szCs w:val="32"/>
        </w:rPr>
        <w:t>财政安排资金减少</w:t>
      </w:r>
      <w:r>
        <w:rPr>
          <w:rFonts w:ascii="TimesNewRoman" w:hAnsi="TimesNewRoman" w:eastAsia="仿宋_GB2312" w:cs="TimesNewRoman"/>
          <w:sz w:val="32"/>
          <w:szCs w:val="32"/>
        </w:rPr>
        <w:t>。主要包括：本年财政拨款安排</w:t>
      </w:r>
      <w:r>
        <w:rPr>
          <w:rFonts w:hint="eastAsia" w:ascii="仿宋_GB2312" w:hAnsi="仿宋" w:eastAsia="仿宋_GB2312" w:cs="Times New Roman"/>
          <w:kern w:val="2"/>
          <w:sz w:val="32"/>
          <w:szCs w:val="32"/>
        </w:rPr>
        <w:t>70</w:t>
      </w:r>
      <w:r>
        <w:rPr>
          <w:rFonts w:ascii="TimesNewRoman" w:hAnsi="TimesNewRoman" w:eastAsia="仿宋_GB2312" w:cs="TimesNewRoman"/>
          <w:sz w:val="32"/>
          <w:szCs w:val="32"/>
        </w:rPr>
        <w:t>万元，全部是一般公共预算拨款安排。</w:t>
      </w:r>
    </w:p>
    <w:p>
      <w:pPr>
        <w:pStyle w:val="7"/>
        <w:adjustRightInd w:val="0"/>
        <w:snapToGrid w:val="0"/>
        <w:spacing w:before="0" w:beforeAutospacing="0" w:after="0" w:afterAutospacing="0" w:line="560" w:lineRule="exact"/>
        <w:ind w:firstLine="664" w:firstLineChars="200"/>
        <w:rPr>
          <w:rFonts w:ascii="黑体" w:hAnsi="仿宋" w:eastAsia="黑体" w:cs="Times New Roman"/>
          <w:kern w:val="2"/>
          <w:sz w:val="32"/>
          <w:szCs w:val="32"/>
        </w:rPr>
      </w:pPr>
      <w:r>
        <w:rPr>
          <w:rFonts w:hint="eastAsia" w:ascii="黑体" w:hAnsi="仿宋" w:eastAsia="黑体" w:cs="Times New Roman"/>
          <w:kern w:val="2"/>
          <w:sz w:val="32"/>
          <w:szCs w:val="32"/>
        </w:rPr>
        <w:t>十、关于2024年政府采购支出表的说明</w:t>
      </w:r>
    </w:p>
    <w:p>
      <w:pPr>
        <w:pStyle w:val="3"/>
        <w:spacing w:line="560" w:lineRule="exact"/>
        <w:ind w:firstLine="641"/>
        <w:jc w:val="both"/>
        <w:rPr>
          <w:rFonts w:ascii="仿宋_GB2312" w:hAnsi="Calibri" w:eastAsia="仿宋_GB2312"/>
          <w:kern w:val="2"/>
        </w:rPr>
      </w:pPr>
      <w:bookmarkStart w:id="0" w:name="安徽省XX（部门、单位名称）2022年预算安排政府采购支出*.*万元，比2021"/>
      <w:bookmarkEnd w:id="0"/>
      <w:bookmarkStart w:id="1" w:name="【如本部门（单位）安排政府采购预算说明如下】"/>
      <w:bookmarkEnd w:id="1"/>
      <w:bookmarkStart w:id="2" w:name="【如本部门（单位）未安排政府采购预算说明如下】"/>
      <w:bookmarkEnd w:id="2"/>
      <w:r>
        <w:rPr>
          <w:rFonts w:hint="eastAsia" w:ascii="仿宋_GB2312" w:hAnsi="仿宋" w:eastAsia="仿宋_GB2312"/>
        </w:rPr>
        <w:t>五河县交通运输综合行政执法大队</w:t>
      </w:r>
      <w:r>
        <w:rPr>
          <w:rFonts w:hint="eastAsia" w:ascii="仿宋_GB2312" w:hAnsi="Calibri" w:eastAsia="仿宋_GB2312"/>
          <w:kern w:val="2"/>
          <w:lang w:eastAsia="zh-CN"/>
        </w:rPr>
        <w:t>2024</w:t>
      </w:r>
      <w:r>
        <w:rPr>
          <w:rFonts w:ascii="仿宋_GB2312" w:hAnsi="Calibri" w:eastAsia="仿宋_GB2312"/>
          <w:kern w:val="2"/>
        </w:rPr>
        <w:t>年预算安排政府采购支出</w:t>
      </w:r>
      <w:r>
        <w:rPr>
          <w:rFonts w:hint="eastAsia" w:ascii="仿宋_GB2312" w:hAnsi="Calibri" w:eastAsia="仿宋_GB2312"/>
          <w:kern w:val="2"/>
          <w:lang w:eastAsia="zh-CN"/>
        </w:rPr>
        <w:t>0.3</w:t>
      </w:r>
      <w:r>
        <w:rPr>
          <w:rFonts w:ascii="仿宋_GB2312" w:hAnsi="Calibri" w:eastAsia="仿宋_GB2312"/>
          <w:kern w:val="2"/>
        </w:rPr>
        <w:t xml:space="preserve">万元，比 </w:t>
      </w:r>
      <w:r>
        <w:rPr>
          <w:rFonts w:hint="eastAsia" w:ascii="仿宋_GB2312" w:hAnsi="Calibri" w:eastAsia="仿宋_GB2312"/>
          <w:kern w:val="2"/>
          <w:lang w:eastAsia="zh-CN"/>
        </w:rPr>
        <w:t>2023</w:t>
      </w:r>
      <w:r>
        <w:rPr>
          <w:rFonts w:ascii="仿宋_GB2312" w:hAnsi="Calibri" w:eastAsia="仿宋_GB2312"/>
          <w:kern w:val="2"/>
        </w:rPr>
        <w:t xml:space="preserve"> 年预算减少</w:t>
      </w:r>
      <w:r>
        <w:rPr>
          <w:rFonts w:hint="eastAsia" w:ascii="仿宋_GB2312" w:hAnsi="Calibri" w:eastAsia="仿宋_GB2312"/>
          <w:kern w:val="2"/>
          <w:lang w:eastAsia="zh-CN"/>
        </w:rPr>
        <w:t>36.7</w:t>
      </w:r>
      <w:r>
        <w:rPr>
          <w:rFonts w:ascii="仿宋_GB2312" w:hAnsi="Calibri" w:eastAsia="仿宋_GB2312"/>
          <w:kern w:val="2"/>
        </w:rPr>
        <w:t>万元，下降</w:t>
      </w:r>
      <w:r>
        <w:rPr>
          <w:rFonts w:hint="eastAsia" w:ascii="仿宋_GB2312" w:hAnsi="Calibri" w:eastAsia="仿宋_GB2312"/>
          <w:kern w:val="2"/>
          <w:lang w:eastAsia="zh-CN"/>
        </w:rPr>
        <w:t>99.19</w:t>
      </w:r>
      <w:r>
        <w:rPr>
          <w:rFonts w:ascii="仿宋_GB2312" w:hAnsi="Calibri" w:eastAsia="仿宋_GB2312"/>
          <w:kern w:val="2"/>
        </w:rPr>
        <w:t>%，下降原因主要是</w:t>
      </w:r>
      <w:r>
        <w:rPr>
          <w:rFonts w:hint="eastAsia" w:ascii="仿宋_GB2312" w:hAnsi="Calibri" w:eastAsia="仿宋_GB2312"/>
          <w:kern w:val="2"/>
          <w:lang w:eastAsia="zh-CN"/>
        </w:rPr>
        <w:t>2024年</w:t>
      </w:r>
      <w:r>
        <w:rPr>
          <w:rFonts w:hint="eastAsia" w:ascii="TimesNewRoman" w:hAnsi="TimesNewRoman" w:eastAsia="仿宋_GB2312" w:cs="TimesNewRoman"/>
        </w:rPr>
        <w:t>财政安排资金减少</w:t>
      </w:r>
      <w:r>
        <w:rPr>
          <w:rFonts w:ascii="仿宋_GB2312" w:hAnsi="Calibri" w:eastAsia="仿宋_GB2312"/>
          <w:kern w:val="2"/>
        </w:rPr>
        <w:t>。全部是一般公共预算安排。</w:t>
      </w:r>
    </w:p>
    <w:p>
      <w:pPr>
        <w:pStyle w:val="7"/>
        <w:adjustRightInd w:val="0"/>
        <w:snapToGrid w:val="0"/>
        <w:spacing w:before="0" w:beforeAutospacing="0" w:after="0" w:afterAutospacing="0" w:line="560" w:lineRule="exact"/>
        <w:ind w:firstLine="664" w:firstLineChars="200"/>
        <w:rPr>
          <w:rFonts w:ascii="黑体" w:hAnsi="仿宋" w:eastAsia="黑体" w:cs="Times New Roman"/>
          <w:kern w:val="2"/>
          <w:sz w:val="32"/>
          <w:szCs w:val="32"/>
        </w:rPr>
      </w:pPr>
      <w:r>
        <w:rPr>
          <w:rFonts w:hint="eastAsia" w:ascii="黑体" w:hAnsi="仿宋" w:eastAsia="黑体" w:cs="Times New Roman"/>
          <w:kern w:val="2"/>
          <w:sz w:val="32"/>
          <w:szCs w:val="32"/>
        </w:rPr>
        <w:t>十一、关于 2024年政府购买服务支出表的说明</w:t>
      </w:r>
    </w:p>
    <w:p>
      <w:pPr>
        <w:pStyle w:val="3"/>
        <w:spacing w:line="560" w:lineRule="exact"/>
        <w:ind w:firstLine="664" w:firstLineChars="200"/>
        <w:rPr>
          <w:rFonts w:hint="eastAsia" w:ascii="仿宋_GB2312" w:hAnsi="仿宋_GB2312" w:eastAsia="仿宋_GB2312" w:cs="仿宋_GB2312"/>
        </w:rPr>
      </w:pPr>
      <w:bookmarkStart w:id="3" w:name="安徽省XX（部门、单位名称）2022年没有安排政府购买服务支出。"/>
      <w:bookmarkEnd w:id="3"/>
      <w:bookmarkStart w:id="4" w:name="【如本部门（单位）未安排政府购买服务预算说明如下】"/>
      <w:bookmarkEnd w:id="4"/>
      <w:r>
        <w:rPr>
          <w:rFonts w:hint="eastAsia" w:ascii="仿宋_GB2312" w:hAnsi="仿宋" w:eastAsia="仿宋_GB2312"/>
        </w:rPr>
        <w:t>五河县交通运输综合行政执法大队</w:t>
      </w:r>
      <w:r>
        <w:rPr>
          <w:rFonts w:hint="eastAsia" w:ascii="仿宋_GB2312" w:hAnsi="仿宋_GB2312" w:eastAsia="仿宋_GB2312" w:cs="仿宋_GB2312"/>
          <w:lang w:eastAsia="zh-CN"/>
        </w:rPr>
        <w:t>2024</w:t>
      </w:r>
      <w:r>
        <w:rPr>
          <w:rFonts w:hint="eastAsia" w:ascii="仿宋_GB2312" w:hAnsi="仿宋_GB2312" w:eastAsia="仿宋_GB2312" w:cs="仿宋_GB2312"/>
        </w:rPr>
        <w:t>年没有安排政府购买服务支出。</w:t>
      </w:r>
    </w:p>
    <w:p>
      <w:pPr>
        <w:widowControl/>
        <w:adjustRightInd w:val="0"/>
        <w:snapToGrid w:val="0"/>
        <w:spacing w:line="560" w:lineRule="exact"/>
        <w:ind w:firstLine="664" w:firstLineChars="200"/>
        <w:jc w:val="left"/>
        <w:rPr>
          <w:rFonts w:ascii="黑体" w:hAnsi="仿宋" w:eastAsia="黑体"/>
          <w:sz w:val="32"/>
          <w:szCs w:val="32"/>
        </w:rPr>
      </w:pPr>
      <w:bookmarkStart w:id="5" w:name="【如本部门（单位）安排政府购买服务预算说明如下】"/>
      <w:bookmarkEnd w:id="5"/>
      <w:r>
        <w:rPr>
          <w:rFonts w:hint="eastAsia" w:ascii="黑体" w:hAnsi="仿宋" w:eastAsia="黑体"/>
          <w:sz w:val="32"/>
          <w:szCs w:val="32"/>
        </w:rPr>
        <w:t>十二、其他重要事项情况说明</w:t>
      </w:r>
    </w:p>
    <w:p>
      <w:pPr>
        <w:widowControl/>
        <w:adjustRightInd w:val="0"/>
        <w:snapToGrid w:val="0"/>
        <w:spacing w:line="560" w:lineRule="exact"/>
        <w:ind w:firstLine="664"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（一）项目及绩效目标情况。</w:t>
      </w:r>
    </w:p>
    <w:p>
      <w:pPr>
        <w:widowControl/>
        <w:shd w:val="clear" w:color="auto" w:fill="FFFFFF"/>
        <w:spacing w:line="560" w:lineRule="exact"/>
        <w:ind w:firstLine="664" w:firstLineChars="200"/>
        <w:jc w:val="left"/>
        <w:rPr>
          <w:rFonts w:ascii="仿宋_GB2312" w:hAnsi="楷体" w:eastAsia="仿宋_GB2312" w:cs="宋体"/>
          <w:kern w:val="0"/>
          <w:sz w:val="32"/>
        </w:rPr>
      </w:pPr>
      <w:r>
        <w:rPr>
          <w:rFonts w:hint="eastAsia" w:ascii="仿宋_GB2312" w:hAnsi="楷体" w:eastAsia="仿宋_GB2312" w:cs="宋体"/>
          <w:kern w:val="0"/>
          <w:sz w:val="32"/>
        </w:rPr>
        <w:t>1、“执法</w:t>
      </w:r>
      <w:r>
        <w:rPr>
          <w:rFonts w:ascii="仿宋_GB2312" w:hAnsi="楷体" w:eastAsia="仿宋_GB2312" w:cs="宋体"/>
          <w:kern w:val="0"/>
          <w:sz w:val="32"/>
        </w:rPr>
        <w:t>专项经费</w:t>
      </w:r>
      <w:r>
        <w:rPr>
          <w:rFonts w:hint="eastAsia" w:ascii="仿宋_GB2312" w:hAnsi="楷体" w:eastAsia="仿宋_GB2312" w:cs="宋体"/>
          <w:kern w:val="0"/>
          <w:sz w:val="32"/>
        </w:rPr>
        <w:t>”项目</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（1）项目概述。执法专项经费用于执法大队相关执法业务装备及日常执法经费开支。</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（2）立项依据。根据中共五河县机构编制委员会五编【2020】24号文件批复，五河县交通运输综合行政执法大队，独立开展交通运输各项执法业务。</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（3）实施主体。</w:t>
      </w:r>
      <w:r>
        <w:rPr>
          <w:rFonts w:hint="eastAsia" w:ascii="仿宋_GB2312" w:hAnsi="仿宋" w:eastAsia="仿宋_GB2312"/>
          <w:sz w:val="32"/>
          <w:szCs w:val="32"/>
        </w:rPr>
        <w:t>五河县交通运输综合行政执法大队</w:t>
      </w:r>
      <w:r>
        <w:rPr>
          <w:rFonts w:hint="eastAsia" w:ascii="仿宋_GB2312" w:hAnsi="楷体" w:eastAsia="仿宋_GB2312" w:cs="宋体"/>
          <w:kern w:val="0"/>
          <w:sz w:val="32"/>
        </w:rPr>
        <w:t>。</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（4）起止时间。2024年1月1日-2024年12月31日。</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（5）项目内容。查处交通运输违法行为，负责全县交通部门路政、运政、治超、工程质量监督等执法业务。</w:t>
      </w:r>
    </w:p>
    <w:p>
      <w:pPr>
        <w:widowControl/>
        <w:shd w:val="clear" w:color="auto" w:fill="FFFFFF"/>
        <w:spacing w:line="560" w:lineRule="exact"/>
        <w:ind w:firstLine="664" w:firstLineChars="200"/>
        <w:jc w:val="left"/>
        <w:rPr>
          <w:rFonts w:ascii="仿宋_GB2312" w:hAnsi="楷体" w:eastAsia="仿宋_GB2312" w:cs="宋体"/>
          <w:kern w:val="0"/>
          <w:sz w:val="32"/>
        </w:rPr>
      </w:pPr>
      <w:r>
        <w:rPr>
          <w:rFonts w:hint="eastAsia" w:ascii="仿宋_GB2312" w:hAnsi="楷体" w:eastAsia="仿宋_GB2312" w:cs="宋体"/>
          <w:kern w:val="0"/>
          <w:sz w:val="32"/>
        </w:rPr>
        <w:t>（6）年度预算安排。2024年该项目预算70.00万元，主要用于交通行政执法过程中产生的费用等。</w:t>
      </w:r>
    </w:p>
    <w:p>
      <w:pPr>
        <w:widowControl/>
        <w:shd w:val="clear" w:color="auto" w:fill="FFFFFF"/>
        <w:spacing w:line="560" w:lineRule="exact"/>
        <w:ind w:firstLine="664"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（7）绩效目标。贯彻执行国家和省、市相关方针政策和法律法规，查处交通运输违法行为；全面开展全县的交通部门路政、运政、治超、工程质量监督等执法业务。</w:t>
      </w:r>
    </w:p>
    <w:p>
      <w:pPr>
        <w:pStyle w:val="21"/>
        <w:spacing w:line="509" w:lineRule="exact"/>
        <w:ind w:left="756" w:right="761"/>
        <w:jc w:val="center"/>
      </w:pPr>
      <w:r>
        <w:br w:type="page"/>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695"/>
        <w:gridCol w:w="884"/>
        <w:gridCol w:w="1040"/>
        <w:gridCol w:w="4204"/>
        <w:gridCol w:w="2911"/>
        <w:gridCol w:w="3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000" w:type="pct"/>
            <w:gridSpan w:val="7"/>
            <w:tcBorders>
              <w:top w:val="nil"/>
              <w:left w:val="nil"/>
              <w:bottom w:val="nil"/>
              <w:right w:val="nil"/>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[122]五河县交通运输局</w:t>
            </w:r>
          </w:p>
        </w:tc>
        <w:tc>
          <w:tcPr>
            <w:tcW w:w="1027"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五河县交通运输综合行政执法大队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贯彻执行国家和省、市相关方针政策和法律法规，查处交通运输违法行为，负责全县交通部门路政、运政、治超、工程质量监督等执法业务。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路政、运政、治超、工程质量监督等</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交通运输违法行为查处率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行政处罚案件处理时间</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执法成本控制</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道路、水路、工程建设市场稳定性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交通运输市场稳定性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生态环境优良</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车辆超载违章、非法营运</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spacing w:after="6" w:line="223" w:lineRule="exact"/>
        <w:ind w:left="756" w:right="761"/>
        <w:jc w:val="center"/>
        <w:rPr>
          <w:sz w:val="20"/>
        </w:rPr>
      </w:pPr>
    </w:p>
    <w:p>
      <w:pPr>
        <w:widowControl/>
        <w:adjustRightInd w:val="0"/>
        <w:snapToGrid w:val="0"/>
        <w:spacing w:line="560" w:lineRule="exact"/>
        <w:ind w:firstLine="664"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（二）机关运行经费。</w:t>
      </w:r>
    </w:p>
    <w:p>
      <w:pPr>
        <w:adjustRightInd w:val="0"/>
        <w:snapToGrid w:val="0"/>
        <w:spacing w:line="560" w:lineRule="exact"/>
        <w:ind w:firstLine="664" w:firstLineChars="200"/>
        <w:rPr>
          <w:rFonts w:eastAsia="仿宋_GB2312"/>
          <w:sz w:val="32"/>
          <w:szCs w:val="32"/>
        </w:rPr>
      </w:pPr>
      <w:r>
        <w:rPr>
          <w:rFonts w:hint="eastAsia" w:ascii="仿宋_GB2312" w:hAnsi="仿宋" w:eastAsia="仿宋_GB2312"/>
          <w:sz w:val="32"/>
          <w:szCs w:val="32"/>
        </w:rPr>
        <w:t>五河县交通运输综合行政执法大队</w:t>
      </w:r>
      <w:r>
        <w:rPr>
          <w:rFonts w:eastAsia="仿宋_GB2312"/>
          <w:sz w:val="32"/>
          <w:szCs w:val="32"/>
        </w:rPr>
        <w:t>为非参照公务员法管理的事业单位，按照单位预算机关运行经费口径，2024年无机关运行经费财政拨款预算。</w:t>
      </w:r>
    </w:p>
    <w:p>
      <w:pPr>
        <w:pStyle w:val="21"/>
        <w:spacing w:line="560" w:lineRule="exact"/>
        <w:ind w:left="0" w:firstLine="664" w:firstLineChars="200"/>
        <w:rPr>
          <w:rFonts w:ascii="仿宋_GB2312" w:hAnsi="楷体" w:eastAsia="仿宋_GB2312" w:cs="宋体"/>
          <w:bCs w:val="0"/>
          <w:szCs w:val="22"/>
        </w:rPr>
      </w:pPr>
      <w:r>
        <w:rPr>
          <w:rFonts w:ascii="仿宋_GB2312" w:hAnsi="楷体" w:eastAsia="仿宋_GB2312" w:cs="宋体"/>
          <w:bCs w:val="0"/>
          <w:szCs w:val="22"/>
        </w:rPr>
        <w:t>（三）政府采购情况。</w:t>
      </w:r>
    </w:p>
    <w:p>
      <w:pPr>
        <w:pStyle w:val="21"/>
        <w:spacing w:line="560" w:lineRule="exact"/>
        <w:ind w:left="0" w:firstLine="664" w:firstLineChars="200"/>
        <w:rPr>
          <w:rFonts w:hint="eastAsia" w:ascii="仿宋_GB2312" w:hAnsi="仿宋" w:eastAsia="仿宋_GB2312" w:cs="宋体"/>
          <w:b w:val="0"/>
          <w:bCs w:val="0"/>
        </w:rPr>
      </w:pPr>
      <w:r>
        <w:rPr>
          <w:rFonts w:hint="eastAsia" w:ascii="仿宋_GB2312" w:hAnsi="仿宋" w:eastAsia="仿宋_GB2312" w:cs="Times New Roman"/>
          <w:b w:val="0"/>
          <w:bCs w:val="0"/>
          <w:kern w:val="2"/>
        </w:rPr>
        <w:t>五河县交通运输综合行政执法大队</w:t>
      </w:r>
      <w:r>
        <w:rPr>
          <w:rFonts w:hint="eastAsia" w:ascii="仿宋_GB2312" w:hAnsi="仿宋" w:eastAsia="仿宋_GB2312" w:cs="宋体"/>
          <w:b w:val="0"/>
          <w:bCs w:val="0"/>
        </w:rPr>
        <w:t>2024年政府采购预算0.3万元。其中：政府采购货物预算0.3万元。</w:t>
      </w:r>
    </w:p>
    <w:p>
      <w:pPr>
        <w:adjustRightInd w:val="0"/>
        <w:snapToGrid w:val="0"/>
        <w:spacing w:line="560" w:lineRule="exact"/>
        <w:ind w:firstLine="664" w:firstLineChars="200"/>
        <w:rPr>
          <w:rFonts w:hint="eastAsia" w:ascii="仿宋_GB2312" w:hAnsi="楷体" w:eastAsia="仿宋_GB2312" w:cs="宋体"/>
          <w:b/>
          <w:kern w:val="0"/>
          <w:sz w:val="32"/>
        </w:rPr>
      </w:pPr>
      <w:r>
        <w:rPr>
          <w:rFonts w:hint="eastAsia" w:ascii="仿宋_GB2312" w:hAnsi="楷体" w:eastAsia="仿宋_GB2312" w:cs="宋体"/>
          <w:b/>
          <w:kern w:val="0"/>
          <w:sz w:val="32"/>
        </w:rPr>
        <w:t>（四）国有资产占有使用情况。</w:t>
      </w:r>
    </w:p>
    <w:p>
      <w:pPr>
        <w:adjustRightInd w:val="0"/>
        <w:snapToGrid w:val="0"/>
        <w:spacing w:line="560" w:lineRule="exact"/>
        <w:ind w:firstLine="664" w:firstLineChars="200"/>
        <w:rPr>
          <w:rFonts w:ascii="TimesNewRoman" w:hAnsi="TimesNewRoman" w:eastAsia="仿宋_GB2312" w:cs="TimesNewRoman"/>
          <w:sz w:val="32"/>
          <w:szCs w:val="32"/>
        </w:rPr>
      </w:pPr>
      <w:r>
        <w:rPr>
          <w:rFonts w:hint="eastAsia" w:ascii="仿宋_GB2312" w:hAnsi="仿宋_GB2312" w:eastAsia="仿宋_GB2312" w:cs="仿宋_GB2312"/>
          <w:bCs/>
          <w:kern w:val="0"/>
          <w:sz w:val="32"/>
        </w:rPr>
        <w:t>截至2023年12月31日，</w:t>
      </w:r>
      <w:r>
        <w:rPr>
          <w:rFonts w:hint="eastAsia" w:ascii="仿宋_GB2312" w:hAnsi="仿宋" w:eastAsia="仿宋_GB2312"/>
          <w:sz w:val="32"/>
          <w:szCs w:val="32"/>
        </w:rPr>
        <w:t>五河县交通运输综合行政执法大队</w:t>
      </w:r>
      <w:r>
        <w:rPr>
          <w:rFonts w:hint="eastAsia" w:ascii="仿宋_GB2312" w:hAnsi="仿宋_GB2312" w:eastAsia="仿宋_GB2312" w:cs="仿宋_GB2312"/>
          <w:bCs/>
          <w:kern w:val="0"/>
          <w:sz w:val="32"/>
          <w:szCs w:val="32"/>
        </w:rPr>
        <w:t>共有车辆3辆，其中：</w:t>
      </w:r>
      <w:r>
        <w:rPr>
          <w:rFonts w:ascii="TimesNewRoman" w:hAnsi="TimesNewRoman" w:eastAsia="仿宋_GB2312" w:cs="TimesNewRoman"/>
          <w:sz w:val="32"/>
          <w:szCs w:val="32"/>
        </w:rPr>
        <w:t>其他用车</w:t>
      </w:r>
      <w:r>
        <w:rPr>
          <w:rFonts w:hint="eastAsia" w:ascii="TimesNewRoman" w:hAnsi="TimesNewRoman" w:eastAsia="仿宋_GB2312" w:cs="TimesNewRoman"/>
          <w:sz w:val="32"/>
          <w:szCs w:val="32"/>
        </w:rPr>
        <w:t>3</w:t>
      </w:r>
      <w:r>
        <w:rPr>
          <w:rFonts w:ascii="TimesNewRoman" w:hAnsi="TimesNewRoman" w:eastAsia="仿宋_GB2312" w:cs="TimesNewRoman"/>
          <w:sz w:val="32"/>
          <w:szCs w:val="32"/>
        </w:rPr>
        <w:t>辆。单价50万元以上的通用设备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台（套），单价100万元以上的专用设备</w:t>
      </w:r>
      <w:r>
        <w:rPr>
          <w:rFonts w:hint="eastAsia" w:ascii="TimesNewRoman" w:hAnsi="TimesNewRoman" w:eastAsia="仿宋_GB2312" w:cs="TimesNewRoman"/>
          <w:sz w:val="32"/>
          <w:szCs w:val="32"/>
        </w:rPr>
        <w:t>1</w:t>
      </w:r>
      <w:r>
        <w:rPr>
          <w:rFonts w:ascii="TimesNewRoman" w:hAnsi="TimesNewRoman" w:eastAsia="仿宋_GB2312" w:cs="TimesNewRoman"/>
          <w:sz w:val="32"/>
          <w:szCs w:val="32"/>
        </w:rPr>
        <w:t>台（套）。</w:t>
      </w:r>
    </w:p>
    <w:p>
      <w:pPr>
        <w:adjustRightInd w:val="0"/>
        <w:snapToGrid w:val="0"/>
        <w:spacing w:line="560" w:lineRule="exact"/>
        <w:ind w:firstLine="664" w:firstLineChars="200"/>
        <w:rPr>
          <w:rFonts w:hint="eastAsia" w:ascii="仿宋_GB2312" w:hAnsi="楷体" w:eastAsia="仿宋_GB2312"/>
          <w:sz w:val="32"/>
          <w:szCs w:val="32"/>
        </w:rPr>
      </w:pPr>
      <w:r>
        <w:rPr>
          <w:rFonts w:hint="eastAsia" w:ascii="仿宋_GB2312" w:hAnsi="楷体" w:eastAsia="仿宋_GB2312"/>
          <w:sz w:val="32"/>
          <w:szCs w:val="32"/>
        </w:rPr>
        <w:t>2024年单位预算安排购置公务用车0辆，购置费0万元</w:t>
      </w:r>
      <w:r>
        <w:rPr>
          <w:rFonts w:ascii="TimesNewRoman" w:hAnsi="TimesNewRoman" w:eastAsia="仿宋_GB2312" w:cs="TimesNewRoman"/>
          <w:sz w:val="32"/>
          <w:szCs w:val="32"/>
        </w:rPr>
        <w:t>。</w:t>
      </w:r>
      <w:r>
        <w:rPr>
          <w:rFonts w:hint="eastAsia" w:ascii="仿宋_GB2312" w:hAnsi="楷体" w:eastAsia="仿宋_GB2312"/>
          <w:sz w:val="32"/>
          <w:szCs w:val="32"/>
        </w:rPr>
        <w:t>安排购置单位价值50万元以上的通用设备0台（套），购置费0万元；安排购置单位价值100万元以上专用设备0台（套），购置费0万元。</w:t>
      </w:r>
    </w:p>
    <w:p>
      <w:pPr>
        <w:widowControl/>
        <w:shd w:val="clear" w:color="auto" w:fill="FFFFFF"/>
        <w:spacing w:line="560" w:lineRule="exact"/>
        <w:ind w:firstLine="664"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（五）绩效目标设置情况</w:t>
      </w:r>
    </w:p>
    <w:p>
      <w:pPr>
        <w:adjustRightInd w:val="0"/>
        <w:snapToGrid w:val="0"/>
        <w:spacing w:line="560" w:lineRule="exact"/>
        <w:ind w:firstLine="664" w:firstLineChars="200"/>
        <w:outlineLvl w:val="0"/>
        <w:rPr>
          <w:rFonts w:ascii="TimesNewRoman" w:hAnsi="TimesNewRoman" w:eastAsia="仿宋_GB2312" w:cs="TimesNewRoman"/>
          <w:sz w:val="32"/>
          <w:szCs w:val="32"/>
        </w:rPr>
      </w:pPr>
      <w:r>
        <w:rPr>
          <w:rFonts w:hint="eastAsia" w:ascii="仿宋_GB2312" w:hAnsi="楷体" w:eastAsia="仿宋_GB2312" w:cs="宋体"/>
          <w:kern w:val="0"/>
          <w:sz w:val="32"/>
        </w:rPr>
        <w:t>按照中共五河县委 五河县人民政府关于印发《全面实施预算绩效管理的实施办法》的通知（五发〔2020〕12号）要求，</w:t>
      </w:r>
      <w:r>
        <w:rPr>
          <w:rFonts w:hint="eastAsia" w:ascii="仿宋_GB2312" w:hAnsi="仿宋" w:eastAsia="仿宋_GB2312"/>
          <w:sz w:val="32"/>
          <w:szCs w:val="32"/>
        </w:rPr>
        <w:t>五河县交通运输综合行政执法大队1</w:t>
      </w:r>
      <w:r>
        <w:rPr>
          <w:rFonts w:ascii="TimesNewRoman" w:hAnsi="TimesNewRoman" w:eastAsia="仿宋_GB2312" w:cs="TimesNewRoman"/>
          <w:sz w:val="32"/>
          <w:szCs w:val="32"/>
        </w:rPr>
        <w:t>个项目实行了绩效目标管理，预算总金额为</w:t>
      </w:r>
      <w:r>
        <w:rPr>
          <w:rFonts w:hint="eastAsia" w:ascii="TimesNewRoman" w:hAnsi="TimesNewRoman" w:eastAsia="仿宋_GB2312" w:cs="TimesNewRoman"/>
          <w:sz w:val="32"/>
          <w:szCs w:val="32"/>
        </w:rPr>
        <w:t>70</w:t>
      </w:r>
      <w:r>
        <w:rPr>
          <w:rFonts w:ascii="TimesNewRoman" w:hAnsi="TimesNewRoman" w:eastAsia="仿宋_GB2312" w:cs="TimesNewRoman"/>
          <w:sz w:val="32"/>
          <w:szCs w:val="32"/>
        </w:rPr>
        <w:t>万元，其中，涉及一般公共预算当年财政拨款</w:t>
      </w:r>
      <w:r>
        <w:rPr>
          <w:rFonts w:hint="eastAsia" w:ascii="TimesNewRoman" w:hAnsi="TimesNewRoman" w:eastAsia="仿宋_GB2312" w:cs="TimesNewRoman"/>
          <w:sz w:val="32"/>
          <w:szCs w:val="32"/>
        </w:rPr>
        <w:t>70</w:t>
      </w:r>
      <w:r>
        <w:rPr>
          <w:rFonts w:ascii="TimesNewRoman" w:hAnsi="TimesNewRoman" w:eastAsia="仿宋_GB2312" w:cs="TimesNewRoman"/>
          <w:sz w:val="32"/>
          <w:szCs w:val="32"/>
        </w:rPr>
        <w:t>万元。</w:t>
      </w:r>
    </w:p>
    <w:p>
      <w:pPr>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 名词解释</w:t>
      </w:r>
    </w:p>
    <w:p>
      <w:pPr>
        <w:adjustRightInd w:val="0"/>
        <w:snapToGrid w:val="0"/>
        <w:spacing w:line="560" w:lineRule="exact"/>
        <w:jc w:val="center"/>
        <w:rPr>
          <w:rFonts w:ascii="TimesNewRoman" w:hAnsi="TimesNewRoman" w:eastAsia="黑体" w:cs="TimesNewRoman"/>
          <w:sz w:val="32"/>
          <w:szCs w:val="32"/>
        </w:rPr>
      </w:pPr>
    </w:p>
    <w:p>
      <w:pPr>
        <w:adjustRightInd w:val="0"/>
        <w:snapToGrid w:val="0"/>
        <w:spacing w:line="560" w:lineRule="exact"/>
        <w:ind w:firstLine="664" w:firstLineChars="200"/>
        <w:rPr>
          <w:rFonts w:ascii="TimesNewRoman" w:hAnsi="TimesNewRoman" w:eastAsia="仿宋_GB2312" w:cs="TimesNewRoman"/>
          <w:sz w:val="32"/>
          <w:szCs w:val="32"/>
        </w:rPr>
      </w:pPr>
      <w:r>
        <w:rPr>
          <w:rFonts w:ascii="TimesNewRoman" w:hAnsi="TimesNewRoman" w:eastAsia="黑体" w:cs="TimesNewRoman"/>
          <w:sz w:val="32"/>
          <w:szCs w:val="32"/>
        </w:rPr>
        <w:t>一、财政拨款收入</w:t>
      </w:r>
      <w:r>
        <w:rPr>
          <w:rFonts w:ascii="TimesNewRoman" w:hAnsi="TimesNewRoman" w:eastAsia="仿宋_GB2312" w:cs="TimesNewRoman"/>
          <w:b/>
          <w:sz w:val="32"/>
          <w:szCs w:val="32"/>
        </w:rPr>
        <w:t>：</w:t>
      </w:r>
      <w:r>
        <w:rPr>
          <w:rFonts w:ascii="TimesNewRoman" w:hAnsi="TimesNewRoman" w:eastAsia="仿宋_GB2312" w:cs="TimesNewRoman"/>
          <w:sz w:val="32"/>
          <w:szCs w:val="32"/>
        </w:rPr>
        <w:t>指</w:t>
      </w:r>
      <w:r>
        <w:rPr>
          <w:rFonts w:hint="eastAsia" w:ascii="TimesNewRoman" w:hAnsi="TimesNewRoman" w:eastAsia="仿宋_GB2312" w:cs="TimesNewRoman"/>
          <w:sz w:val="32"/>
          <w:szCs w:val="32"/>
        </w:rPr>
        <w:t>单位</w:t>
      </w:r>
      <w:r>
        <w:rPr>
          <w:rFonts w:ascii="TimesNewRoman" w:hAnsi="TimesNewRoman" w:eastAsia="仿宋_GB2312" w:cs="TimesNewRoman"/>
          <w:sz w:val="32"/>
          <w:szCs w:val="32"/>
        </w:rPr>
        <w:t>或单位从同级财政</w:t>
      </w:r>
      <w:r>
        <w:rPr>
          <w:rFonts w:hint="eastAsia" w:ascii="TimesNewRoman" w:hAnsi="TimesNewRoman" w:eastAsia="仿宋_GB2312" w:cs="TimesNewRoman"/>
          <w:sz w:val="32"/>
          <w:szCs w:val="32"/>
        </w:rPr>
        <w:t>单位</w:t>
      </w:r>
      <w:r>
        <w:rPr>
          <w:rFonts w:ascii="TimesNewRoman" w:hAnsi="TimesNewRoman" w:eastAsia="仿宋_GB2312" w:cs="TimesNewRoman"/>
          <w:sz w:val="32"/>
          <w:szCs w:val="32"/>
        </w:rPr>
        <w:t>取得的财政预算资金。</w:t>
      </w:r>
    </w:p>
    <w:p>
      <w:pPr>
        <w:adjustRightInd w:val="0"/>
        <w:snapToGrid w:val="0"/>
        <w:spacing w:line="560" w:lineRule="exact"/>
        <w:ind w:firstLine="650" w:firstLineChars="196"/>
        <w:rPr>
          <w:rFonts w:ascii="TimesNewRoman" w:hAnsi="TimesNewRoman" w:eastAsia="黑体" w:cs="TimesNewRoman"/>
          <w:sz w:val="32"/>
          <w:szCs w:val="32"/>
        </w:rPr>
      </w:pPr>
      <w:r>
        <w:rPr>
          <w:rFonts w:ascii="TimesNewRoman" w:hAnsi="TimesNewRoman" w:eastAsia="黑体" w:cs="TimesNewRoman"/>
          <w:sz w:val="32"/>
          <w:szCs w:val="32"/>
        </w:rPr>
        <w:t>二、事业收入：</w:t>
      </w:r>
      <w:r>
        <w:rPr>
          <w:rFonts w:ascii="TimesNewRoman" w:hAnsi="TimesNewRoman" w:eastAsia="仿宋_GB2312" w:cs="TimesNewRoman"/>
          <w:sz w:val="32"/>
          <w:szCs w:val="32"/>
        </w:rPr>
        <w:t>指事业单位开展专业业务活动及辅助活动所取得的收入。</w:t>
      </w:r>
    </w:p>
    <w:p>
      <w:pPr>
        <w:adjustRightInd w:val="0"/>
        <w:snapToGrid w:val="0"/>
        <w:spacing w:line="560" w:lineRule="exact"/>
        <w:ind w:firstLine="650" w:firstLineChars="196"/>
        <w:rPr>
          <w:rFonts w:hint="eastAsia" w:ascii="TimesNewRoman" w:hAnsi="TimesNewRoman" w:eastAsia="黑体" w:cs="TimesNewRoman"/>
          <w:sz w:val="32"/>
          <w:szCs w:val="32"/>
        </w:rPr>
      </w:pPr>
      <w:r>
        <w:rPr>
          <w:rFonts w:ascii="TimesNewRoman" w:hAnsi="TimesNewRoman" w:eastAsia="黑体" w:cs="TimesNewRoman"/>
          <w:sz w:val="32"/>
          <w:szCs w:val="32"/>
        </w:rPr>
        <w:t>三、社会保障和就业支出：</w:t>
      </w:r>
      <w:r>
        <w:rPr>
          <w:rFonts w:ascii="TimesNewRoman" w:hAnsi="TimesNewRoman" w:eastAsia="仿宋_GB2312" w:cs="TimesNewRoman"/>
          <w:sz w:val="32"/>
          <w:szCs w:val="32"/>
        </w:rPr>
        <w:t>反映用于在社会保障和就业方面的支出，主要用于本单位人员方面的支出。</w:t>
      </w:r>
    </w:p>
    <w:p>
      <w:pPr>
        <w:adjustRightInd w:val="0"/>
        <w:snapToGrid w:val="0"/>
        <w:spacing w:line="560" w:lineRule="exact"/>
        <w:ind w:firstLine="650" w:firstLineChars="196"/>
        <w:rPr>
          <w:rFonts w:ascii="TimesNewRoman" w:hAnsi="TimesNewRoman" w:eastAsia="仿宋_GB2312" w:cs="TimesNewRoman"/>
          <w:sz w:val="32"/>
          <w:szCs w:val="32"/>
        </w:rPr>
      </w:pPr>
      <w:r>
        <w:rPr>
          <w:rFonts w:ascii="TimesNewRoman" w:hAnsi="TimesNewRoman" w:eastAsia="黑体" w:cs="TimesNewRoman"/>
          <w:sz w:val="32"/>
          <w:szCs w:val="32"/>
        </w:rPr>
        <w:t>四、基本支出</w:t>
      </w:r>
      <w:r>
        <w:rPr>
          <w:rFonts w:ascii="TimesNewRoman" w:hAnsi="TimesNewRoman" w:eastAsia="仿宋_GB2312" w:cs="TimesNewRoman"/>
          <w:b/>
          <w:sz w:val="32"/>
          <w:szCs w:val="32"/>
        </w:rPr>
        <w:t>：</w:t>
      </w:r>
      <w:r>
        <w:rPr>
          <w:rFonts w:ascii="TimesNewRoman" w:hAnsi="TimesNewRoman" w:eastAsia="仿宋_GB2312" w:cs="TimesNewRoman"/>
          <w:sz w:val="32"/>
          <w:szCs w:val="32"/>
        </w:rPr>
        <w:t>指为保障机构正常运转、完成日常工作任务而发生的人员支出和公用支出。</w:t>
      </w:r>
    </w:p>
    <w:p>
      <w:pPr>
        <w:spacing w:line="560" w:lineRule="exact"/>
        <w:ind w:firstLine="650" w:firstLineChars="196"/>
        <w:rPr>
          <w:rFonts w:ascii="TimesNewRoman" w:hAnsi="TimesNewRoman" w:eastAsia="仿宋_GB2312" w:cs="TimesNewRoman"/>
          <w:color w:val="FF0000"/>
          <w:sz w:val="32"/>
          <w:szCs w:val="32"/>
        </w:rPr>
      </w:pPr>
      <w:r>
        <w:rPr>
          <w:rFonts w:hint="eastAsia" w:ascii="TimesNewRoman" w:hAnsi="TimesNewRoman" w:eastAsia="黑体" w:cs="TimesNewRoman"/>
          <w:sz w:val="32"/>
          <w:szCs w:val="32"/>
        </w:rPr>
        <w:t>四</w:t>
      </w:r>
      <w:r>
        <w:rPr>
          <w:rFonts w:ascii="TimesNewRoman" w:hAnsi="TimesNewRoman" w:eastAsia="黑体" w:cs="TimesNewRoman"/>
          <w:sz w:val="32"/>
          <w:szCs w:val="32"/>
        </w:rPr>
        <w:t>、项目支出</w:t>
      </w:r>
      <w:r>
        <w:rPr>
          <w:rFonts w:ascii="TimesNewRoman" w:hAnsi="TimesNewRoman" w:eastAsia="仿宋_GB2312" w:cs="TimesNewRoman"/>
          <w:b/>
          <w:sz w:val="32"/>
          <w:szCs w:val="32"/>
        </w:rPr>
        <w:t>：</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TimesNewRoman" w:hAnsi="TimesNewRoman" w:eastAsia="黑体" w:cs="TimesNewRoman"/>
          <w:sz w:val="32"/>
          <w:szCs w:val="32"/>
        </w:rPr>
        <w:t xml:space="preserve">    </w:t>
      </w:r>
      <w:r>
        <w:rPr>
          <w:rFonts w:hint="eastAsia" w:ascii="TimesNewRoman" w:hAnsi="TimesNewRoman" w:eastAsia="黑体" w:cs="TimesNewRoman"/>
          <w:sz w:val="32"/>
          <w:szCs w:val="32"/>
        </w:rPr>
        <w:t>五</w:t>
      </w:r>
      <w:r>
        <w:rPr>
          <w:rFonts w:ascii="TimesNewRoman" w:hAnsi="TimesNewRoman" w:eastAsia="黑体" w:cs="TimesNewRoman"/>
          <w:sz w:val="32"/>
          <w:szCs w:val="32"/>
        </w:rPr>
        <w:t>、一般公共服务支出（类）财政事务（款）财政国库业务：</w:t>
      </w:r>
      <w:r>
        <w:rPr>
          <w:rFonts w:ascii="TimesNewRoman" w:hAnsi="TimesNewRoman" w:eastAsia="仿宋_GB2312" w:cs="TimesNewRoman"/>
          <w:sz w:val="32"/>
          <w:szCs w:val="32"/>
        </w:rPr>
        <w:t>反映省财政厅用于国库集中收付业务方面的支出。</w:t>
      </w:r>
    </w:p>
    <w:p>
      <w:pPr>
        <w:adjustRightInd w:val="0"/>
        <w:snapToGrid w:val="0"/>
        <w:spacing w:line="560" w:lineRule="exact"/>
        <w:ind w:firstLine="650" w:firstLineChars="196"/>
        <w:rPr>
          <w:rFonts w:ascii="TimesNewRoman" w:hAnsi="TimesNewRoman" w:eastAsia="仿宋_GB2312" w:cs="TimesNewRoman"/>
          <w:sz w:val="32"/>
          <w:szCs w:val="32"/>
        </w:rPr>
      </w:pPr>
      <w:r>
        <w:rPr>
          <w:rFonts w:hint="eastAsia" w:ascii="TimesNewRoman" w:hAnsi="TimesNewRoman" w:eastAsia="黑体" w:cs="TimesNewRoman"/>
          <w:sz w:val="32"/>
          <w:szCs w:val="32"/>
        </w:rPr>
        <w:t>六</w:t>
      </w:r>
      <w:r>
        <w:rPr>
          <w:rFonts w:ascii="TimesNewRoman" w:hAnsi="TimesNewRoman" w:eastAsia="仿宋_GB2312" w:cs="TimesNewRoman"/>
          <w:sz w:val="32"/>
          <w:szCs w:val="32"/>
        </w:rPr>
        <w:t>、“三公经费”：指单位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购置支出（含车辆购置税）及燃料费、维修费、过路过桥费、保险费、安全奖励费用等支出；公务接待费反映单位按规定开支的各类公务接待（含外宾接待）支出。</w:t>
      </w:r>
    </w:p>
    <w:p>
      <w:pPr>
        <w:spacing w:line="560" w:lineRule="exact"/>
        <w:ind w:firstLine="498" w:firstLineChars="150"/>
        <w:rPr>
          <w:rStyle w:val="11"/>
          <w:rFonts w:ascii="TimesNewRoman" w:hAnsi="TimesNewRoman" w:eastAsia="楷体_GB2312" w:cs="TimesNewRoman"/>
          <w:b w:val="0"/>
          <w:color w:val="FF0000"/>
          <w:sz w:val="32"/>
          <w:szCs w:val="32"/>
        </w:rPr>
      </w:pPr>
    </w:p>
    <w:p>
      <w:pPr>
        <w:spacing w:line="560" w:lineRule="exact"/>
        <w:jc w:val="center"/>
        <w:rPr>
          <w:rFonts w:ascii="黑体" w:hAnsi="Calibri" w:eastAsia="黑体"/>
          <w:sz w:val="36"/>
          <w:szCs w:val="36"/>
        </w:rPr>
      </w:pPr>
      <w:r>
        <w:rPr>
          <w:rFonts w:hint="eastAsia" w:ascii="黑体" w:eastAsia="黑体"/>
          <w:sz w:val="36"/>
          <w:szCs w:val="36"/>
        </w:rPr>
        <w:br w:type="page"/>
      </w:r>
      <w:r>
        <w:rPr>
          <w:rFonts w:hint="eastAsia" w:ascii="黑体" w:eastAsia="黑体"/>
          <w:sz w:val="36"/>
          <w:szCs w:val="36"/>
        </w:rPr>
        <w:t xml:space="preserve">第四部分    </w:t>
      </w:r>
      <w:r>
        <w:rPr>
          <w:rFonts w:hint="eastAsia" w:ascii="黑体" w:hAnsi="Calibri" w:eastAsia="黑体"/>
          <w:sz w:val="36"/>
          <w:szCs w:val="36"/>
        </w:rPr>
        <w:t>2024年单位预算公开附表</w:t>
      </w:r>
    </w:p>
    <w:p>
      <w:pPr>
        <w:jc w:val="left"/>
        <w:rPr>
          <w:rFonts w:ascii="TimesNewRoman" w:hAnsi="TimesNewRoman" w:cs="TimesNewRoman"/>
          <w:kern w:val="0"/>
          <w:sz w:val="20"/>
        </w:rPr>
      </w:pPr>
    </w:p>
    <w:p>
      <w:pPr>
        <w:jc w:val="left"/>
        <w:rPr>
          <w:rFonts w:ascii="TimesNewRoman" w:hAnsi="TimesNewRoman" w:cs="TimesNewRoman"/>
          <w:kern w:val="0"/>
          <w:sz w:val="20"/>
        </w:rPr>
      </w:pPr>
    </w:p>
    <w:p>
      <w:pPr>
        <w:autoSpaceDE w:val="0"/>
        <w:autoSpaceDN w:val="0"/>
        <w:adjustRightInd w:val="0"/>
        <w:spacing w:line="560" w:lineRule="exact"/>
        <w:ind w:firstLine="498" w:firstLineChars="150"/>
        <w:rPr>
          <w:rFonts w:hint="eastAsia" w:ascii="仿宋_GB2312" w:eastAsia="仿宋_GB2312" w:cs="FangSong_GB2312-Identity-H"/>
          <w:kern w:val="0"/>
          <w:sz w:val="32"/>
          <w:szCs w:val="32"/>
        </w:rPr>
      </w:pPr>
      <w:r>
        <w:rPr>
          <w:rFonts w:hint="eastAsia" w:ascii="仿宋_GB2312" w:eastAsia="仿宋_GB2312" w:cs="FangSong_GB2312-Identity-H"/>
          <w:kern w:val="0"/>
          <w:sz w:val="32"/>
          <w:szCs w:val="32"/>
        </w:rPr>
        <w:t>附件1：</w:t>
      </w:r>
      <w:r>
        <w:rPr>
          <w:rFonts w:hint="eastAsia" w:ascii="仿宋_GB2312" w:hAnsi="仿宋" w:eastAsia="仿宋_GB2312"/>
          <w:sz w:val="32"/>
          <w:szCs w:val="32"/>
        </w:rPr>
        <w:t>五河县交通运输综合行政执法大队</w:t>
      </w:r>
      <w:r>
        <w:rPr>
          <w:rFonts w:hint="eastAsia" w:ascii="仿宋_GB2312" w:eastAsia="仿宋_GB2312" w:cs="FangSong_GB2312-Identity-H"/>
          <w:kern w:val="0"/>
          <w:sz w:val="32"/>
          <w:szCs w:val="32"/>
        </w:rPr>
        <w:t>2024年单位预算表</w:t>
      </w:r>
    </w:p>
    <w:p>
      <w:pPr>
        <w:autoSpaceDE w:val="0"/>
        <w:autoSpaceDN w:val="0"/>
        <w:adjustRightInd w:val="0"/>
        <w:spacing w:line="560" w:lineRule="exact"/>
        <w:ind w:firstLine="498" w:firstLineChars="150"/>
        <w:rPr>
          <w:rFonts w:hint="eastAsia" w:ascii="仿宋_GB2312" w:hAnsi="Calibri" w:eastAsia="仿宋_GB2312" w:cs="FangSong_GB2312-Identity-H"/>
          <w:kern w:val="0"/>
          <w:sz w:val="32"/>
          <w:szCs w:val="32"/>
        </w:rPr>
      </w:pPr>
      <w:r>
        <w:rPr>
          <w:rFonts w:hint="eastAsia" w:ascii="仿宋_GB2312" w:eastAsia="仿宋_GB2312" w:cs="FangSong_GB2312-Identity-H"/>
          <w:kern w:val="0"/>
          <w:sz w:val="32"/>
          <w:szCs w:val="32"/>
        </w:rPr>
        <w:t>附件2：</w:t>
      </w:r>
      <w:r>
        <w:rPr>
          <w:rFonts w:hint="eastAsia" w:ascii="仿宋_GB2312" w:hAnsi="仿宋" w:eastAsia="仿宋_GB2312"/>
          <w:sz w:val="32"/>
          <w:szCs w:val="32"/>
        </w:rPr>
        <w:t>五河县交通运输综合行政执法大队</w:t>
      </w:r>
      <w:r>
        <w:rPr>
          <w:rFonts w:hint="eastAsia" w:ascii="仿宋_GB2312" w:hAnsi="Calibri" w:eastAsia="仿宋_GB2312" w:cs="FangSong_GB2312-Identity-H"/>
          <w:kern w:val="0"/>
          <w:sz w:val="32"/>
          <w:szCs w:val="32"/>
        </w:rPr>
        <w:t>2024年单位项目绩效目标表</w:t>
      </w:r>
    </w:p>
    <w:p>
      <w:pPr>
        <w:jc w:val="left"/>
        <w:rPr>
          <w:rFonts w:ascii="TimesNewRoman" w:hAnsi="TimesNewRoman" w:cs="TimesNewRoman"/>
          <w:kern w:val="0"/>
          <w:sz w:val="20"/>
        </w:rPr>
      </w:pPr>
    </w:p>
    <w:p>
      <w:pPr>
        <w:autoSpaceDE w:val="0"/>
        <w:autoSpaceDN w:val="0"/>
        <w:adjustRightIn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附件1:</w:t>
      </w:r>
    </w:p>
    <w:p>
      <w:pPr>
        <w:autoSpaceDE w:val="0"/>
        <w:autoSpaceDN w:val="0"/>
        <w:adjustRightInd w:val="0"/>
        <w:spacing w:line="560" w:lineRule="exact"/>
        <w:jc w:val="center"/>
        <w:rPr>
          <w:rFonts w:hint="eastAsia" w:ascii="楷体" w:hAnsi="楷体" w:eastAsia="楷体" w:cs="楷体"/>
          <w:kern w:val="0"/>
          <w:sz w:val="32"/>
          <w:szCs w:val="32"/>
        </w:rPr>
      </w:pPr>
      <w:r>
        <w:rPr>
          <w:rFonts w:hint="eastAsia" w:ascii="方正黑体_GBK" w:hAnsi="方正黑体_GBK" w:eastAsia="方正黑体_GBK" w:cs="方正黑体_GBK"/>
          <w:sz w:val="32"/>
          <w:szCs w:val="32"/>
          <w:lang w:val="en-US" w:eastAsia="zh-CN"/>
        </w:rPr>
        <w:t>五河县交通运输综合行政执法大队</w:t>
      </w:r>
      <w:r>
        <w:rPr>
          <w:rFonts w:hint="eastAsia" w:ascii="方正黑体_GBK" w:hAnsi="方正黑体_GBK" w:eastAsia="方正黑体_GBK" w:cs="方正黑体_GBK"/>
          <w:sz w:val="32"/>
          <w:szCs w:val="32"/>
        </w:rPr>
        <w:t>2024年单位预算表</w:t>
      </w:r>
    </w:p>
    <w:p>
      <w:pPr>
        <w:jc w:val="left"/>
        <w:rPr>
          <w:rFonts w:ascii="TimesNewRoman" w:hAnsi="TimesNewRoman" w:cs="TimesNewRoman"/>
          <w:kern w:val="0"/>
          <w:sz w:val="20"/>
        </w:rPr>
      </w:pPr>
    </w:p>
    <w:p>
      <w:pPr>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3"/>
        <w:gridCol w:w="1581"/>
        <w:gridCol w:w="3658"/>
        <w:gridCol w:w="4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3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单位公开表1</w:t>
            </w:r>
          </w:p>
        </w:tc>
        <w:tc>
          <w:tcPr>
            <w:tcW w:w="55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29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41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29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129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4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收            入 </w:t>
            </w:r>
          </w:p>
        </w:tc>
        <w:tc>
          <w:tcPr>
            <w:tcW w:w="2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收入项目</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纳入国库管理的非税收入</w:t>
            </w:r>
          </w:p>
        </w:tc>
        <w:tc>
          <w:tcPr>
            <w:tcW w:w="55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Calibri" w:hAnsi="Calibri"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70.0</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七、文化旅游体育传媒支出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四、财政专户管理资金收入（教育收费）</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五、单位资金收入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其中：事业收入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事业单位经营收入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上级补助收入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附属单位上缴收入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十四、资源勘探信息等支出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auto"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二十三、预备费</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cs="Calibri"/>
                <w:i w:val="0"/>
                <w:iCs w:val="0"/>
                <w:color w:val="000000"/>
                <w:sz w:val="22"/>
                <w:szCs w:val="22"/>
                <w:u w:val="none"/>
              </w:rPr>
            </w:pPr>
          </w:p>
        </w:tc>
        <w:tc>
          <w:tcPr>
            <w:tcW w:w="55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二十四、其他支出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二十五、转移性支出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二十六、债务还本支出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二十七、债务付息支出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二十八、债务发行费用支出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二十九、抗疫特别国债安排的支出</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本年收入小计</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本年支出小计</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上年结转数</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1310.4</w:t>
            </w:r>
          </w:p>
        </w:tc>
      </w:tr>
    </w:tbl>
    <w:p>
      <w:pPr>
        <w:jc w:val="left"/>
        <w:rPr>
          <w:rFonts w:hint="eastAsia" w:ascii="黑体" w:eastAsia="黑体"/>
          <w:sz w:val="36"/>
          <w:szCs w:val="36"/>
        </w:rPr>
      </w:pPr>
      <w:r>
        <w:rPr>
          <w:rFonts w:hint="eastAsia" w:ascii="黑体" w:eastAsia="黑体"/>
          <w:sz w:val="36"/>
          <w:szCs w:val="36"/>
        </w:rPr>
        <w:br w:type="page"/>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3870"/>
        <w:gridCol w:w="1080"/>
        <w:gridCol w:w="975"/>
        <w:gridCol w:w="973"/>
        <w:gridCol w:w="371"/>
        <w:gridCol w:w="371"/>
        <w:gridCol w:w="371"/>
        <w:gridCol w:w="371"/>
        <w:gridCol w:w="371"/>
        <w:gridCol w:w="371"/>
        <w:gridCol w:w="371"/>
        <w:gridCol w:w="371"/>
        <w:gridCol w:w="397"/>
        <w:gridCol w:w="371"/>
        <w:gridCol w:w="375"/>
        <w:gridCol w:w="375"/>
        <w:gridCol w:w="375"/>
        <w:gridCol w:w="375"/>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单位公开表2</w:t>
            </w:r>
          </w:p>
        </w:tc>
        <w:tc>
          <w:tcPr>
            <w:tcW w:w="13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8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5000" w:type="pct"/>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47"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380"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343"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2"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1" w:type="pct"/>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7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794"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事业单位经营收入</w:t>
            </w:r>
          </w:p>
        </w:tc>
        <w:tc>
          <w:tcPr>
            <w:tcW w:w="1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2140112</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公路运输管理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jc w:val="left"/>
        <w:rPr>
          <w:rFonts w:hint="eastAsia" w:ascii="TimesNewRoman" w:hAnsi="TimesNewRoman" w:cs="TimesNewRoman"/>
          <w:kern w:val="0"/>
          <w:sz w:val="20"/>
        </w:rPr>
      </w:pPr>
    </w:p>
    <w:tbl>
      <w:tblPr>
        <w:tblStyle w:val="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4"/>
        <w:gridCol w:w="4410"/>
        <w:gridCol w:w="1351"/>
        <w:gridCol w:w="1354"/>
        <w:gridCol w:w="135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2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单位公开表3</w:t>
            </w:r>
          </w:p>
        </w:tc>
        <w:tc>
          <w:tcPr>
            <w:tcW w:w="1557"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77"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78"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78"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83"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080" w:type="pct"/>
            <w:gridSpan w:val="2"/>
            <w:tcBorders>
              <w:top w:val="nil"/>
              <w:left w:val="nil"/>
              <w:bottom w:val="nil"/>
              <w:right w:val="nil"/>
            </w:tcBorders>
            <w:shd w:val="clear" w:color="auto" w:fill="auto"/>
            <w:noWrap/>
            <w:vAlign w:val="center"/>
          </w:tcPr>
          <w:p>
            <w:pPr>
              <w:rPr>
                <w:rFonts w:hint="eastAsia"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477"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478"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478"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483" w:type="pct"/>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2140112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公路运输管理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2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line="560" w:lineRule="exact"/>
        <w:rPr>
          <w:rFonts w:ascii="TimesNewRoman" w:hAnsi="TimesNewRoman" w:cs="TimesNewRoman"/>
          <w:kern w:val="0"/>
          <w:sz w:val="20"/>
        </w:rPr>
      </w:pPr>
    </w:p>
    <w:p>
      <w:pPr>
        <w:spacing w:line="560" w:lineRule="exact"/>
        <w:rPr>
          <w:rFonts w:ascii="TimesNewRoman" w:hAnsi="TimesNewRoman" w:cs="TimesNewRoman"/>
          <w:kern w:val="0"/>
          <w:sz w:val="20"/>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1"/>
        <w:gridCol w:w="222"/>
        <w:gridCol w:w="873"/>
        <w:gridCol w:w="3164"/>
        <w:gridCol w:w="1205"/>
        <w:gridCol w:w="1865"/>
        <w:gridCol w:w="2069"/>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单位公开表4</w:t>
            </w:r>
          </w:p>
        </w:tc>
        <w:tc>
          <w:tcPr>
            <w:tcW w:w="78"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042" w:type="pct"/>
            <w:gridSpan w:val="6"/>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38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122004-五河县交通运输综合行政执法大队</w:t>
            </w:r>
          </w:p>
        </w:tc>
        <w:tc>
          <w:tcPr>
            <w:tcW w:w="425"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58"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30"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03" w:type="pct"/>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收            入             </w:t>
            </w:r>
          </w:p>
        </w:tc>
        <w:tc>
          <w:tcPr>
            <w:tcW w:w="37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一般公共预算拨款</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政府性基金预算拨款</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（十四）资源勘探信息等事务支出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（二十三）预备费</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（二十四）其他支出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（二十五）转移性支出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（二十六）债务还本支出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（二十七）债务付息支出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（二十八）债务发行费用支出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（二十九）抗疫特别国债安排的支出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spacing w:line="560" w:lineRule="exact"/>
        <w:jc w:val="left"/>
        <w:rPr>
          <w:rFonts w:ascii="TimesNewRoman" w:hAnsi="TimesNewRoman" w:cs="TimesNewRoman"/>
          <w:kern w:val="0"/>
          <w:sz w:val="20"/>
        </w:rPr>
      </w:pPr>
    </w:p>
    <w:p>
      <w:pPr>
        <w:spacing w:line="560" w:lineRule="exact"/>
        <w:jc w:val="left"/>
        <w:rPr>
          <w:rFonts w:ascii="TimesNewRoman" w:hAnsi="TimesNewRoman" w:cs="TimesNewRoman"/>
          <w:kern w:val="0"/>
          <w:sz w:val="20"/>
        </w:rPr>
      </w:pPr>
      <w:r>
        <w:rPr>
          <w:rFonts w:ascii="TimesNewRoman" w:hAnsi="TimesNewRoman" w:cs="TimesNewRoman"/>
          <w:kern w:val="0"/>
          <w:sz w:val="20"/>
        </w:rPr>
        <w:br w:type="page"/>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2"/>
        <w:gridCol w:w="3970"/>
        <w:gridCol w:w="961"/>
        <w:gridCol w:w="961"/>
        <w:gridCol w:w="961"/>
        <w:gridCol w:w="680"/>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392"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单位公开表5</w:t>
            </w:r>
          </w:p>
        </w:tc>
        <w:tc>
          <w:tcPr>
            <w:tcW w:w="60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135" w:type="pct"/>
            <w:gridSpan w:val="2"/>
            <w:tcBorders>
              <w:top w:val="nil"/>
              <w:left w:val="nil"/>
              <w:bottom w:val="nil"/>
              <w:right w:val="nil"/>
            </w:tcBorders>
            <w:shd w:val="clear" w:color="auto" w:fill="auto"/>
            <w:noWrap/>
            <w:vAlign w:val="center"/>
          </w:tcPr>
          <w:p>
            <w:pPr>
              <w:spacing w:line="240" w:lineRule="auto"/>
              <w:rPr>
                <w:rFonts w:hint="eastAsia"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33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3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0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3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60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2140112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公路运输管理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3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line="560" w:lineRule="exact"/>
        <w:jc w:val="left"/>
        <w:rPr>
          <w:rFonts w:ascii="TimesNewRoman" w:hAnsi="TimesNewRoman" w:cs="TimesNewRoman"/>
          <w:kern w:val="0"/>
          <w:sz w:val="20"/>
        </w:rPr>
      </w:pPr>
    </w:p>
    <w:p>
      <w:pPr>
        <w:spacing w:line="560" w:lineRule="exact"/>
        <w:jc w:val="left"/>
        <w:rPr>
          <w:rFonts w:ascii="TimesNewRoman" w:hAnsi="TimesNewRoman" w:cs="TimesNewRoman"/>
          <w:kern w:val="0"/>
          <w:sz w:val="20"/>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1"/>
        <w:gridCol w:w="3380"/>
        <w:gridCol w:w="2196"/>
        <w:gridCol w:w="1839"/>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34"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单位公开表6</w:t>
            </w:r>
          </w:p>
        </w:tc>
        <w:tc>
          <w:tcPr>
            <w:tcW w:w="1192" w:type="pct"/>
            <w:tcBorders>
              <w:top w:val="nil"/>
              <w:left w:val="nil"/>
              <w:bottom w:val="nil"/>
              <w:right w:val="nil"/>
            </w:tcBorders>
            <w:noWrap/>
            <w:vAlign w:val="bottom"/>
          </w:tcPr>
          <w:p>
            <w:pPr>
              <w:rPr>
                <w:rFonts w:hint="eastAsia" w:ascii="Arial" w:hAnsi="Arial" w:cs="Arial"/>
                <w:color w:val="000000"/>
                <w:sz w:val="20"/>
                <w:szCs w:val="20"/>
              </w:rPr>
            </w:pPr>
          </w:p>
        </w:tc>
        <w:tc>
          <w:tcPr>
            <w:tcW w:w="775" w:type="pct"/>
            <w:tcBorders>
              <w:top w:val="nil"/>
              <w:left w:val="nil"/>
              <w:bottom w:val="nil"/>
              <w:right w:val="nil"/>
            </w:tcBorders>
            <w:noWrap/>
            <w:vAlign w:val="bottom"/>
          </w:tcPr>
          <w:p>
            <w:pPr>
              <w:rPr>
                <w:rFonts w:ascii="Arial" w:hAnsi="Arial" w:cs="Arial"/>
                <w:color w:val="000000"/>
                <w:sz w:val="20"/>
                <w:szCs w:val="20"/>
              </w:rPr>
            </w:pPr>
          </w:p>
        </w:tc>
        <w:tc>
          <w:tcPr>
            <w:tcW w:w="649" w:type="pct"/>
            <w:tcBorders>
              <w:top w:val="nil"/>
              <w:left w:val="nil"/>
              <w:bottom w:val="nil"/>
              <w:right w:val="nil"/>
            </w:tcBorders>
            <w:noWrap/>
            <w:vAlign w:val="bottom"/>
          </w:tcPr>
          <w:p>
            <w:pPr>
              <w:rPr>
                <w:rFonts w:ascii="Arial" w:hAnsi="Arial" w:cs="Arial"/>
                <w:color w:val="000000"/>
                <w:sz w:val="20"/>
                <w:szCs w:val="20"/>
              </w:rPr>
            </w:pPr>
          </w:p>
        </w:tc>
        <w:tc>
          <w:tcPr>
            <w:tcW w:w="646" w:type="pct"/>
            <w:tcBorders>
              <w:top w:val="nil"/>
              <w:left w:val="nil"/>
              <w:bottom w:val="nil"/>
              <w:right w:val="nil"/>
            </w:tcBorders>
            <w:noWrap/>
            <w:vAlign w:val="center"/>
          </w:tcPr>
          <w:p>
            <w:pPr>
              <w:jc w:val="right"/>
              <w:rPr>
                <w:rFonts w:hint="eastAsia"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color w:val="000000"/>
                <w:sz w:val="32"/>
                <w:szCs w:val="32"/>
              </w:rPr>
            </w:pPr>
            <w:r>
              <w:rPr>
                <w:rFonts w:hint="eastAsia" w:ascii="黑体" w:hAnsi="宋体" w:eastAsia="黑体" w:cs="黑体"/>
                <w:i w:val="0"/>
                <w:iCs w:val="0"/>
                <w:color w:val="000000"/>
                <w:kern w:val="0"/>
                <w:sz w:val="32"/>
                <w:szCs w:val="32"/>
                <w:u w:val="none"/>
                <w:lang w:val="en-US" w:eastAsia="zh-CN" w:bidi="ar"/>
              </w:rPr>
              <w:t>2024年单位一般公共预算基本支出表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27" w:type="pct"/>
            <w:gridSpan w:val="2"/>
            <w:tcBorders>
              <w:top w:val="nil"/>
              <w:left w:val="nil"/>
              <w:bottom w:val="single" w:color="auto" w:sz="4" w:space="0"/>
              <w:right w:val="nil"/>
            </w:tcBorders>
            <w:noWrap/>
            <w:vAlign w:val="center"/>
          </w:tcPr>
          <w:p>
            <w:pPr>
              <w:rPr>
                <w:rFonts w:hint="eastAsia" w:ascii="宋体" w:hAnsi="宋体" w:cs="宋体"/>
                <w:color w:val="000000"/>
                <w:sz w:val="22"/>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775" w:type="pct"/>
            <w:tcBorders>
              <w:top w:val="nil"/>
              <w:left w:val="nil"/>
              <w:bottom w:val="single" w:color="auto" w:sz="4" w:space="0"/>
              <w:right w:val="nil"/>
            </w:tcBorders>
            <w:noWrap/>
            <w:vAlign w:val="center"/>
          </w:tcPr>
          <w:p>
            <w:pPr>
              <w:rPr>
                <w:rFonts w:hint="eastAsia" w:ascii="宋体" w:hAnsi="宋体" w:cs="宋体"/>
                <w:color w:val="000000"/>
                <w:sz w:val="22"/>
              </w:rPr>
            </w:pPr>
          </w:p>
        </w:tc>
        <w:tc>
          <w:tcPr>
            <w:tcW w:w="649" w:type="pct"/>
            <w:tcBorders>
              <w:top w:val="nil"/>
              <w:left w:val="nil"/>
              <w:bottom w:val="single" w:color="auto" w:sz="4" w:space="0"/>
              <w:right w:val="nil"/>
            </w:tcBorders>
            <w:noWrap/>
            <w:vAlign w:val="center"/>
          </w:tcPr>
          <w:p>
            <w:pPr>
              <w:rPr>
                <w:rFonts w:hint="eastAsia" w:ascii="宋体" w:hAnsi="宋体" w:cs="宋体"/>
                <w:color w:val="000000"/>
                <w:sz w:val="22"/>
              </w:rPr>
            </w:pPr>
          </w:p>
        </w:tc>
        <w:tc>
          <w:tcPr>
            <w:tcW w:w="646" w:type="pct"/>
            <w:tcBorders>
              <w:top w:val="nil"/>
              <w:left w:val="nil"/>
              <w:bottom w:val="single" w:color="auto" w:sz="4" w:space="0"/>
              <w:right w:val="nil"/>
            </w:tcBorders>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27" w:type="pct"/>
            <w:gridSpan w:val="2"/>
            <w:tcBorders>
              <w:top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单位预算支出经济分类科目</w:t>
            </w:r>
          </w:p>
        </w:tc>
        <w:tc>
          <w:tcPr>
            <w:tcW w:w="2072" w:type="pct"/>
            <w:gridSpan w:val="3"/>
            <w:tcBorders>
              <w:top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34" w:type="pct"/>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科目编码</w:t>
            </w:r>
          </w:p>
        </w:tc>
        <w:tc>
          <w:tcPr>
            <w:tcW w:w="1192" w:type="pct"/>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科目名称</w:t>
            </w:r>
          </w:p>
        </w:tc>
        <w:tc>
          <w:tcPr>
            <w:tcW w:w="775" w:type="pct"/>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合计</w:t>
            </w:r>
          </w:p>
        </w:tc>
        <w:tc>
          <w:tcPr>
            <w:tcW w:w="649" w:type="pct"/>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人员经费</w:t>
            </w:r>
          </w:p>
        </w:tc>
        <w:tc>
          <w:tcPr>
            <w:tcW w:w="646" w:type="pct"/>
            <w:noWrap/>
            <w:vAlign w:val="center"/>
          </w:tcPr>
          <w:p>
            <w:pPr>
              <w:keepNext w:val="0"/>
              <w:keepLines w:val="0"/>
              <w:widowControl/>
              <w:suppressLineNumbers w:val="0"/>
              <w:jc w:val="center"/>
              <w:textAlignment w:val="center"/>
              <w:rPr>
                <w:rFonts w:hint="eastAsia"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jc w:val="left"/>
              <w:rPr>
                <w:rFonts w:hint="eastAsia" w:ascii="宋体" w:hAnsi="宋体" w:cs="宋体"/>
                <w:color w:val="000000"/>
                <w:sz w:val="20"/>
                <w:szCs w:val="20"/>
              </w:rPr>
            </w:pP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1,240.4</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1,196.6</w:t>
            </w:r>
          </w:p>
        </w:tc>
        <w:tc>
          <w:tcPr>
            <w:tcW w:w="646"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301</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工资福利支出</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1,188.0</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1,188.0</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30101</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基本工资</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334.2</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334.2</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30102</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津贴补贴</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298.2</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298.2</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30107</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绩效工资</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175.5</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175.5</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30108</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116.5</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116.5</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30109</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职业年金缴费</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83.2</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83.2</w:t>
            </w:r>
          </w:p>
        </w:tc>
        <w:tc>
          <w:tcPr>
            <w:tcW w:w="646" w:type="pct"/>
            <w:noWrap/>
            <w:vAlign w:val="center"/>
          </w:tcPr>
          <w:p>
            <w:pPr>
              <w:jc w:val="righ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34"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30110</w:t>
            </w:r>
          </w:p>
        </w:tc>
        <w:tc>
          <w:tcPr>
            <w:tcW w:w="1192" w:type="pct"/>
            <w:noWrap/>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775"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61.1</w:t>
            </w:r>
          </w:p>
        </w:tc>
        <w:tc>
          <w:tcPr>
            <w:tcW w:w="649" w:type="pct"/>
            <w:noWrap/>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61.1</w:t>
            </w:r>
          </w:p>
        </w:tc>
        <w:tc>
          <w:tcPr>
            <w:tcW w:w="646" w:type="pct"/>
            <w:noWrap/>
            <w:vAlign w:val="center"/>
          </w:tcPr>
          <w:p>
            <w:pPr>
              <w:jc w:val="right"/>
              <w:rPr>
                <w:rFonts w:hint="eastAsia" w:ascii="宋体" w:hAnsi="宋体" w:cs="宋体"/>
                <w:color w:val="000000"/>
                <w:sz w:val="20"/>
                <w:szCs w:val="20"/>
              </w:rPr>
            </w:pPr>
          </w:p>
        </w:tc>
      </w:tr>
    </w:tbl>
    <w:p>
      <w:pPr>
        <w:spacing w:line="560" w:lineRule="exact"/>
        <w:jc w:val="left"/>
        <w:rPr>
          <w:rFonts w:ascii="TimesNewRoman" w:hAnsi="TimesNewRoman" w:cs="TimesNewRoman"/>
          <w:kern w:val="0"/>
          <w:sz w:val="20"/>
        </w:rPr>
      </w:pPr>
    </w:p>
    <w:p>
      <w:pPr>
        <w:widowControl/>
        <w:spacing w:line="560" w:lineRule="exact"/>
        <w:jc w:val="left"/>
        <w:rPr>
          <w:rFonts w:ascii="TimesNewRoman" w:hAnsi="TimesNewRoman" w:cs="TimesNewRoman"/>
          <w:kern w:val="0"/>
          <w:sz w:val="20"/>
        </w:rPr>
      </w:pPr>
      <w:r>
        <w:rPr>
          <w:rFonts w:ascii="TimesNewRoman" w:hAnsi="TimesNewRoman" w:cs="TimesNewRoman"/>
          <w:kern w:val="0"/>
          <w:sz w:val="20"/>
        </w:rPr>
        <w:br w:type="page"/>
      </w:r>
    </w:p>
    <w:tbl>
      <w:tblPr>
        <w:tblStyle w:val="8"/>
        <w:tblW w:w="137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8"/>
        <w:gridCol w:w="2820"/>
        <w:gridCol w:w="2955"/>
        <w:gridCol w:w="2761"/>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2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单位公开表7</w:t>
            </w:r>
          </w:p>
        </w:tc>
        <w:tc>
          <w:tcPr>
            <w:tcW w:w="244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76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6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2761"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4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769"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r>
              <w:rPr>
                <w:rFonts w:hint="default" w:ascii="宋体" w:hAnsi="宋体" w:eastAsia="宋体" w:cs="宋体"/>
                <w:i w:val="0"/>
                <w:iCs w:val="0"/>
                <w:color w:val="000000"/>
                <w:kern w:val="0"/>
                <w:sz w:val="22"/>
                <w:szCs w:val="22"/>
                <w:u w:val="none"/>
                <w:lang w:val="en-US" w:eastAsia="zh-CN" w:bidi="ar"/>
              </w:rPr>
              <w:t>五河县交通运输综合行政执法大队没有政府性基金预算拨款收入，也没有政府性基金预算支出，故本表无数据。</w:t>
            </w:r>
          </w:p>
        </w:tc>
      </w:tr>
    </w:tbl>
    <w:p>
      <w:pPr>
        <w:widowControl/>
        <w:spacing w:line="560" w:lineRule="exact"/>
        <w:jc w:val="left"/>
        <w:rPr>
          <w:rFonts w:ascii="TimesNewRoman" w:hAnsi="TimesNewRoman" w:cs="TimesNewRoman"/>
          <w:color w:val="FF0000"/>
          <w:kern w:val="0"/>
          <w:sz w:val="24"/>
        </w:rPr>
      </w:pPr>
    </w:p>
    <w:p>
      <w:pPr>
        <w:spacing w:line="560" w:lineRule="exact"/>
        <w:jc w:val="left"/>
        <w:rPr>
          <w:rFonts w:ascii="TimesNewRoman" w:hAnsi="TimesNewRoman" w:eastAsia="仿宋_GB2312" w:cs="TimesNewRoman"/>
          <w:sz w:val="20"/>
          <w:szCs w:val="20"/>
        </w:rPr>
      </w:pPr>
      <w:r>
        <w:rPr>
          <w:rFonts w:ascii="TimesNewRoman" w:hAnsi="TimesNewRoman" w:eastAsia="仿宋_GB2312" w:cs="TimesNewRoman"/>
          <w:sz w:val="20"/>
          <w:szCs w:val="20"/>
        </w:rPr>
        <w:br w:type="page"/>
      </w:r>
    </w:p>
    <w:tbl>
      <w:tblPr>
        <w:tblStyle w:val="8"/>
        <w:tblW w:w="12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3"/>
        <w:gridCol w:w="2415"/>
        <w:gridCol w:w="2552"/>
        <w:gridCol w:w="213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780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单位公开表8</w:t>
            </w:r>
          </w:p>
        </w:tc>
        <w:tc>
          <w:tcPr>
            <w:tcW w:w="213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13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0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30" w:type="dxa"/>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2130"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本年国有资本经营预算拨款支出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060"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注：五河县交通运输综合行政执法大队没有国有资本经营预算拨款收入，也没有国有资本经营预算拨款安排的支出，故本表无数据。</w:t>
            </w:r>
          </w:p>
        </w:tc>
      </w:tr>
    </w:tbl>
    <w:p>
      <w:pPr>
        <w:pStyle w:val="7"/>
        <w:widowControl w:val="0"/>
        <w:wordWrap w:val="0"/>
        <w:adjustRightInd w:val="0"/>
        <w:snapToGrid w:val="0"/>
        <w:spacing w:afterLines="50"/>
        <w:jc w:val="both"/>
        <w:rPr>
          <w:rFonts w:ascii="TimesNewRoman" w:hAnsi="TimesNewRoman" w:eastAsia="仿宋_GB2312" w:cs="TimesNewRoman"/>
          <w:kern w:val="0"/>
          <w:sz w:val="20"/>
          <w:szCs w:val="20"/>
        </w:rPr>
      </w:pPr>
      <w:r>
        <w:rPr>
          <w:rFonts w:ascii="TimesNewRoman" w:hAnsi="TimesNewRoman" w:eastAsia="仿宋_GB2312" w:cs="TimesNewRoman"/>
          <w:kern w:val="0"/>
          <w:sz w:val="20"/>
          <w:szCs w:val="20"/>
        </w:rPr>
        <w:br w:type="page"/>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1185"/>
        <w:gridCol w:w="1935"/>
        <w:gridCol w:w="1050"/>
        <w:gridCol w:w="990"/>
        <w:gridCol w:w="1155"/>
        <w:gridCol w:w="1245"/>
        <w:gridCol w:w="1035"/>
        <w:gridCol w:w="1230"/>
        <w:gridCol w:w="1275"/>
        <w:gridCol w:w="1245"/>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831" w:type="pct"/>
            <w:gridSpan w:val="4"/>
            <w:tcBorders>
              <w:top w:val="nil"/>
              <w:left w:val="nil"/>
              <w:bottom w:val="nil"/>
              <w:right w:val="nil"/>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单位公开表9</w:t>
            </w:r>
          </w:p>
        </w:tc>
        <w:tc>
          <w:tcPr>
            <w:tcW w:w="349"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39"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365"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33"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49"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439" w:type="pct"/>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2"/>
                <w:szCs w:val="22"/>
                <w:u w:val="none"/>
              </w:rPr>
            </w:pPr>
          </w:p>
        </w:tc>
        <w:tc>
          <w:tcPr>
            <w:tcW w:w="285" w:type="pct"/>
            <w:tcBorders>
              <w:top w:val="nil"/>
              <w:left w:val="nil"/>
              <w:bottom w:val="nil"/>
              <w:right w:val="nil"/>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180" w:type="pct"/>
            <w:gridSpan w:val="5"/>
            <w:tcBorders>
              <w:top w:val="nil"/>
              <w:left w:val="nil"/>
              <w:bottom w:val="nil"/>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407" w:type="pct"/>
            <w:tcBorders>
              <w:top w:val="nil"/>
              <w:left w:val="nil"/>
              <w:bottom w:val="single" w:color="000000" w:sz="4" w:space="0"/>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9" w:type="pct"/>
            <w:tcBorders>
              <w:top w:val="nil"/>
              <w:left w:val="nil"/>
              <w:bottom w:val="single" w:color="000000" w:sz="4" w:space="0"/>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3" w:type="pct"/>
            <w:tcBorders>
              <w:top w:val="nil"/>
              <w:left w:val="nil"/>
              <w:bottom w:val="single" w:color="000000" w:sz="4" w:space="0"/>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49" w:type="pct"/>
            <w:tcBorders>
              <w:top w:val="nil"/>
              <w:left w:val="nil"/>
              <w:bottom w:val="single" w:color="000000" w:sz="4" w:space="0"/>
              <w:right w:val="nil"/>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724"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4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本年财政拨款</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财政拨款结转结余</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执法专项经费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五河县交通运输综合行政执法大队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sz w:val="20"/>
                <w:szCs w:val="20"/>
                <w:u w:val="none"/>
              </w:rPr>
            </w:pPr>
          </w:p>
        </w:tc>
      </w:tr>
    </w:tbl>
    <w:p>
      <w:pPr>
        <w:pStyle w:val="7"/>
        <w:widowControl w:val="0"/>
        <w:wordWrap w:val="0"/>
        <w:adjustRightInd w:val="0"/>
        <w:snapToGrid w:val="0"/>
        <w:spacing w:afterLines="50"/>
        <w:jc w:val="both"/>
        <w:rPr>
          <w:rFonts w:hint="eastAsia" w:ascii="TimesNewRoman" w:hAnsi="TimesNewRoman" w:cs="TimesNewRoman"/>
          <w:sz w:val="20"/>
          <w:szCs w:val="20"/>
        </w:rPr>
      </w:pPr>
    </w:p>
    <w:p>
      <w:pPr>
        <w:pStyle w:val="7"/>
        <w:widowControl w:val="0"/>
        <w:wordWrap w:val="0"/>
        <w:adjustRightInd w:val="0"/>
        <w:snapToGrid w:val="0"/>
        <w:spacing w:afterLines="50"/>
        <w:jc w:val="both"/>
        <w:rPr>
          <w:rFonts w:hint="eastAsia" w:ascii="TimesNewRoman" w:hAnsi="TimesNewRoman" w:cs="TimesNewRoman"/>
          <w:sz w:val="20"/>
          <w:szCs w:val="20"/>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2"/>
        <w:gridCol w:w="1541"/>
        <w:gridCol w:w="1538"/>
        <w:gridCol w:w="1538"/>
        <w:gridCol w:w="1538"/>
        <w:gridCol w:w="153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单位公开表10</w:t>
            </w:r>
          </w:p>
        </w:tc>
        <w:tc>
          <w:tcPr>
            <w:tcW w:w="5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8"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278" w:type="pct"/>
            <w:gridSpan w:val="2"/>
            <w:tcBorders>
              <w:top w:val="nil"/>
              <w:left w:val="nil"/>
              <w:bottom w:val="single" w:color="auto" w:sz="4" w:space="0"/>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543" w:type="pct"/>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43" w:type="pct"/>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43" w:type="pct"/>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43" w:type="pct"/>
            <w:tcBorders>
              <w:top w:val="nil"/>
              <w:left w:val="nil"/>
              <w:bottom w:val="single" w:color="auto"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48" w:type="pct"/>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7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单位名称/支出项目/政府采购品目</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4"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7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五河县交通运输综合行政执法大队</w:t>
            </w:r>
          </w:p>
        </w:tc>
        <w:tc>
          <w:tcPr>
            <w:tcW w:w="54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执法专项经费</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A3 彩色打印机</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line="560" w:lineRule="exact"/>
        <w:rPr>
          <w:rFonts w:hint="eastAsia" w:ascii="TimesNewRoman" w:hAnsi="TimesNewRoman" w:cs="TimesNewRoman"/>
          <w:sz w:val="20"/>
          <w:szCs w:val="20"/>
        </w:rPr>
      </w:pPr>
    </w:p>
    <w:p>
      <w:pPr>
        <w:spacing w:line="560" w:lineRule="exact"/>
        <w:rPr>
          <w:rFonts w:hint="eastAsia" w:ascii="TimesNewRoman" w:hAnsi="TimesNewRoman" w:cs="TimesNewRoman"/>
          <w:sz w:val="20"/>
          <w:szCs w:val="20"/>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6"/>
        <w:gridCol w:w="815"/>
        <w:gridCol w:w="1065"/>
        <w:gridCol w:w="730"/>
        <w:gridCol w:w="1430"/>
        <w:gridCol w:w="665"/>
        <w:gridCol w:w="1496"/>
        <w:gridCol w:w="1817"/>
        <w:gridCol w:w="1017"/>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99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单位公开表11</w:t>
            </w:r>
          </w:p>
        </w:tc>
        <w:tc>
          <w:tcPr>
            <w:tcW w:w="364"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5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3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1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5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1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2024年单位政府购买服务支出表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9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122004-五河县交通运输综合行政执法大队</w:t>
            </w:r>
          </w:p>
        </w:tc>
        <w:tc>
          <w:tcPr>
            <w:tcW w:w="364"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52"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334"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581"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311"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604"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687"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257" w:type="pct"/>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c>
          <w:tcPr>
            <w:tcW w:w="41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一级目录代码</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一级目录名称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二级目录代码</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二级目录名称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三级目录代码</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三级目录名称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政府购买服务内容</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购买数量</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328" w:type="pct"/>
            <w:gridSpan w:val="8"/>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注：五河县交通运输综合行政执法大队没有安排政府购买服务支出，故本表无数据。</w:t>
            </w:r>
          </w:p>
        </w:tc>
        <w:tc>
          <w:tcPr>
            <w:tcW w:w="25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1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7"/>
        <w:widowControl w:val="0"/>
        <w:adjustRightInd w:val="0"/>
        <w:snapToGrid w:val="0"/>
        <w:spacing w:line="560" w:lineRule="exact"/>
        <w:ind w:firstLine="664" w:firstLineChars="200"/>
        <w:rPr>
          <w:rFonts w:hint="eastAsia" w:ascii="TimesNewRoman" w:hAnsi="TimesNewRoman" w:eastAsia="楷体_GB2312" w:cs="TimesNewRoman"/>
          <w:bCs/>
          <w:color w:val="FF0000"/>
          <w:sz w:val="32"/>
          <w:szCs w:val="32"/>
        </w:rPr>
        <w:sectPr>
          <w:pgSz w:w="16838" w:h="11906" w:orient="landscape"/>
          <w:pgMar w:top="1797" w:right="1440" w:bottom="1797" w:left="1440" w:header="850" w:footer="992" w:gutter="0"/>
          <w:pgNumType w:fmt="numberInDash"/>
          <w:cols w:space="720" w:num="1"/>
          <w:docGrid w:type="linesAndChars" w:linePitch="437" w:charSpace="2555"/>
        </w:sect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0"/>
        <w:gridCol w:w="2964"/>
        <w:gridCol w:w="2964"/>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6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单位公开表12</w:t>
            </w:r>
          </w:p>
        </w:tc>
        <w:tc>
          <w:tcPr>
            <w:tcW w:w="104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46"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04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2024年单位财政拨款安排“三公”经费预算支出表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06"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单位名称：122004-五河县交通运输综合行政执法大队</w:t>
            </w:r>
          </w:p>
        </w:tc>
        <w:tc>
          <w:tcPr>
            <w:tcW w:w="104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4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本年预算数</w:t>
            </w:r>
          </w:p>
        </w:tc>
        <w:tc>
          <w:tcPr>
            <w:tcW w:w="104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上年预算数</w:t>
            </w:r>
          </w:p>
        </w:tc>
        <w:tc>
          <w:tcPr>
            <w:tcW w:w="10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56.5</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1、因公出国(境)费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2、公务接待费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3、公务用车费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55</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其中：（1）公务用车运行维护费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（2）公务用车购置费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r>
    </w:tbl>
    <w:p>
      <w:pPr>
        <w:pStyle w:val="7"/>
        <w:widowControl w:val="0"/>
        <w:adjustRightInd w:val="0"/>
        <w:snapToGrid w:val="0"/>
        <w:spacing w:line="560" w:lineRule="exact"/>
        <w:rPr>
          <w:rFonts w:hint="eastAsia" w:ascii="方正黑体_GBK" w:hAnsi="方正黑体_GBK" w:eastAsia="方正黑体_GBK" w:cs="方正黑体_GBK"/>
          <w:sz w:val="32"/>
          <w:szCs w:val="32"/>
        </w:rPr>
      </w:pPr>
      <w:r>
        <w:rPr>
          <w:rFonts w:ascii="TimesNewRoman" w:hAnsi="TimesNewRoman" w:eastAsia="楷体_GB2312" w:cs="TimesNewRoman"/>
          <w:bCs/>
          <w:color w:val="FF0000"/>
          <w:sz w:val="32"/>
          <w:szCs w:val="32"/>
        </w:rPr>
        <w:br w:type="page"/>
      </w:r>
      <w:r>
        <w:rPr>
          <w:rFonts w:hint="eastAsia" w:ascii="方正黑体_GBK" w:hAnsi="方正黑体_GBK" w:eastAsia="方正黑体_GBK" w:cs="方正黑体_GBK"/>
          <w:sz w:val="32"/>
          <w:szCs w:val="32"/>
        </w:rPr>
        <w:t>附件2：</w:t>
      </w:r>
    </w:p>
    <w:p>
      <w:pPr>
        <w:spacing w:line="560" w:lineRule="exact"/>
        <w:jc w:val="center"/>
        <w:rPr>
          <w:rFonts w:hint="eastAsia" w:ascii="TimesNewRoman" w:hAnsi="TimesNewRoman" w:eastAsia="华文中宋" w:cs="TimesNewRoman"/>
          <w:b/>
          <w:sz w:val="36"/>
          <w:szCs w:val="36"/>
        </w:rPr>
      </w:pPr>
      <w:r>
        <w:rPr>
          <w:rFonts w:hint="eastAsia" w:ascii="TimesNewRoman" w:hAnsi="TimesNewRoman" w:eastAsia="华文中宋" w:cs="TimesNewRoman"/>
          <w:b/>
          <w:sz w:val="36"/>
          <w:szCs w:val="36"/>
        </w:rPr>
        <w:t>五河县交通</w:t>
      </w:r>
      <w:r>
        <w:rPr>
          <w:rFonts w:ascii="TimesNewRoman" w:hAnsi="TimesNewRoman" w:eastAsia="华文中宋" w:cs="TimesNewRoman"/>
          <w:b/>
          <w:sz w:val="36"/>
          <w:szCs w:val="36"/>
        </w:rPr>
        <w:t>运输综合行政执法大队</w:t>
      </w:r>
    </w:p>
    <w:p>
      <w:pPr>
        <w:spacing w:line="560" w:lineRule="exact"/>
        <w:jc w:val="center"/>
        <w:rPr>
          <w:rFonts w:ascii="TimesNewRoman" w:hAnsi="TimesNewRoman" w:eastAsia="华文中宋" w:cs="TimesNewRoman"/>
          <w:b/>
          <w:sz w:val="36"/>
          <w:szCs w:val="36"/>
        </w:rPr>
      </w:pPr>
      <w:r>
        <w:rPr>
          <w:rFonts w:ascii="TimesNewRoman" w:hAnsi="TimesNewRoman" w:eastAsia="华文中宋" w:cs="TimesNewRoman"/>
          <w:b/>
          <w:sz w:val="36"/>
          <w:szCs w:val="36"/>
        </w:rPr>
        <w:t>2024年度项目支出绩效目标</w:t>
      </w:r>
    </w:p>
    <w:p>
      <w:pPr>
        <w:adjustRightInd w:val="0"/>
        <w:snapToGrid w:val="0"/>
        <w:spacing w:line="560" w:lineRule="exact"/>
        <w:outlineLvl w:val="0"/>
        <w:rPr>
          <w:rFonts w:ascii="TimesNewRoman" w:hAnsi="TimesNewRoman" w:eastAsia="仿宋_GB2312" w:cs="TimesNewRoman"/>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307"/>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3"/>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序号</w:t>
            </w: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项目名称</w:t>
            </w: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1</w:t>
            </w: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执法</w:t>
            </w:r>
            <w:r>
              <w:rPr>
                <w:rFonts w:ascii="TimesNewRoman" w:hAnsi="TimesNewRoman" w:eastAsia="仿宋_GB2312" w:cs="TimesNewRoman"/>
                <w:sz w:val="32"/>
                <w:szCs w:val="32"/>
              </w:rPr>
              <w:t>专项经费</w:t>
            </w: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225"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2111" w:type="pct"/>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bl>
    <w:p>
      <w:pPr>
        <w:adjustRightInd w:val="0"/>
        <w:snapToGrid w:val="0"/>
        <w:spacing w:line="560" w:lineRule="exact"/>
        <w:outlineLvl w:val="0"/>
        <w:rPr>
          <w:rFonts w:ascii="TimesNewRoman" w:hAnsi="TimesNewRoman" w:eastAsia="仿宋_GB2312" w:cs="TimesNewRoman"/>
          <w:sz w:val="32"/>
          <w:szCs w:val="32"/>
        </w:rPr>
      </w:pPr>
      <w:bookmarkStart w:id="6" w:name="_GoBack"/>
      <w:bookmarkEnd w:id="6"/>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695"/>
        <w:gridCol w:w="887"/>
        <w:gridCol w:w="1040"/>
        <w:gridCol w:w="4204"/>
        <w:gridCol w:w="2911"/>
        <w:gridCol w:w="3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[122]五河县交通运输局</w:t>
            </w:r>
          </w:p>
        </w:tc>
        <w:tc>
          <w:tcPr>
            <w:tcW w:w="1027"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五河县交通运输综合行政执法大队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贯彻执行国家和省、市相关方针政策和法律法规，查处交通运输违法行为，负责全县交通部门路政、运政、治超、工程质量监督等执法业务。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路政、运政、治超、工程质量监督等</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交通运输违法行为查处率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行政处罚案件处理时间</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执法成本控制</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道路、水路、工程建设市场稳定性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交通运输市场稳定性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生态环境优良</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车辆超载违章、非法营运</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tabs>
          <w:tab w:val="left" w:pos="3316"/>
        </w:tabs>
        <w:adjustRightInd w:val="0"/>
        <w:snapToGrid w:val="0"/>
        <w:spacing w:line="560" w:lineRule="exact"/>
        <w:ind w:firstLine="2560" w:firstLineChars="800"/>
        <w:jc w:val="left"/>
        <w:outlineLvl w:val="0"/>
        <w:rPr>
          <w:rFonts w:eastAsia="仿宋_GB2312"/>
          <w:sz w:val="32"/>
          <w:szCs w:val="32"/>
        </w:rPr>
      </w:pPr>
    </w:p>
    <w:p>
      <w:pPr>
        <w:tabs>
          <w:tab w:val="left" w:pos="3316"/>
        </w:tabs>
        <w:adjustRightInd w:val="0"/>
        <w:snapToGrid w:val="0"/>
        <w:spacing w:line="560" w:lineRule="exact"/>
        <w:ind w:left="0" w:leftChars="0" w:firstLine="0" w:firstLineChars="0"/>
        <w:jc w:val="both"/>
        <w:outlineLvl w:val="0"/>
        <w:rPr>
          <w:rFonts w:ascii="TimesNewRoman" w:hAnsi="TimesNewRoman" w:eastAsia="黑体" w:cs="TimesNewRoman"/>
          <w:sz w:val="36"/>
          <w:szCs w:val="36"/>
        </w:rPr>
      </w:pPr>
      <w:r>
        <w:rPr>
          <w:rFonts w:eastAsia="仿宋_GB2312"/>
          <w:sz w:val="32"/>
          <w:szCs w:val="32"/>
        </w:rPr>
        <w:t>注：本单位</w:t>
      </w:r>
      <w:r>
        <w:rPr>
          <w:rFonts w:hint="eastAsia" w:eastAsia="仿宋_GB2312"/>
          <w:sz w:val="32"/>
          <w:szCs w:val="32"/>
        </w:rPr>
        <w:t>0</w:t>
      </w:r>
      <w:r>
        <w:rPr>
          <w:rFonts w:eastAsia="仿宋_GB2312"/>
          <w:sz w:val="32"/>
          <w:szCs w:val="32"/>
        </w:rPr>
        <w:t>个涉密项目除外。</w:t>
      </w:r>
    </w:p>
    <w:p>
      <w:pPr>
        <w:tabs>
          <w:tab w:val="left" w:pos="3316"/>
        </w:tabs>
        <w:adjustRightInd w:val="0"/>
        <w:snapToGrid w:val="0"/>
        <w:spacing w:line="560" w:lineRule="exact"/>
        <w:outlineLvl w:val="0"/>
        <w:rPr>
          <w:rFonts w:hint="eastAsia" w:ascii="仿宋_GB2312" w:eastAsia="仿宋_GB2312" w:cs="FangSong_GB2312-Identity-H"/>
          <w:kern w:val="0"/>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
    <w:altName w:val="Times New Roman"/>
    <w:panose1 w:val="00000000000000000000"/>
    <w:charset w:val="00"/>
    <w:family w:val="auto"/>
    <w:pitch w:val="default"/>
    <w:sig w:usb0="00000000" w:usb1="00000000" w:usb2="00000029" w:usb3="00000000" w:csb0="6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OGE3MzBiNWNhYzY1NTNjYWUzNDAwYjMxMWUzYjcifQ=="/>
  </w:docVars>
  <w:rsids>
    <w:rsidRoot w:val="003530CD"/>
    <w:rsid w:val="00010827"/>
    <w:rsid w:val="00010B8A"/>
    <w:rsid w:val="00016232"/>
    <w:rsid w:val="00017366"/>
    <w:rsid w:val="000228D8"/>
    <w:rsid w:val="00031EE7"/>
    <w:rsid w:val="000362F4"/>
    <w:rsid w:val="00041087"/>
    <w:rsid w:val="000410A6"/>
    <w:rsid w:val="00046143"/>
    <w:rsid w:val="000469A2"/>
    <w:rsid w:val="0006147F"/>
    <w:rsid w:val="00064B4A"/>
    <w:rsid w:val="00076809"/>
    <w:rsid w:val="00084284"/>
    <w:rsid w:val="00085549"/>
    <w:rsid w:val="00091F7A"/>
    <w:rsid w:val="000953A0"/>
    <w:rsid w:val="00096BC1"/>
    <w:rsid w:val="000977A2"/>
    <w:rsid w:val="000A4BA6"/>
    <w:rsid w:val="000B3B2B"/>
    <w:rsid w:val="000B3EC1"/>
    <w:rsid w:val="000B4AE5"/>
    <w:rsid w:val="000B5F5A"/>
    <w:rsid w:val="000B7C96"/>
    <w:rsid w:val="000C3D8D"/>
    <w:rsid w:val="000D1337"/>
    <w:rsid w:val="000D4303"/>
    <w:rsid w:val="000D615A"/>
    <w:rsid w:val="000E1389"/>
    <w:rsid w:val="000E751D"/>
    <w:rsid w:val="000F7FE7"/>
    <w:rsid w:val="00105CBC"/>
    <w:rsid w:val="001129E9"/>
    <w:rsid w:val="001137B9"/>
    <w:rsid w:val="00115600"/>
    <w:rsid w:val="00120A9A"/>
    <w:rsid w:val="00123865"/>
    <w:rsid w:val="001363AC"/>
    <w:rsid w:val="00136A08"/>
    <w:rsid w:val="0013758F"/>
    <w:rsid w:val="00140B2C"/>
    <w:rsid w:val="001415CF"/>
    <w:rsid w:val="0014212D"/>
    <w:rsid w:val="00142BDB"/>
    <w:rsid w:val="00142C26"/>
    <w:rsid w:val="001438FD"/>
    <w:rsid w:val="00146B5C"/>
    <w:rsid w:val="00154FFF"/>
    <w:rsid w:val="00155799"/>
    <w:rsid w:val="00157DD6"/>
    <w:rsid w:val="00162220"/>
    <w:rsid w:val="00162B6E"/>
    <w:rsid w:val="00166D89"/>
    <w:rsid w:val="00171D37"/>
    <w:rsid w:val="00174233"/>
    <w:rsid w:val="00174F4E"/>
    <w:rsid w:val="00182990"/>
    <w:rsid w:val="00183C34"/>
    <w:rsid w:val="00187692"/>
    <w:rsid w:val="00195156"/>
    <w:rsid w:val="00195D23"/>
    <w:rsid w:val="00197643"/>
    <w:rsid w:val="001A2B12"/>
    <w:rsid w:val="001A3A0D"/>
    <w:rsid w:val="001B7BB9"/>
    <w:rsid w:val="001C1A77"/>
    <w:rsid w:val="001C5839"/>
    <w:rsid w:val="001C7DEB"/>
    <w:rsid w:val="001C7F6D"/>
    <w:rsid w:val="001D09B2"/>
    <w:rsid w:val="001D293C"/>
    <w:rsid w:val="001D34C5"/>
    <w:rsid w:val="001E0596"/>
    <w:rsid w:val="001E2175"/>
    <w:rsid w:val="001E5AFD"/>
    <w:rsid w:val="001F17E3"/>
    <w:rsid w:val="00200621"/>
    <w:rsid w:val="002031AC"/>
    <w:rsid w:val="00210D92"/>
    <w:rsid w:val="00214861"/>
    <w:rsid w:val="002157F2"/>
    <w:rsid w:val="00232E87"/>
    <w:rsid w:val="002345BA"/>
    <w:rsid w:val="0023525E"/>
    <w:rsid w:val="00235621"/>
    <w:rsid w:val="0023575C"/>
    <w:rsid w:val="002411F2"/>
    <w:rsid w:val="002428C3"/>
    <w:rsid w:val="00246199"/>
    <w:rsid w:val="00254BC3"/>
    <w:rsid w:val="00255124"/>
    <w:rsid w:val="00255AA4"/>
    <w:rsid w:val="00257172"/>
    <w:rsid w:val="0025717C"/>
    <w:rsid w:val="00260BAF"/>
    <w:rsid w:val="00264DE5"/>
    <w:rsid w:val="00264E03"/>
    <w:rsid w:val="00270B55"/>
    <w:rsid w:val="0027379D"/>
    <w:rsid w:val="00277018"/>
    <w:rsid w:val="00277859"/>
    <w:rsid w:val="0028483A"/>
    <w:rsid w:val="002860CD"/>
    <w:rsid w:val="002865A2"/>
    <w:rsid w:val="0028689F"/>
    <w:rsid w:val="00294813"/>
    <w:rsid w:val="002A4781"/>
    <w:rsid w:val="002A70F8"/>
    <w:rsid w:val="002B011D"/>
    <w:rsid w:val="002B14B4"/>
    <w:rsid w:val="002B3815"/>
    <w:rsid w:val="002B4B88"/>
    <w:rsid w:val="002B7B04"/>
    <w:rsid w:val="002D075B"/>
    <w:rsid w:val="002D2901"/>
    <w:rsid w:val="002D4455"/>
    <w:rsid w:val="002F18C5"/>
    <w:rsid w:val="002F3332"/>
    <w:rsid w:val="002F3A35"/>
    <w:rsid w:val="002F74C0"/>
    <w:rsid w:val="00301443"/>
    <w:rsid w:val="003036CC"/>
    <w:rsid w:val="003049D3"/>
    <w:rsid w:val="00311C5D"/>
    <w:rsid w:val="00311E11"/>
    <w:rsid w:val="00317214"/>
    <w:rsid w:val="00320B7E"/>
    <w:rsid w:val="003306D4"/>
    <w:rsid w:val="00330C56"/>
    <w:rsid w:val="00332559"/>
    <w:rsid w:val="00335644"/>
    <w:rsid w:val="00342DA9"/>
    <w:rsid w:val="0035084E"/>
    <w:rsid w:val="003530CD"/>
    <w:rsid w:val="00360083"/>
    <w:rsid w:val="003739B7"/>
    <w:rsid w:val="0038204E"/>
    <w:rsid w:val="003835BF"/>
    <w:rsid w:val="00390036"/>
    <w:rsid w:val="003917D3"/>
    <w:rsid w:val="00395223"/>
    <w:rsid w:val="003A2784"/>
    <w:rsid w:val="003B6C1A"/>
    <w:rsid w:val="003B7155"/>
    <w:rsid w:val="003C06EA"/>
    <w:rsid w:val="003C06EB"/>
    <w:rsid w:val="003C1661"/>
    <w:rsid w:val="003C64FA"/>
    <w:rsid w:val="003D06CE"/>
    <w:rsid w:val="003E1598"/>
    <w:rsid w:val="003E222C"/>
    <w:rsid w:val="003E23E3"/>
    <w:rsid w:val="003E42A5"/>
    <w:rsid w:val="003E513F"/>
    <w:rsid w:val="003E759D"/>
    <w:rsid w:val="003F0B5F"/>
    <w:rsid w:val="003F2741"/>
    <w:rsid w:val="003F3744"/>
    <w:rsid w:val="00403014"/>
    <w:rsid w:val="00407421"/>
    <w:rsid w:val="0041245C"/>
    <w:rsid w:val="00413681"/>
    <w:rsid w:val="00413D35"/>
    <w:rsid w:val="00414495"/>
    <w:rsid w:val="00414B51"/>
    <w:rsid w:val="004252F7"/>
    <w:rsid w:val="004301E7"/>
    <w:rsid w:val="00433F5E"/>
    <w:rsid w:val="00435907"/>
    <w:rsid w:val="00442224"/>
    <w:rsid w:val="00443521"/>
    <w:rsid w:val="00462EEE"/>
    <w:rsid w:val="004658C0"/>
    <w:rsid w:val="0047314F"/>
    <w:rsid w:val="00473807"/>
    <w:rsid w:val="004742FF"/>
    <w:rsid w:val="00474DD4"/>
    <w:rsid w:val="004755D5"/>
    <w:rsid w:val="00476177"/>
    <w:rsid w:val="0048051E"/>
    <w:rsid w:val="00482D12"/>
    <w:rsid w:val="00483D60"/>
    <w:rsid w:val="004842B8"/>
    <w:rsid w:val="00484401"/>
    <w:rsid w:val="004939D4"/>
    <w:rsid w:val="00494A53"/>
    <w:rsid w:val="004A60B2"/>
    <w:rsid w:val="004B4338"/>
    <w:rsid w:val="004B7A80"/>
    <w:rsid w:val="004C0B44"/>
    <w:rsid w:val="004C53D2"/>
    <w:rsid w:val="004C77C1"/>
    <w:rsid w:val="004D47B5"/>
    <w:rsid w:val="004D4ACE"/>
    <w:rsid w:val="004D51F8"/>
    <w:rsid w:val="004E00E8"/>
    <w:rsid w:val="004E1973"/>
    <w:rsid w:val="004E5644"/>
    <w:rsid w:val="004E68E2"/>
    <w:rsid w:val="004E7A13"/>
    <w:rsid w:val="004F4A47"/>
    <w:rsid w:val="004F56F8"/>
    <w:rsid w:val="004F687E"/>
    <w:rsid w:val="0050478A"/>
    <w:rsid w:val="00507061"/>
    <w:rsid w:val="0050750C"/>
    <w:rsid w:val="0051119A"/>
    <w:rsid w:val="005126C4"/>
    <w:rsid w:val="005155E6"/>
    <w:rsid w:val="00516685"/>
    <w:rsid w:val="00517043"/>
    <w:rsid w:val="005203FE"/>
    <w:rsid w:val="00521A08"/>
    <w:rsid w:val="005225BF"/>
    <w:rsid w:val="00524C5E"/>
    <w:rsid w:val="00526994"/>
    <w:rsid w:val="00527E22"/>
    <w:rsid w:val="0053254B"/>
    <w:rsid w:val="00532619"/>
    <w:rsid w:val="00534805"/>
    <w:rsid w:val="00534C8B"/>
    <w:rsid w:val="00536DA9"/>
    <w:rsid w:val="0054176C"/>
    <w:rsid w:val="00546E1B"/>
    <w:rsid w:val="00547894"/>
    <w:rsid w:val="00547FB9"/>
    <w:rsid w:val="0055172A"/>
    <w:rsid w:val="00560895"/>
    <w:rsid w:val="00560C1D"/>
    <w:rsid w:val="005627FB"/>
    <w:rsid w:val="00570D5F"/>
    <w:rsid w:val="005726D3"/>
    <w:rsid w:val="00577982"/>
    <w:rsid w:val="00590702"/>
    <w:rsid w:val="005910CB"/>
    <w:rsid w:val="00591B42"/>
    <w:rsid w:val="005925A8"/>
    <w:rsid w:val="00596D75"/>
    <w:rsid w:val="005A3A02"/>
    <w:rsid w:val="005A3BEE"/>
    <w:rsid w:val="005A4D81"/>
    <w:rsid w:val="005B5F40"/>
    <w:rsid w:val="005B74E5"/>
    <w:rsid w:val="005C4157"/>
    <w:rsid w:val="005C61FD"/>
    <w:rsid w:val="005C6E3A"/>
    <w:rsid w:val="005D2F29"/>
    <w:rsid w:val="005D32AF"/>
    <w:rsid w:val="005D4587"/>
    <w:rsid w:val="005D6326"/>
    <w:rsid w:val="005E017B"/>
    <w:rsid w:val="005E11A4"/>
    <w:rsid w:val="005E1909"/>
    <w:rsid w:val="005E3435"/>
    <w:rsid w:val="005E6D22"/>
    <w:rsid w:val="005F7A42"/>
    <w:rsid w:val="00600CED"/>
    <w:rsid w:val="00602430"/>
    <w:rsid w:val="00607E86"/>
    <w:rsid w:val="00610D49"/>
    <w:rsid w:val="006205DC"/>
    <w:rsid w:val="00620C3F"/>
    <w:rsid w:val="006210DE"/>
    <w:rsid w:val="00624E34"/>
    <w:rsid w:val="00626AA3"/>
    <w:rsid w:val="00633677"/>
    <w:rsid w:val="00651685"/>
    <w:rsid w:val="0065187E"/>
    <w:rsid w:val="006571F0"/>
    <w:rsid w:val="0066383D"/>
    <w:rsid w:val="00665068"/>
    <w:rsid w:val="0066757E"/>
    <w:rsid w:val="00674074"/>
    <w:rsid w:val="00675105"/>
    <w:rsid w:val="0067683C"/>
    <w:rsid w:val="00684733"/>
    <w:rsid w:val="00685BED"/>
    <w:rsid w:val="00690CC9"/>
    <w:rsid w:val="0069440E"/>
    <w:rsid w:val="006A03B3"/>
    <w:rsid w:val="006A12B7"/>
    <w:rsid w:val="006A4903"/>
    <w:rsid w:val="006A506B"/>
    <w:rsid w:val="006A5D6B"/>
    <w:rsid w:val="006A79A0"/>
    <w:rsid w:val="006B4F86"/>
    <w:rsid w:val="006D0159"/>
    <w:rsid w:val="006D0338"/>
    <w:rsid w:val="006D1FF1"/>
    <w:rsid w:val="006D4A6A"/>
    <w:rsid w:val="006E0B96"/>
    <w:rsid w:val="006E4D54"/>
    <w:rsid w:val="006E7DA8"/>
    <w:rsid w:val="006F428D"/>
    <w:rsid w:val="006F51AB"/>
    <w:rsid w:val="00710612"/>
    <w:rsid w:val="00715C34"/>
    <w:rsid w:val="00730F38"/>
    <w:rsid w:val="007314FD"/>
    <w:rsid w:val="00732600"/>
    <w:rsid w:val="007412E5"/>
    <w:rsid w:val="0075411E"/>
    <w:rsid w:val="007547AE"/>
    <w:rsid w:val="00754A24"/>
    <w:rsid w:val="007701AA"/>
    <w:rsid w:val="0077068F"/>
    <w:rsid w:val="00775A78"/>
    <w:rsid w:val="0078198A"/>
    <w:rsid w:val="0078367D"/>
    <w:rsid w:val="00785846"/>
    <w:rsid w:val="00792ECB"/>
    <w:rsid w:val="00796CFE"/>
    <w:rsid w:val="007A02B5"/>
    <w:rsid w:val="007A5617"/>
    <w:rsid w:val="007B2CA0"/>
    <w:rsid w:val="007B76FB"/>
    <w:rsid w:val="007C016D"/>
    <w:rsid w:val="007C4A2D"/>
    <w:rsid w:val="007C7199"/>
    <w:rsid w:val="007D57CA"/>
    <w:rsid w:val="007D6D8D"/>
    <w:rsid w:val="007E1CAD"/>
    <w:rsid w:val="007F035B"/>
    <w:rsid w:val="00800786"/>
    <w:rsid w:val="008018D6"/>
    <w:rsid w:val="00804669"/>
    <w:rsid w:val="00804CD9"/>
    <w:rsid w:val="00805EFF"/>
    <w:rsid w:val="00812AF7"/>
    <w:rsid w:val="00812D2D"/>
    <w:rsid w:val="00812E7C"/>
    <w:rsid w:val="00815757"/>
    <w:rsid w:val="00816DE4"/>
    <w:rsid w:val="00824694"/>
    <w:rsid w:val="00832B23"/>
    <w:rsid w:val="00840903"/>
    <w:rsid w:val="008418E7"/>
    <w:rsid w:val="00842B99"/>
    <w:rsid w:val="00845C32"/>
    <w:rsid w:val="00850E0D"/>
    <w:rsid w:val="00851CF0"/>
    <w:rsid w:val="00853187"/>
    <w:rsid w:val="0085496E"/>
    <w:rsid w:val="00855C84"/>
    <w:rsid w:val="00857B0D"/>
    <w:rsid w:val="00861E53"/>
    <w:rsid w:val="00863957"/>
    <w:rsid w:val="00864A9A"/>
    <w:rsid w:val="008663B8"/>
    <w:rsid w:val="008719FA"/>
    <w:rsid w:val="00872497"/>
    <w:rsid w:val="008855DE"/>
    <w:rsid w:val="0088768E"/>
    <w:rsid w:val="0089570D"/>
    <w:rsid w:val="008A2A29"/>
    <w:rsid w:val="008A43DE"/>
    <w:rsid w:val="008A7904"/>
    <w:rsid w:val="008B3780"/>
    <w:rsid w:val="008B71B3"/>
    <w:rsid w:val="008B7FC4"/>
    <w:rsid w:val="008C7E02"/>
    <w:rsid w:val="008D4169"/>
    <w:rsid w:val="008D749A"/>
    <w:rsid w:val="008E1C71"/>
    <w:rsid w:val="008F048B"/>
    <w:rsid w:val="008F194D"/>
    <w:rsid w:val="008F2DB2"/>
    <w:rsid w:val="008F4F23"/>
    <w:rsid w:val="008F5B28"/>
    <w:rsid w:val="008F6B53"/>
    <w:rsid w:val="008F7A15"/>
    <w:rsid w:val="00900354"/>
    <w:rsid w:val="00907888"/>
    <w:rsid w:val="009102C1"/>
    <w:rsid w:val="009105EF"/>
    <w:rsid w:val="00912B5F"/>
    <w:rsid w:val="00920B6B"/>
    <w:rsid w:val="00924D2B"/>
    <w:rsid w:val="00926A56"/>
    <w:rsid w:val="00931362"/>
    <w:rsid w:val="00931384"/>
    <w:rsid w:val="00933010"/>
    <w:rsid w:val="00934D30"/>
    <w:rsid w:val="00941C36"/>
    <w:rsid w:val="0094360A"/>
    <w:rsid w:val="009455CE"/>
    <w:rsid w:val="00945CC6"/>
    <w:rsid w:val="0094618B"/>
    <w:rsid w:val="0094746F"/>
    <w:rsid w:val="0095156E"/>
    <w:rsid w:val="00952C2D"/>
    <w:rsid w:val="0095704E"/>
    <w:rsid w:val="00960F8C"/>
    <w:rsid w:val="009623CC"/>
    <w:rsid w:val="00962A69"/>
    <w:rsid w:val="00976847"/>
    <w:rsid w:val="00992328"/>
    <w:rsid w:val="009926A0"/>
    <w:rsid w:val="009967F1"/>
    <w:rsid w:val="00997DD9"/>
    <w:rsid w:val="009A7431"/>
    <w:rsid w:val="009B15C8"/>
    <w:rsid w:val="009B658D"/>
    <w:rsid w:val="009C1AD2"/>
    <w:rsid w:val="009C2881"/>
    <w:rsid w:val="009C3684"/>
    <w:rsid w:val="009C40B9"/>
    <w:rsid w:val="009D048F"/>
    <w:rsid w:val="009D157E"/>
    <w:rsid w:val="009D2D70"/>
    <w:rsid w:val="009D4049"/>
    <w:rsid w:val="009D4765"/>
    <w:rsid w:val="009E01EE"/>
    <w:rsid w:val="009E1204"/>
    <w:rsid w:val="009E1CF9"/>
    <w:rsid w:val="009E30D5"/>
    <w:rsid w:val="009E559E"/>
    <w:rsid w:val="009E56B7"/>
    <w:rsid w:val="009E5DFA"/>
    <w:rsid w:val="009E6F4F"/>
    <w:rsid w:val="009E7184"/>
    <w:rsid w:val="009F01F2"/>
    <w:rsid w:val="009F1EE0"/>
    <w:rsid w:val="009F3489"/>
    <w:rsid w:val="009F7189"/>
    <w:rsid w:val="00A02B51"/>
    <w:rsid w:val="00A0555D"/>
    <w:rsid w:val="00A07699"/>
    <w:rsid w:val="00A119B9"/>
    <w:rsid w:val="00A11D32"/>
    <w:rsid w:val="00A13F1B"/>
    <w:rsid w:val="00A173DA"/>
    <w:rsid w:val="00A275D1"/>
    <w:rsid w:val="00A27D6A"/>
    <w:rsid w:val="00A364D1"/>
    <w:rsid w:val="00A36796"/>
    <w:rsid w:val="00A42890"/>
    <w:rsid w:val="00A46139"/>
    <w:rsid w:val="00A5488A"/>
    <w:rsid w:val="00A55DB5"/>
    <w:rsid w:val="00A55DF4"/>
    <w:rsid w:val="00A57993"/>
    <w:rsid w:val="00A61BBD"/>
    <w:rsid w:val="00A641BB"/>
    <w:rsid w:val="00A64D1D"/>
    <w:rsid w:val="00A66D4F"/>
    <w:rsid w:val="00A6776C"/>
    <w:rsid w:val="00A75BE3"/>
    <w:rsid w:val="00A774B6"/>
    <w:rsid w:val="00A77646"/>
    <w:rsid w:val="00A8182F"/>
    <w:rsid w:val="00A96764"/>
    <w:rsid w:val="00AA1961"/>
    <w:rsid w:val="00AA26CF"/>
    <w:rsid w:val="00AA2947"/>
    <w:rsid w:val="00AA3771"/>
    <w:rsid w:val="00AB2229"/>
    <w:rsid w:val="00AB6686"/>
    <w:rsid w:val="00AC5B71"/>
    <w:rsid w:val="00AD163A"/>
    <w:rsid w:val="00AD23B0"/>
    <w:rsid w:val="00AD5385"/>
    <w:rsid w:val="00AD595F"/>
    <w:rsid w:val="00AD6B14"/>
    <w:rsid w:val="00AE054D"/>
    <w:rsid w:val="00AE0F71"/>
    <w:rsid w:val="00AE187A"/>
    <w:rsid w:val="00AE4C6C"/>
    <w:rsid w:val="00AF0E7A"/>
    <w:rsid w:val="00AF1529"/>
    <w:rsid w:val="00AF1EAF"/>
    <w:rsid w:val="00AF299B"/>
    <w:rsid w:val="00AF5449"/>
    <w:rsid w:val="00B01065"/>
    <w:rsid w:val="00B01851"/>
    <w:rsid w:val="00B02C9E"/>
    <w:rsid w:val="00B077D0"/>
    <w:rsid w:val="00B07DE9"/>
    <w:rsid w:val="00B15263"/>
    <w:rsid w:val="00B157AE"/>
    <w:rsid w:val="00B21F81"/>
    <w:rsid w:val="00B2319C"/>
    <w:rsid w:val="00B261AE"/>
    <w:rsid w:val="00B270FB"/>
    <w:rsid w:val="00B27A59"/>
    <w:rsid w:val="00B3478B"/>
    <w:rsid w:val="00B350A2"/>
    <w:rsid w:val="00B40E79"/>
    <w:rsid w:val="00B44F23"/>
    <w:rsid w:val="00B528CD"/>
    <w:rsid w:val="00B61540"/>
    <w:rsid w:val="00B7078C"/>
    <w:rsid w:val="00B74E6F"/>
    <w:rsid w:val="00B75B05"/>
    <w:rsid w:val="00B77502"/>
    <w:rsid w:val="00B81EA1"/>
    <w:rsid w:val="00B8445D"/>
    <w:rsid w:val="00B84BBA"/>
    <w:rsid w:val="00B853B6"/>
    <w:rsid w:val="00B96E09"/>
    <w:rsid w:val="00BA0617"/>
    <w:rsid w:val="00BA2B12"/>
    <w:rsid w:val="00BB01F8"/>
    <w:rsid w:val="00BB2E5C"/>
    <w:rsid w:val="00BB69CB"/>
    <w:rsid w:val="00BB7959"/>
    <w:rsid w:val="00BC33C2"/>
    <w:rsid w:val="00BC518D"/>
    <w:rsid w:val="00BC579D"/>
    <w:rsid w:val="00BC5D23"/>
    <w:rsid w:val="00BC6496"/>
    <w:rsid w:val="00BD0636"/>
    <w:rsid w:val="00BD10AD"/>
    <w:rsid w:val="00BD2C1C"/>
    <w:rsid w:val="00BD3F93"/>
    <w:rsid w:val="00BE2948"/>
    <w:rsid w:val="00BE69ED"/>
    <w:rsid w:val="00BF10F4"/>
    <w:rsid w:val="00BF5614"/>
    <w:rsid w:val="00BF7790"/>
    <w:rsid w:val="00C0272C"/>
    <w:rsid w:val="00C062B4"/>
    <w:rsid w:val="00C06D14"/>
    <w:rsid w:val="00C10E52"/>
    <w:rsid w:val="00C13AB8"/>
    <w:rsid w:val="00C14769"/>
    <w:rsid w:val="00C24139"/>
    <w:rsid w:val="00C27216"/>
    <w:rsid w:val="00C33A9B"/>
    <w:rsid w:val="00C41324"/>
    <w:rsid w:val="00C4428C"/>
    <w:rsid w:val="00C5145C"/>
    <w:rsid w:val="00C5196E"/>
    <w:rsid w:val="00C53DD2"/>
    <w:rsid w:val="00C56ACC"/>
    <w:rsid w:val="00C6179B"/>
    <w:rsid w:val="00C63920"/>
    <w:rsid w:val="00C65576"/>
    <w:rsid w:val="00C66462"/>
    <w:rsid w:val="00C71227"/>
    <w:rsid w:val="00C859DA"/>
    <w:rsid w:val="00C86D54"/>
    <w:rsid w:val="00C875F5"/>
    <w:rsid w:val="00C90011"/>
    <w:rsid w:val="00C93248"/>
    <w:rsid w:val="00C972BE"/>
    <w:rsid w:val="00CA0326"/>
    <w:rsid w:val="00CA03AE"/>
    <w:rsid w:val="00CA1FE3"/>
    <w:rsid w:val="00CB00FF"/>
    <w:rsid w:val="00CB42E7"/>
    <w:rsid w:val="00CB6F35"/>
    <w:rsid w:val="00CB7478"/>
    <w:rsid w:val="00CC102B"/>
    <w:rsid w:val="00CC1583"/>
    <w:rsid w:val="00CC6A97"/>
    <w:rsid w:val="00CC6B83"/>
    <w:rsid w:val="00CD06CD"/>
    <w:rsid w:val="00CD32C9"/>
    <w:rsid w:val="00CD4110"/>
    <w:rsid w:val="00CD4712"/>
    <w:rsid w:val="00CE16E1"/>
    <w:rsid w:val="00CE3EE5"/>
    <w:rsid w:val="00CE453C"/>
    <w:rsid w:val="00CE723D"/>
    <w:rsid w:val="00CF068B"/>
    <w:rsid w:val="00D01A87"/>
    <w:rsid w:val="00D02B60"/>
    <w:rsid w:val="00D049A5"/>
    <w:rsid w:val="00D04EF0"/>
    <w:rsid w:val="00D0570F"/>
    <w:rsid w:val="00D05FDD"/>
    <w:rsid w:val="00D13191"/>
    <w:rsid w:val="00D1395D"/>
    <w:rsid w:val="00D14F8E"/>
    <w:rsid w:val="00D16180"/>
    <w:rsid w:val="00D23140"/>
    <w:rsid w:val="00D2353A"/>
    <w:rsid w:val="00D24AE8"/>
    <w:rsid w:val="00D24BE0"/>
    <w:rsid w:val="00D2547D"/>
    <w:rsid w:val="00D30801"/>
    <w:rsid w:val="00D37D78"/>
    <w:rsid w:val="00D408A6"/>
    <w:rsid w:val="00D4218B"/>
    <w:rsid w:val="00D44FBB"/>
    <w:rsid w:val="00D468C6"/>
    <w:rsid w:val="00D54C88"/>
    <w:rsid w:val="00D60614"/>
    <w:rsid w:val="00D6151A"/>
    <w:rsid w:val="00D643BF"/>
    <w:rsid w:val="00D6475C"/>
    <w:rsid w:val="00D72C9A"/>
    <w:rsid w:val="00D76C5D"/>
    <w:rsid w:val="00D85756"/>
    <w:rsid w:val="00D90941"/>
    <w:rsid w:val="00D95487"/>
    <w:rsid w:val="00DA2C5D"/>
    <w:rsid w:val="00DA3475"/>
    <w:rsid w:val="00DA4E89"/>
    <w:rsid w:val="00DA6D49"/>
    <w:rsid w:val="00DB050D"/>
    <w:rsid w:val="00DB4277"/>
    <w:rsid w:val="00DC2FFD"/>
    <w:rsid w:val="00DD2882"/>
    <w:rsid w:val="00DD3817"/>
    <w:rsid w:val="00DD4E2D"/>
    <w:rsid w:val="00DE2258"/>
    <w:rsid w:val="00DF3094"/>
    <w:rsid w:val="00DF3F52"/>
    <w:rsid w:val="00DF5100"/>
    <w:rsid w:val="00DF565B"/>
    <w:rsid w:val="00DF6ECF"/>
    <w:rsid w:val="00E05FC1"/>
    <w:rsid w:val="00E07535"/>
    <w:rsid w:val="00E10333"/>
    <w:rsid w:val="00E1291C"/>
    <w:rsid w:val="00E26B65"/>
    <w:rsid w:val="00E27313"/>
    <w:rsid w:val="00E31BF5"/>
    <w:rsid w:val="00E322D8"/>
    <w:rsid w:val="00E435D0"/>
    <w:rsid w:val="00E43A1A"/>
    <w:rsid w:val="00E45D6D"/>
    <w:rsid w:val="00E45F21"/>
    <w:rsid w:val="00E4753A"/>
    <w:rsid w:val="00E52520"/>
    <w:rsid w:val="00E573AA"/>
    <w:rsid w:val="00E60B0E"/>
    <w:rsid w:val="00E63EFB"/>
    <w:rsid w:val="00E66AA9"/>
    <w:rsid w:val="00E66B49"/>
    <w:rsid w:val="00E70416"/>
    <w:rsid w:val="00E72F8F"/>
    <w:rsid w:val="00E73956"/>
    <w:rsid w:val="00E76302"/>
    <w:rsid w:val="00E764DC"/>
    <w:rsid w:val="00E828FD"/>
    <w:rsid w:val="00E84952"/>
    <w:rsid w:val="00E9198D"/>
    <w:rsid w:val="00E93F04"/>
    <w:rsid w:val="00E960EF"/>
    <w:rsid w:val="00EA5C42"/>
    <w:rsid w:val="00EB29F0"/>
    <w:rsid w:val="00EB49F6"/>
    <w:rsid w:val="00ED3548"/>
    <w:rsid w:val="00ED3E0A"/>
    <w:rsid w:val="00ED6DB7"/>
    <w:rsid w:val="00ED7E65"/>
    <w:rsid w:val="00EE4557"/>
    <w:rsid w:val="00EE7CA2"/>
    <w:rsid w:val="00EF11E6"/>
    <w:rsid w:val="00EF32BB"/>
    <w:rsid w:val="00EF560C"/>
    <w:rsid w:val="00EF6AC2"/>
    <w:rsid w:val="00EF7424"/>
    <w:rsid w:val="00F0194D"/>
    <w:rsid w:val="00F108C5"/>
    <w:rsid w:val="00F1240F"/>
    <w:rsid w:val="00F14078"/>
    <w:rsid w:val="00F14C25"/>
    <w:rsid w:val="00F14ED2"/>
    <w:rsid w:val="00F2120A"/>
    <w:rsid w:val="00F23694"/>
    <w:rsid w:val="00F23F62"/>
    <w:rsid w:val="00F361F8"/>
    <w:rsid w:val="00F36B3A"/>
    <w:rsid w:val="00F458D5"/>
    <w:rsid w:val="00F54EAF"/>
    <w:rsid w:val="00F626B5"/>
    <w:rsid w:val="00F6330D"/>
    <w:rsid w:val="00F64B56"/>
    <w:rsid w:val="00F67DF2"/>
    <w:rsid w:val="00F77138"/>
    <w:rsid w:val="00F85AA9"/>
    <w:rsid w:val="00F87F93"/>
    <w:rsid w:val="00F92D8D"/>
    <w:rsid w:val="00F945EB"/>
    <w:rsid w:val="00F94D38"/>
    <w:rsid w:val="00FA02D0"/>
    <w:rsid w:val="00FA0F82"/>
    <w:rsid w:val="00FA1908"/>
    <w:rsid w:val="00FA6F6B"/>
    <w:rsid w:val="00FB2C92"/>
    <w:rsid w:val="00FB2F19"/>
    <w:rsid w:val="00FB4A78"/>
    <w:rsid w:val="00FB5D1F"/>
    <w:rsid w:val="00FC5905"/>
    <w:rsid w:val="00FC5CC2"/>
    <w:rsid w:val="00FC732E"/>
    <w:rsid w:val="00FD2A6C"/>
    <w:rsid w:val="00FE0C75"/>
    <w:rsid w:val="00FE1AC0"/>
    <w:rsid w:val="00FE3304"/>
    <w:rsid w:val="00FE4D21"/>
    <w:rsid w:val="00FE4F65"/>
    <w:rsid w:val="00FE588F"/>
    <w:rsid w:val="00FF1811"/>
    <w:rsid w:val="00FF56D6"/>
    <w:rsid w:val="013A102A"/>
    <w:rsid w:val="01AA6604"/>
    <w:rsid w:val="02CB5403"/>
    <w:rsid w:val="04546750"/>
    <w:rsid w:val="08BA5771"/>
    <w:rsid w:val="08FA50E4"/>
    <w:rsid w:val="0A8C7FBE"/>
    <w:rsid w:val="0C2A7A8F"/>
    <w:rsid w:val="0D374B59"/>
    <w:rsid w:val="0F657030"/>
    <w:rsid w:val="10F16DCD"/>
    <w:rsid w:val="114736BA"/>
    <w:rsid w:val="14E1184E"/>
    <w:rsid w:val="15137B2E"/>
    <w:rsid w:val="156A00CF"/>
    <w:rsid w:val="17C61017"/>
    <w:rsid w:val="19BC1F42"/>
    <w:rsid w:val="1AE71781"/>
    <w:rsid w:val="240D3AC6"/>
    <w:rsid w:val="26154EB4"/>
    <w:rsid w:val="262772A4"/>
    <w:rsid w:val="28D61F58"/>
    <w:rsid w:val="29A73A5D"/>
    <w:rsid w:val="2D55028C"/>
    <w:rsid w:val="2EFD6BCE"/>
    <w:rsid w:val="30922598"/>
    <w:rsid w:val="31387BF3"/>
    <w:rsid w:val="31973569"/>
    <w:rsid w:val="32794A1C"/>
    <w:rsid w:val="34D32B0A"/>
    <w:rsid w:val="3784633D"/>
    <w:rsid w:val="39AE31FE"/>
    <w:rsid w:val="3A30646D"/>
    <w:rsid w:val="3A766411"/>
    <w:rsid w:val="3B4E2E78"/>
    <w:rsid w:val="3D77114B"/>
    <w:rsid w:val="41B96BE3"/>
    <w:rsid w:val="43AC2EA4"/>
    <w:rsid w:val="45090E01"/>
    <w:rsid w:val="46D06EA9"/>
    <w:rsid w:val="4760647F"/>
    <w:rsid w:val="4B756271"/>
    <w:rsid w:val="4E5D0C16"/>
    <w:rsid w:val="4FF260E2"/>
    <w:rsid w:val="52466271"/>
    <w:rsid w:val="545B1C9B"/>
    <w:rsid w:val="5521453D"/>
    <w:rsid w:val="574014E1"/>
    <w:rsid w:val="584706B2"/>
    <w:rsid w:val="5A146C55"/>
    <w:rsid w:val="5B231846"/>
    <w:rsid w:val="5C361105"/>
    <w:rsid w:val="5C3D6937"/>
    <w:rsid w:val="5E1C45CB"/>
    <w:rsid w:val="5EBC158A"/>
    <w:rsid w:val="5F2E6A0B"/>
    <w:rsid w:val="600A2FD4"/>
    <w:rsid w:val="60D5538B"/>
    <w:rsid w:val="60EC4EEA"/>
    <w:rsid w:val="64183C13"/>
    <w:rsid w:val="65E80B30"/>
    <w:rsid w:val="66886D04"/>
    <w:rsid w:val="68AF296B"/>
    <w:rsid w:val="690311CC"/>
    <w:rsid w:val="6CC46B19"/>
    <w:rsid w:val="6E4650AB"/>
    <w:rsid w:val="6F9A2A7D"/>
    <w:rsid w:val="70412A09"/>
    <w:rsid w:val="75BF3AC1"/>
    <w:rsid w:val="75F46940"/>
    <w:rsid w:val="78A12D6F"/>
    <w:rsid w:val="7C574A54"/>
    <w:rsid w:val="7D87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宋体" w:hAnsi="宋体"/>
      <w:kern w:val="0"/>
      <w:sz w:val="32"/>
      <w:szCs w:val="32"/>
    </w:rPr>
  </w:style>
  <w:style w:type="paragraph" w:styleId="4">
    <w:name w:val="Date"/>
    <w:basedOn w:val="1"/>
    <w:next w:val="1"/>
    <w:link w:val="15"/>
    <w:unhideWhenUsed/>
    <w:uiPriority w:val="99"/>
    <w:pPr>
      <w:ind w:left="100" w:leftChars="2500"/>
    </w:pPr>
  </w:style>
  <w:style w:type="paragraph" w:styleId="5">
    <w:name w:val="footer"/>
    <w:basedOn w:val="1"/>
    <w:link w:val="16"/>
    <w:unhideWhenUsed/>
    <w:uiPriority w:val="99"/>
    <w:pPr>
      <w:tabs>
        <w:tab w:val="center" w:pos="4153"/>
        <w:tab w:val="right" w:pos="8306"/>
      </w:tabs>
      <w:snapToGrid w:val="0"/>
      <w:jc w:val="left"/>
    </w:pPr>
    <w:rPr>
      <w:kern w:val="0"/>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uiPriority w:val="0"/>
  </w:style>
  <w:style w:type="character" w:customStyle="1" w:styleId="13">
    <w:name w:val="标题 1 Char"/>
    <w:link w:val="2"/>
    <w:uiPriority w:val="9"/>
    <w:rPr>
      <w:b/>
      <w:bCs/>
      <w:kern w:val="44"/>
      <w:sz w:val="44"/>
      <w:szCs w:val="44"/>
    </w:rPr>
  </w:style>
  <w:style w:type="character" w:customStyle="1" w:styleId="14">
    <w:name w:val="正文文本 Char"/>
    <w:link w:val="3"/>
    <w:uiPriority w:val="1"/>
    <w:rPr>
      <w:rFonts w:ascii="宋体" w:hAnsi="宋体" w:eastAsia="宋体" w:cs="宋体"/>
      <w:sz w:val="32"/>
      <w:szCs w:val="32"/>
    </w:rPr>
  </w:style>
  <w:style w:type="character" w:customStyle="1" w:styleId="15">
    <w:name w:val="日期 Char"/>
    <w:basedOn w:val="10"/>
    <w:link w:val="4"/>
    <w:semiHidden/>
    <w:uiPriority w:val="99"/>
  </w:style>
  <w:style w:type="character" w:customStyle="1" w:styleId="16">
    <w:name w:val="页脚 Char"/>
    <w:link w:val="5"/>
    <w:uiPriority w:val="99"/>
    <w:rPr>
      <w:sz w:val="18"/>
      <w:szCs w:val="18"/>
    </w:rPr>
  </w:style>
  <w:style w:type="character" w:customStyle="1" w:styleId="17">
    <w:name w:val="页眉 Char"/>
    <w:link w:val="6"/>
    <w:semiHidden/>
    <w:uiPriority w:val="99"/>
    <w:rPr>
      <w:sz w:val="18"/>
      <w:szCs w:val="18"/>
    </w:rPr>
  </w:style>
  <w:style w:type="paragraph" w:styleId="18">
    <w:name w:val="List Paragraph"/>
    <w:basedOn w:val="1"/>
    <w:qFormat/>
    <w:uiPriority w:val="1"/>
    <w:pPr>
      <w:ind w:firstLine="420" w:firstLineChars="200"/>
    </w:pPr>
  </w:style>
  <w:style w:type="paragraph" w:customStyle="1" w:styleId="19">
    <w:name w:val="正文1"/>
    <w:basedOn w:val="1"/>
    <w:uiPriority w:val="0"/>
    <w:pPr>
      <w:widowControl/>
      <w:spacing w:line="480" w:lineRule="exact"/>
    </w:pPr>
    <w:rPr>
      <w:rFonts w:eastAsia="Calibri"/>
      <w:kern w:val="0"/>
      <w:szCs w:val="20"/>
      <w:lang w:val="zh-CN"/>
    </w:rPr>
  </w:style>
  <w:style w:type="table" w:customStyle="1" w:styleId="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1">
    <w:name w:val="Heading 3"/>
    <w:basedOn w:val="1"/>
    <w:qFormat/>
    <w:uiPriority w:val="1"/>
    <w:pPr>
      <w:autoSpaceDE w:val="0"/>
      <w:autoSpaceDN w:val="0"/>
      <w:ind w:left="887"/>
      <w:jc w:val="left"/>
      <w:outlineLvl w:val="3"/>
    </w:pPr>
    <w:rPr>
      <w:rFonts w:ascii="微软雅黑" w:hAnsi="微软雅黑" w:eastAsia="微软雅黑" w:cs="微软雅黑"/>
      <w:b/>
      <w:bCs/>
      <w:kern w:val="0"/>
      <w:sz w:val="32"/>
      <w:szCs w:val="32"/>
    </w:rPr>
  </w:style>
  <w:style w:type="paragraph" w:customStyle="1" w:styleId="22">
    <w:name w:val="Table Paragraph"/>
    <w:basedOn w:val="1"/>
    <w:qFormat/>
    <w:uiPriority w:val="1"/>
    <w:pPr>
      <w:autoSpaceDE w:val="0"/>
      <w:autoSpaceDN w:val="0"/>
      <w:jc w:val="left"/>
    </w:pPr>
    <w:rPr>
      <w:rFonts w:ascii="宋体" w:hAnsi="宋体" w:cs="宋体"/>
      <w:kern w:val="0"/>
      <w:sz w:val="22"/>
    </w:rPr>
  </w:style>
  <w:style w:type="character" w:customStyle="1" w:styleId="23">
    <w:name w:val="font1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蚌埠中兴</Company>
  <Pages>36</Pages>
  <Words>1789</Words>
  <Characters>10198</Characters>
  <Lines>84</Lines>
  <Paragraphs>23</Paragraphs>
  <TotalTime>0</TotalTime>
  <ScaleCrop>false</ScaleCrop>
  <LinksUpToDate>false</LinksUpToDate>
  <CharactersWithSpaces>11964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2024-03-04T06:32:00Z</dcterms:created>
  <dc:creator>王春梅</dc:creator>
  <cp:lastModifiedBy>Administrator</cp:lastModifiedBy>
  <cp:lastPrinted>2024-02-19T01:37:00Z</cp:lastPrinted>
  <dcterms:modified xsi:type="dcterms:W3CDTF">2024-03-20T02:32:20Z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0D53FE3A06E04491A8D7356C77B5680C_13</vt:lpwstr>
  </property>
</Properties>
</file>