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30" w:right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ind w:left="630" w:leftChars="300" w:right="630" w:rightChars="300"/>
        <w:jc w:val="center"/>
        <w:rPr>
          <w:rFonts w:hint="eastAsia" w:ascii="黑体" w:eastAsia="黑体"/>
          <w:sz w:val="52"/>
          <w:szCs w:val="52"/>
        </w:rPr>
      </w:pPr>
      <w:r>
        <w:rPr>
          <w:rFonts w:hint="eastAsia" w:ascii="黑体" w:eastAsia="黑体"/>
          <w:sz w:val="52"/>
          <w:szCs w:val="52"/>
        </w:rPr>
        <w:t>五河县武桥镇人民政府2024年部门预算</w:t>
      </w:r>
    </w:p>
    <w:p>
      <w:pPr>
        <w:jc w:val="left"/>
        <w:rPr>
          <w:rFonts w:ascii="黑体" w:eastAsia="黑体"/>
          <w:sz w:val="36"/>
          <w:szCs w:val="36"/>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2024年2月</w:t>
      </w:r>
    </w:p>
    <w:p>
      <w:pPr>
        <w:pStyle w:val="7"/>
        <w:adjustRightInd w:val="0"/>
        <w:snapToGrid w:val="0"/>
        <w:spacing w:before="0" w:beforeAutospacing="0" w:after="0" w:afterAutospacing="0" w:line="360" w:lineRule="auto"/>
        <w:rPr>
          <w:rFonts w:hint="eastAsia" w:ascii="黑体" w:hAnsi="黑体" w:eastAsia="黑体"/>
          <w:bCs/>
          <w:sz w:val="44"/>
          <w:szCs w:val="44"/>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目 录</w:t>
      </w:r>
    </w:p>
    <w:p>
      <w:pPr>
        <w:pStyle w:val="7"/>
        <w:adjustRightInd w:val="0"/>
        <w:snapToGrid w:val="0"/>
        <w:spacing w:before="0" w:beforeAutospacing="0" w:after="0" w:afterAutospacing="0" w:line="540" w:lineRule="exact"/>
        <w:ind w:firstLine="643" w:firstLineChars="200"/>
        <w:jc w:val="both"/>
        <w:rPr>
          <w:rFonts w:hint="eastAsia"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2.部门预算单位构成</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3.2024年度主要工作任务</w:t>
      </w:r>
    </w:p>
    <w:p>
      <w:pPr>
        <w:pStyle w:val="7"/>
        <w:adjustRightInd w:val="0"/>
        <w:snapToGrid w:val="0"/>
        <w:spacing w:before="0" w:beforeAutospacing="0" w:after="0" w:afterAutospacing="0" w:line="54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第二部分 2024年部门预算情况说明</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1.关于2024年收支总表的说明</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2.关于2024年</w:t>
      </w:r>
      <w:r>
        <w:rPr>
          <w:rFonts w:ascii="TimesNewRoman" w:hAnsi="TimesNewRoman" w:eastAsia="仿宋_GB2312" w:cs="TimesNewRoman"/>
          <w:bCs/>
          <w:sz w:val="32"/>
          <w:szCs w:val="32"/>
        </w:rPr>
        <w:t>收入总表的说明</w:t>
      </w:r>
    </w:p>
    <w:p>
      <w:pPr>
        <w:pStyle w:val="7"/>
        <w:adjustRightInd w:val="0"/>
        <w:snapToGrid w:val="0"/>
        <w:spacing w:before="0" w:beforeAutospacing="0" w:after="0" w:afterAutospacing="0"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3.关于2024年支出总表的说明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4.关于</w:t>
      </w:r>
      <w:r>
        <w:rPr>
          <w:rFonts w:ascii="TimesNewRoman" w:hAnsi="TimesNewRoman" w:eastAsia="仿宋_GB2312" w:cs="TimesNewRoman"/>
          <w:bCs/>
          <w:sz w:val="32"/>
          <w:szCs w:val="32"/>
          <w:lang w:val="en"/>
        </w:rPr>
        <w:t>2024</w:t>
      </w:r>
      <w:r>
        <w:rPr>
          <w:rFonts w:ascii="TimesNewRoman" w:hAnsi="TimesNewRoman" w:eastAsia="仿宋_GB2312" w:cs="TimesNewRoman"/>
          <w:bCs/>
          <w:sz w:val="32"/>
          <w:szCs w:val="32"/>
        </w:rPr>
        <w:t>年财政拨款收支总表的说明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5.关于</w:t>
      </w:r>
      <w:r>
        <w:rPr>
          <w:rFonts w:ascii="TimesNewRoman" w:hAnsi="TimesNewRoman" w:eastAsia="仿宋_GB2312" w:cs="TimesNewRoman"/>
          <w:bCs/>
          <w:sz w:val="32"/>
          <w:szCs w:val="32"/>
          <w:lang w:val="en"/>
        </w:rPr>
        <w:t>2024</w:t>
      </w:r>
      <w:r>
        <w:rPr>
          <w:rFonts w:ascii="TimesNewRoman" w:hAnsi="TimesNewRoman" w:eastAsia="仿宋_GB2312" w:cs="TimesNewRoman"/>
          <w:bCs/>
          <w:sz w:val="32"/>
          <w:szCs w:val="32"/>
        </w:rPr>
        <w:t>年一般公共预算支出表的说明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6.关于</w:t>
      </w:r>
      <w:r>
        <w:rPr>
          <w:rFonts w:ascii="TimesNewRoman" w:hAnsi="TimesNewRoman" w:eastAsia="仿宋_GB2312" w:cs="TimesNewRoman"/>
          <w:bCs/>
          <w:sz w:val="32"/>
          <w:szCs w:val="32"/>
          <w:lang w:val="en"/>
        </w:rPr>
        <w:t>2024</w:t>
      </w:r>
      <w:r>
        <w:rPr>
          <w:rFonts w:ascii="TimesNewRoman" w:hAnsi="TimesNewRoman" w:eastAsia="仿宋_GB2312" w:cs="TimesNewRoman"/>
          <w:bCs/>
          <w:sz w:val="32"/>
          <w:szCs w:val="32"/>
        </w:rPr>
        <w:t>年一般公共预算基本支出表的说明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7.关于</w:t>
      </w:r>
      <w:r>
        <w:rPr>
          <w:rFonts w:ascii="TimesNewRoman" w:hAnsi="TimesNewRoman" w:eastAsia="仿宋_GB2312" w:cs="TimesNewRoman"/>
          <w:bCs/>
          <w:sz w:val="32"/>
          <w:szCs w:val="32"/>
          <w:lang w:val="en"/>
        </w:rPr>
        <w:t>2024</w:t>
      </w:r>
      <w:r>
        <w:rPr>
          <w:rFonts w:ascii="TimesNewRoman" w:hAnsi="TimesNewRoman" w:eastAsia="仿宋_GB2312" w:cs="TimesNewRoman"/>
          <w:bCs/>
          <w:sz w:val="32"/>
          <w:szCs w:val="32"/>
        </w:rPr>
        <w:t>年政府性基金预算支出表的说明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8.关于</w:t>
      </w:r>
      <w:r>
        <w:rPr>
          <w:rFonts w:ascii="TimesNewRoman" w:hAnsi="TimesNewRoman" w:eastAsia="仿宋_GB2312" w:cs="TimesNewRoman"/>
          <w:bCs/>
          <w:sz w:val="32"/>
          <w:szCs w:val="32"/>
          <w:lang w:val="en"/>
        </w:rPr>
        <w:t>2024</w:t>
      </w:r>
      <w:r>
        <w:rPr>
          <w:rFonts w:ascii="TimesNewRoman" w:hAnsi="TimesNewRoman" w:eastAsia="仿宋_GB2312" w:cs="TimesNewRoman"/>
          <w:bCs/>
          <w:sz w:val="32"/>
          <w:szCs w:val="32"/>
        </w:rPr>
        <w:t>年国有资本经营预算支出表的说明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9.关于</w:t>
      </w:r>
      <w:r>
        <w:rPr>
          <w:rFonts w:ascii="TimesNewRoman" w:hAnsi="TimesNewRoman" w:eastAsia="仿宋_GB2312" w:cs="TimesNewRoman"/>
          <w:bCs/>
          <w:sz w:val="32"/>
          <w:szCs w:val="32"/>
          <w:lang w:val="en"/>
        </w:rPr>
        <w:t>2024</w:t>
      </w:r>
      <w:r>
        <w:rPr>
          <w:rFonts w:ascii="TimesNewRoman" w:hAnsi="TimesNewRoman" w:eastAsia="仿宋_GB2312" w:cs="TimesNewRoman"/>
          <w:bCs/>
          <w:sz w:val="32"/>
          <w:szCs w:val="32"/>
        </w:rPr>
        <w:t>年项目支出表的说明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10.关于</w:t>
      </w:r>
      <w:r>
        <w:rPr>
          <w:rFonts w:ascii="TimesNewRoman" w:hAnsi="TimesNewRoman" w:eastAsia="仿宋_GB2312" w:cs="TimesNewRoman"/>
          <w:bCs/>
          <w:sz w:val="32"/>
          <w:szCs w:val="32"/>
          <w:lang w:val="en"/>
        </w:rPr>
        <w:t>2024</w:t>
      </w:r>
      <w:r>
        <w:rPr>
          <w:rFonts w:ascii="TimesNewRoman" w:hAnsi="TimesNewRoman" w:eastAsia="仿宋_GB2312" w:cs="TimesNewRoman"/>
          <w:bCs/>
          <w:sz w:val="32"/>
          <w:szCs w:val="32"/>
        </w:rPr>
        <w:t>年政府采购支出表的说明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11.关于</w:t>
      </w:r>
      <w:r>
        <w:rPr>
          <w:rFonts w:ascii="TimesNewRoman" w:hAnsi="TimesNewRoman" w:eastAsia="仿宋_GB2312" w:cs="TimesNewRoman"/>
          <w:bCs/>
          <w:sz w:val="32"/>
          <w:szCs w:val="32"/>
          <w:lang w:val="en"/>
        </w:rPr>
        <w:t>2024</w:t>
      </w:r>
      <w:r>
        <w:rPr>
          <w:rFonts w:ascii="TimesNewRoman" w:hAnsi="TimesNewRoman" w:eastAsia="仿宋_GB2312" w:cs="TimesNewRoman"/>
          <w:bCs/>
          <w:sz w:val="32"/>
          <w:szCs w:val="32"/>
        </w:rPr>
        <w:t>年政府购买服务支出表的说明</w:t>
      </w:r>
    </w:p>
    <w:p>
      <w:pPr>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12.其他重要事项情况说明</w:t>
      </w:r>
    </w:p>
    <w:p>
      <w:pPr>
        <w:pStyle w:val="7"/>
        <w:adjustRightInd w:val="0"/>
        <w:snapToGrid w:val="0"/>
        <w:spacing w:before="0" w:beforeAutospacing="0" w:after="0" w:afterAutospacing="0" w:line="540" w:lineRule="exact"/>
        <w:ind w:firstLine="643"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第三部分 名词解释</w:t>
      </w:r>
    </w:p>
    <w:p>
      <w:pPr>
        <w:pStyle w:val="7"/>
        <w:adjustRightInd w:val="0"/>
        <w:snapToGrid w:val="0"/>
        <w:spacing w:before="0" w:beforeAutospacing="0" w:after="0" w:afterAutospacing="0" w:line="540" w:lineRule="exact"/>
        <w:ind w:firstLine="643" w:firstLineChars="200"/>
        <w:rPr>
          <w:rFonts w:ascii="仿宋_GB2312" w:hAnsi="仿宋" w:eastAsia="仿宋_GB2312" w:cs="仿宋"/>
          <w:b/>
          <w:sz w:val="32"/>
          <w:szCs w:val="32"/>
        </w:rPr>
      </w:pPr>
      <w:r>
        <w:rPr>
          <w:rFonts w:ascii="仿宋_GB2312" w:hAnsi="仿宋" w:eastAsia="仿宋_GB2312" w:cs="仿宋"/>
          <w:b/>
          <w:sz w:val="32"/>
          <w:szCs w:val="32"/>
        </w:rPr>
        <w:t>第</w:t>
      </w:r>
      <w:r>
        <w:rPr>
          <w:rFonts w:hint="eastAsia" w:ascii="仿宋_GB2312" w:hAnsi="仿宋" w:eastAsia="仿宋_GB2312" w:cs="仿宋"/>
          <w:b/>
          <w:sz w:val="32"/>
          <w:szCs w:val="32"/>
        </w:rPr>
        <w:t>四</w:t>
      </w:r>
      <w:r>
        <w:rPr>
          <w:rFonts w:ascii="仿宋_GB2312" w:hAnsi="仿宋" w:eastAsia="仿宋_GB2312" w:cs="仿宋"/>
          <w:b/>
          <w:sz w:val="32"/>
          <w:szCs w:val="32"/>
        </w:rPr>
        <w:t xml:space="preserve">部分 </w:t>
      </w:r>
      <w:r>
        <w:rPr>
          <w:rFonts w:hint="eastAsia" w:ascii="仿宋_GB2312" w:hAnsi="仿宋" w:eastAsia="仿宋_GB2312" w:cs="仿宋"/>
          <w:b/>
          <w:sz w:val="32"/>
          <w:szCs w:val="32"/>
        </w:rPr>
        <w:t>2024年部门预算公开附表</w:t>
      </w:r>
    </w:p>
    <w:p>
      <w:pPr>
        <w:spacing w:line="560" w:lineRule="exact"/>
        <w:ind w:firstLine="180" w:firstLineChars="50"/>
        <w:rPr>
          <w:rFonts w:hint="eastAsia" w:ascii="黑体" w:eastAsia="黑体"/>
          <w:sz w:val="36"/>
          <w:szCs w:val="36"/>
        </w:rPr>
      </w:pPr>
    </w:p>
    <w:p>
      <w:pPr>
        <w:spacing w:line="560" w:lineRule="exact"/>
        <w:ind w:firstLine="180" w:firstLineChars="50"/>
        <w:jc w:val="center"/>
        <w:rPr>
          <w:rFonts w:hint="eastAsia" w:ascii="黑体" w:eastAsia="黑体"/>
          <w:sz w:val="36"/>
          <w:szCs w:val="36"/>
        </w:rPr>
      </w:pPr>
      <w:r>
        <w:rPr>
          <w:rFonts w:hint="eastAsia" w:ascii="黑体" w:eastAsia="黑体"/>
          <w:sz w:val="36"/>
          <w:szCs w:val="36"/>
        </w:rPr>
        <w:br w:type="page"/>
      </w:r>
      <w:r>
        <w:rPr>
          <w:rFonts w:hint="eastAsia" w:ascii="黑体" w:eastAsia="黑体"/>
          <w:sz w:val="36"/>
          <w:szCs w:val="36"/>
        </w:rPr>
        <w:t>第一部分   部门概况</w:t>
      </w:r>
    </w:p>
    <w:p>
      <w:pPr>
        <w:spacing w:line="560" w:lineRule="exact"/>
        <w:ind w:firstLine="643" w:firstLineChars="200"/>
        <w:jc w:val="left"/>
        <w:rPr>
          <w:rFonts w:hint="eastAsia" w:ascii="仿宋_GB2312" w:eastAsia="仿宋_GB2312"/>
          <w:b/>
          <w:sz w:val="32"/>
          <w:szCs w:val="32"/>
        </w:rPr>
      </w:pPr>
    </w:p>
    <w:p>
      <w:pPr>
        <w:spacing w:line="56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ind w:firstLine="320" w:firstLineChars="100"/>
        <w:rPr>
          <w:rFonts w:hint="eastAsia" w:ascii="仿宋_GB2312" w:eastAsia="仿宋_GB2312"/>
          <w:sz w:val="32"/>
          <w:szCs w:val="32"/>
        </w:rPr>
      </w:pPr>
      <w:r>
        <w:rPr>
          <w:rFonts w:hint="eastAsia" w:ascii="仿宋_GB2312" w:eastAsia="仿宋_GB2312"/>
          <w:sz w:val="32"/>
          <w:szCs w:val="32"/>
        </w:rPr>
        <w:t>1、 执行国家行政机关的决定、命令和国家制定的法令、法规，执行本级人民代表大会的各项决议，并报告执行决议、决定和命令的情况。</w:t>
      </w:r>
    </w:p>
    <w:p>
      <w:pPr>
        <w:ind w:firstLine="320" w:firstLineChars="100"/>
        <w:rPr>
          <w:rFonts w:hint="eastAsia" w:ascii="仿宋_GB2312" w:eastAsia="仿宋_GB2312"/>
          <w:sz w:val="32"/>
          <w:szCs w:val="32"/>
        </w:rPr>
      </w:pPr>
      <w:r>
        <w:rPr>
          <w:rFonts w:hint="eastAsia" w:ascii="仿宋_GB2312" w:eastAsia="仿宋_GB2312"/>
          <w:sz w:val="32"/>
          <w:szCs w:val="32"/>
        </w:rPr>
        <w:t>2、制定并落实本行政区域的经济计划和措施，全面提高人民群众的生活水平和生活质量。</w:t>
      </w:r>
    </w:p>
    <w:p>
      <w:pPr>
        <w:rPr>
          <w:rFonts w:hint="eastAsia" w:ascii="仿宋_GB2312" w:eastAsia="仿宋_GB2312"/>
          <w:sz w:val="32"/>
          <w:szCs w:val="32"/>
        </w:rPr>
      </w:pPr>
      <w:r>
        <w:rPr>
          <w:rFonts w:hint="eastAsia" w:ascii="仿宋_GB2312" w:eastAsia="仿宋_GB2312"/>
          <w:sz w:val="32"/>
          <w:szCs w:val="32"/>
        </w:rPr>
        <w:t xml:space="preserve">  3、承担国有资产、集体资产管理、监督及增值保值责任。</w:t>
      </w:r>
    </w:p>
    <w:p>
      <w:pPr>
        <w:ind w:firstLine="320" w:firstLineChars="100"/>
        <w:rPr>
          <w:rFonts w:hint="eastAsia" w:ascii="仿宋_GB2312" w:eastAsia="仿宋_GB2312"/>
          <w:sz w:val="32"/>
          <w:szCs w:val="32"/>
        </w:rPr>
      </w:pPr>
      <w:r>
        <w:rPr>
          <w:rFonts w:hint="eastAsia" w:ascii="仿宋_GB2312" w:eastAsia="仿宋_GB2312"/>
          <w:sz w:val="32"/>
          <w:szCs w:val="32"/>
        </w:rPr>
        <w:t>4、开展社会主义民主和法制的宣传教育，保障公民的权利，打击违法犯罪，维护社会稳定。</w:t>
      </w:r>
    </w:p>
    <w:p>
      <w:pPr>
        <w:ind w:firstLine="320" w:firstLineChars="100"/>
        <w:rPr>
          <w:rFonts w:hint="eastAsia" w:ascii="仿宋_GB2312" w:eastAsia="仿宋_GB2312"/>
          <w:sz w:val="32"/>
          <w:szCs w:val="32"/>
        </w:rPr>
      </w:pPr>
      <w:r>
        <w:rPr>
          <w:rFonts w:hint="eastAsia" w:ascii="仿宋_GB2312" w:eastAsia="仿宋_GB2312"/>
          <w:sz w:val="32"/>
          <w:szCs w:val="32"/>
        </w:rPr>
        <w:t>5、制定社会各项事业发展计划，发展教育、卫生健康、科技、民政、广播电视、文化、体育事业；推进社会保障、社会福利事业和养老保险等工作。</w:t>
      </w:r>
    </w:p>
    <w:p>
      <w:pPr>
        <w:ind w:firstLine="320" w:firstLineChars="100"/>
        <w:rPr>
          <w:rFonts w:hint="eastAsia" w:ascii="仿宋_GB2312" w:eastAsia="仿宋_GB2312"/>
          <w:sz w:val="32"/>
          <w:szCs w:val="32"/>
        </w:rPr>
      </w:pPr>
      <w:r>
        <w:rPr>
          <w:rFonts w:hint="eastAsia" w:ascii="仿宋_GB2312" w:eastAsia="仿宋_GB2312"/>
          <w:sz w:val="32"/>
          <w:szCs w:val="32"/>
        </w:rPr>
        <w:t>6、加强镇级财政的监督和管理。</w:t>
      </w:r>
    </w:p>
    <w:p>
      <w:pPr>
        <w:ind w:firstLine="320" w:firstLineChars="100"/>
        <w:rPr>
          <w:rFonts w:hint="eastAsia" w:ascii="仿宋_GB2312" w:eastAsia="仿宋_GB2312"/>
          <w:sz w:val="32"/>
          <w:szCs w:val="32"/>
        </w:rPr>
      </w:pPr>
      <w:r>
        <w:rPr>
          <w:rFonts w:hint="eastAsia" w:ascii="仿宋_GB2312" w:eastAsia="仿宋_GB2312"/>
          <w:sz w:val="32"/>
          <w:szCs w:val="32"/>
        </w:rPr>
        <w:t>7、指导村（居）民委员会的组织制度建设和业务建设，促进村（居）民委员会民主自治。</w:t>
      </w:r>
    </w:p>
    <w:p>
      <w:pPr>
        <w:ind w:firstLine="320" w:firstLineChars="100"/>
        <w:rPr>
          <w:rFonts w:hint="eastAsia" w:ascii="仿宋_GB2312" w:eastAsia="仿宋_GB2312"/>
          <w:sz w:val="32"/>
          <w:szCs w:val="32"/>
        </w:rPr>
      </w:pPr>
      <w:r>
        <w:rPr>
          <w:rFonts w:hint="eastAsia" w:ascii="仿宋_GB2312" w:eastAsia="仿宋_GB2312"/>
          <w:sz w:val="32"/>
          <w:szCs w:val="32"/>
        </w:rPr>
        <w:t>8、制定和组织实施镇村建设规划，保护和改善生活环境和生态环境。</w:t>
      </w:r>
    </w:p>
    <w:p>
      <w:pPr>
        <w:rPr>
          <w:rFonts w:hint="eastAsia" w:ascii="仿宋_GB2312" w:eastAsia="仿宋_GB2312"/>
          <w:sz w:val="32"/>
          <w:szCs w:val="32"/>
        </w:rPr>
      </w:pPr>
      <w:r>
        <w:rPr>
          <w:rFonts w:hint="eastAsia" w:ascii="仿宋_GB2312" w:eastAsia="仿宋_GB2312"/>
          <w:sz w:val="32"/>
          <w:szCs w:val="32"/>
        </w:rPr>
        <w:t xml:space="preserve">  9、协助和支持设置在本行政区域内不隶属于镇的国家机关和企事业单位工作，监督其遵守和执行国家的法律、法规和政策。</w:t>
      </w:r>
    </w:p>
    <w:p>
      <w:pPr>
        <w:rPr>
          <w:rFonts w:hint="eastAsia" w:ascii="宋体"/>
          <w:sz w:val="32"/>
          <w:szCs w:val="32"/>
        </w:rPr>
      </w:pPr>
      <w:r>
        <w:rPr>
          <w:rFonts w:hint="eastAsia" w:ascii="仿宋_GB2312" w:eastAsia="仿宋_GB2312"/>
          <w:sz w:val="32"/>
          <w:szCs w:val="32"/>
        </w:rPr>
        <w:t>10、承办本级党委、人大和上级交办的其它事项</w:t>
      </w:r>
      <w:r>
        <w:rPr>
          <w:rFonts w:hint="eastAsia"/>
          <w:sz w:val="32"/>
          <w:szCs w:val="32"/>
        </w:rPr>
        <w:t>。</w:t>
      </w:r>
    </w:p>
    <w:p>
      <w:pPr>
        <w:ind w:firstLine="640" w:firstLineChars="200"/>
        <w:jc w:val="left"/>
        <w:rPr>
          <w:rFonts w:hint="eastAsia" w:ascii="仿宋_GB2312" w:eastAsia="仿宋_GB2312"/>
          <w:sz w:val="32"/>
          <w:szCs w:val="32"/>
        </w:rPr>
      </w:pPr>
      <w:r>
        <w:rPr>
          <w:rFonts w:hint="eastAsia" w:ascii="黑体" w:eastAsia="黑体"/>
          <w:sz w:val="32"/>
          <w:szCs w:val="32"/>
        </w:rPr>
        <w:t>二、部门预算构成</w:t>
      </w:r>
    </w:p>
    <w:p>
      <w:pPr>
        <w:adjustRightInd w:val="0"/>
        <w:snapToGrid w:val="0"/>
        <w:spacing w:line="560" w:lineRule="exact"/>
        <w:ind w:firstLine="480" w:firstLineChars="150"/>
        <w:outlineLvl w:val="0"/>
        <w:rPr>
          <w:rFonts w:hint="eastAsia" w:ascii="黑体" w:eastAsia="黑体"/>
          <w:sz w:val="32"/>
          <w:szCs w:val="32"/>
        </w:rPr>
      </w:pPr>
      <w:r>
        <w:rPr>
          <w:rFonts w:ascii="TimesNewRoman" w:hAnsi="TimesNewRoman" w:eastAsia="仿宋_GB2312" w:cs="TimesNewRoman"/>
          <w:sz w:val="32"/>
          <w:szCs w:val="32"/>
        </w:rPr>
        <w:t>从预算单位构成看，</w:t>
      </w:r>
      <w:r>
        <w:rPr>
          <w:rFonts w:hint="eastAsia" w:ascii="TimesNewRoman" w:hAnsi="TimesNewRoman" w:eastAsia="仿宋_GB2312" w:cs="TimesNewRoman"/>
          <w:sz w:val="32"/>
          <w:szCs w:val="32"/>
        </w:rPr>
        <w:t>五河县武桥镇人民政府部门</w:t>
      </w:r>
      <w:r>
        <w:rPr>
          <w:rFonts w:ascii="TimesNewRoman" w:hAnsi="TimesNewRoman" w:eastAsia="仿宋_GB2312" w:cs="TimesNewRoman"/>
          <w:sz w:val="32"/>
          <w:szCs w:val="32"/>
          <w:lang w:val="en"/>
        </w:rPr>
        <w:t>2024</w:t>
      </w:r>
      <w:r>
        <w:rPr>
          <w:rFonts w:ascii="TimesNewRoman" w:hAnsi="TimesNewRoman" w:eastAsia="仿宋_GB2312" w:cs="TimesNewRoman"/>
          <w:sz w:val="32"/>
          <w:szCs w:val="32"/>
        </w:rPr>
        <w:t>年度部门预算仅包括</w:t>
      </w:r>
      <w:r>
        <w:rPr>
          <w:rFonts w:hint="eastAsia" w:ascii="TimesNewRoman" w:hAnsi="TimesNewRoman" w:eastAsia="仿宋_GB2312" w:cs="TimesNewRoman"/>
          <w:sz w:val="32"/>
          <w:szCs w:val="32"/>
        </w:rPr>
        <w:t>镇</w:t>
      </w:r>
      <w:r>
        <w:rPr>
          <w:rFonts w:ascii="TimesNewRoman" w:hAnsi="TimesNewRoman" w:eastAsia="仿宋_GB2312" w:cs="TimesNewRoman"/>
          <w:sz w:val="32"/>
          <w:szCs w:val="32"/>
        </w:rPr>
        <w:t>本级预算，无其他下属单位预算。</w:t>
      </w:r>
    </w:p>
    <w:p>
      <w:pPr>
        <w:ind w:firstLine="640" w:firstLineChars="200"/>
        <w:jc w:val="left"/>
        <w:rPr>
          <w:rFonts w:hint="eastAsia" w:ascii="黑体" w:eastAsia="黑体"/>
          <w:sz w:val="32"/>
          <w:szCs w:val="32"/>
        </w:rPr>
      </w:pPr>
      <w:r>
        <w:rPr>
          <w:rFonts w:hint="eastAsia" w:ascii="黑体" w:eastAsia="黑体"/>
          <w:sz w:val="32"/>
          <w:szCs w:val="32"/>
        </w:rPr>
        <w:t>三、2024年度主要工作任务</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全力优化营商环境，常态化开展“四送一服”双千工程，着力解决安徽铠恩实业有限公司等重点招商企业融资、用工，打造一流营商环境。积极促进项目落地，尽快完成可降解聚乳酸餐盒包装类产品项目的建成投产工作；积极推进104国道西侧惠及周湖、武桥、界沟、路西四个村的1.3万亩高标准农田提升改造项目。培育壮大镇域企业，持续跟踪服务好现有2家规上企业和5家限上企业，确保企业安全稳定运行，保工业经济平稳运行；建立规模企业培育库，做好跟踪监测，实施动态管理，力争今年新增2家规上企业；继续加大限上企业的培育力度。</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民生工程提升改造，一期计划投资110万元，将位于路西村的镇级公益性公墓改造提升为可容纳38个单穴墓、336个双穴墓的规范性公墓。协调县卫健委，计划投资2700万元，对镇卫生院进行改扩建，推进镇卫生院提升改造。积极争取入村道路拓宽，主动对接县农业农村部门，计划投资120万在武桥村、路西村新修3条水泥路，3.5米宽道路930米，4米宽道路1000米。在路西村，新增总投资667万元的徐季路6.5米双车道升级改造工程。</w:t>
      </w:r>
    </w:p>
    <w:p>
      <w:pPr>
        <w:jc w:val="left"/>
        <w:rPr>
          <w:rFonts w:hint="eastAsia" w:ascii="仿宋_GB2312" w:eastAsia="仿宋_GB2312"/>
          <w:sz w:val="32"/>
          <w:szCs w:val="32"/>
        </w:rPr>
      </w:pPr>
      <w:r>
        <w:rPr>
          <w:rFonts w:hint="eastAsia" w:ascii="仿宋_GB2312" w:eastAsia="仿宋_GB2312"/>
          <w:sz w:val="32"/>
          <w:szCs w:val="32"/>
        </w:rPr>
        <w:t>（三）持续落实防返贫机制，对过渡期内脱贫户和监测户实施“一户一方案一人一措施”，根据家庭收支情况和三保障及饮水安全情况等逐人逐户制定并实施好帮扶措施。对全镇农户实行动态监测，利用好网格化管理机制和“技防+人防”监测机制，健全监测对象发现和响应、处置机制，确保所有符合监测条件农户应纳尽纳。做好衔接期脱贫户和监测户政策享受落实工作，确保所有脱贫户及监测户得到有效帮扶。拓展发展方向，以产业项目建设为抓手，助力农村经济发展和经济转型，助力农民增产增收。</w:t>
      </w:r>
    </w:p>
    <w:p>
      <w:pPr>
        <w:jc w:val="left"/>
        <w:rPr>
          <w:rFonts w:hint="eastAsia" w:ascii="仿宋_GB2312" w:eastAsia="仿宋_GB2312"/>
          <w:sz w:val="32"/>
          <w:szCs w:val="32"/>
        </w:rPr>
      </w:pPr>
      <w:r>
        <w:rPr>
          <w:rFonts w:hint="eastAsia" w:ascii="仿宋_GB2312" w:eastAsia="仿宋_GB2312"/>
          <w:sz w:val="32"/>
          <w:szCs w:val="32"/>
        </w:rPr>
        <w:t>（四）持续改善人居环境质量，巩固村庄清洁“五清一改”行动和“美丽庭院”活动成效，加强卫生厕所改造工作，深入摸排符合条件的改造户。规范畜禽养殖乱排行为，加强黑臭水体排查整治。推进美丽乡村建设，及时启动路西村美丽乡村招标工作，力争早日实现项目开工建设。落实清河清湖行动，对全镇范围内河湖水域岸线的环境突出问题进行集中清理整治。</w:t>
      </w:r>
    </w:p>
    <w:p>
      <w:pPr>
        <w:jc w:val="left"/>
        <w:rPr>
          <w:rFonts w:hint="eastAsia" w:ascii="仿宋_GB2312" w:eastAsia="仿宋_GB2312"/>
          <w:sz w:val="32"/>
          <w:szCs w:val="32"/>
        </w:rPr>
        <w:sectPr>
          <w:footerReference r:id="rId3" w:type="default"/>
          <w:pgSz w:w="16838" w:h="11906" w:orient="landscape"/>
          <w:pgMar w:top="1800" w:right="1440" w:bottom="1800" w:left="1440" w:header="851" w:footer="992" w:gutter="0"/>
          <w:cols w:space="720" w:num="1"/>
          <w:docGrid w:type="lines" w:linePitch="312" w:charSpace="0"/>
        </w:sectPr>
      </w:pPr>
      <w:r>
        <w:rPr>
          <w:rFonts w:hint="eastAsia" w:ascii="仿宋_GB2312" w:eastAsia="仿宋_GB2312"/>
          <w:sz w:val="32"/>
          <w:szCs w:val="32"/>
        </w:rPr>
        <w:t>（五）进一步强化安全发展理念，聚焦贯彻落实习近平总书记关于安全生产重要论述，常态化推进全镇各领域隐患排查整治工作，全面清除各类风险隐患，推动安全生产大检查深入扎实开展，坚决遏制各类安全事故，切实维护好人民群众生命财产安全。学习新时代枫桥经验，加强矛盾纠纷排查化解；落实信访超市运行；抓好法治建设，开展平安乡镇、平安村居、平安家庭创建，开展政法宣传、维护社会稳定；加强社区矫正人员，精神障碍、刑满释放、邪教，戒毒、康复等特殊人员管理和服务。</w:t>
      </w:r>
    </w:p>
    <w:p>
      <w:pPr>
        <w:spacing w:line="560" w:lineRule="exact"/>
        <w:jc w:val="center"/>
        <w:rPr>
          <w:rFonts w:ascii="黑体" w:eastAsia="黑体"/>
          <w:sz w:val="36"/>
          <w:szCs w:val="36"/>
        </w:rPr>
      </w:pPr>
      <w:r>
        <w:rPr>
          <w:rFonts w:hint="eastAsia" w:ascii="黑体" w:eastAsia="黑体"/>
          <w:sz w:val="36"/>
          <w:szCs w:val="36"/>
        </w:rPr>
        <w:t>第二部分  2024年部门预算情况说明</w:t>
      </w:r>
    </w:p>
    <w:p>
      <w:pPr>
        <w:spacing w:line="560" w:lineRule="exact"/>
        <w:ind w:firstLine="643" w:firstLineChars="200"/>
        <w:jc w:val="left"/>
        <w:rPr>
          <w:rFonts w:hint="eastAsia" w:ascii="仿宋_GB2312" w:eastAsia="仿宋_GB2312"/>
          <w:b/>
          <w:sz w:val="32"/>
          <w:szCs w:val="32"/>
        </w:rPr>
      </w:pPr>
    </w:p>
    <w:p>
      <w:pPr>
        <w:pStyle w:val="7"/>
        <w:widowControl w:val="0"/>
        <w:adjustRightInd w:val="0"/>
        <w:snapToGrid w:val="0"/>
        <w:spacing w:before="0" w:beforeAutospacing="0" w:after="0" w:afterAutospacing="0" w:line="560" w:lineRule="exact"/>
        <w:ind w:firstLine="640" w:firstLineChars="200"/>
        <w:jc w:val="both"/>
        <w:rPr>
          <w:rFonts w:hint="eastAsia" w:ascii="黑体" w:hAnsi="Times New Roman" w:eastAsia="黑体" w:cs="Times New Roman"/>
          <w:sz w:val="32"/>
          <w:szCs w:val="32"/>
        </w:rPr>
      </w:pPr>
      <w:r>
        <w:rPr>
          <w:rFonts w:hint="eastAsia" w:ascii="黑体" w:hAnsi="Times New Roman" w:eastAsia="黑体" w:cs="Times New Roman"/>
          <w:sz w:val="32"/>
          <w:szCs w:val="32"/>
        </w:rPr>
        <w:t>一、关于2024年收支</w:t>
      </w:r>
      <w:r>
        <w:rPr>
          <w:rFonts w:ascii="TimesNewRoman" w:hAnsi="TimesNewRoman" w:eastAsia="黑体" w:cs="TimesNewRoman"/>
          <w:kern w:val="2"/>
          <w:sz w:val="32"/>
          <w:szCs w:val="32"/>
        </w:rPr>
        <w:t>总表的说明</w:t>
      </w:r>
    </w:p>
    <w:p>
      <w:pPr>
        <w:pStyle w:val="7"/>
        <w:adjustRightInd w:val="0"/>
        <w:snapToGrid w:val="0"/>
        <w:spacing w:before="0" w:beforeAutospacing="0" w:after="0" w:afterAutospacing="0"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按照综合预算管理原则，五河县武桥镇人民政府部门所有收入和支出均纳入部门预算管理。五河县武桥镇人民政府部门2024年收支总预算1940.23万元，收入全部都是一般公共预算拨款收入，支出包括：一般公共服务、社会保障和就业支出、卫生健康支出、农林水事务、住房保障支出等。</w:t>
      </w:r>
    </w:p>
    <w:p>
      <w:pPr>
        <w:pStyle w:val="7"/>
        <w:widowControl w:val="0"/>
        <w:adjustRightInd w:val="0"/>
        <w:snapToGrid w:val="0"/>
        <w:spacing w:before="0" w:beforeAutospacing="0" w:after="0" w:afterAutospacing="0" w:line="560" w:lineRule="exact"/>
        <w:ind w:firstLine="627" w:firstLineChars="196"/>
        <w:jc w:val="both"/>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kern w:val="2"/>
          <w:sz w:val="32"/>
          <w:szCs w:val="32"/>
        </w:rPr>
        <w:t>关于</w:t>
      </w:r>
      <w:r>
        <w:rPr>
          <w:rFonts w:hint="eastAsia" w:ascii="黑体" w:hAnsi="黑体" w:eastAsia="黑体" w:cs="黑体"/>
          <w:kern w:val="2"/>
          <w:sz w:val="32"/>
          <w:szCs w:val="32"/>
          <w:lang w:val="en"/>
        </w:rPr>
        <w:t>2024</w:t>
      </w:r>
      <w:r>
        <w:rPr>
          <w:rFonts w:hint="eastAsia" w:ascii="黑体" w:hAnsi="黑体" w:eastAsia="黑体" w:cs="黑体"/>
          <w:kern w:val="2"/>
          <w:sz w:val="32"/>
          <w:szCs w:val="32"/>
        </w:rPr>
        <w:t>年收入总表的说明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五河县武桥镇人民政府部门2024</w:t>
      </w:r>
      <w:r>
        <w:rPr>
          <w:rFonts w:ascii="仿宋_GB2312" w:eastAsia="仿宋_GB2312"/>
          <w:sz w:val="32"/>
          <w:szCs w:val="32"/>
        </w:rPr>
        <w:t>年收入预算</w:t>
      </w:r>
      <w:r>
        <w:rPr>
          <w:rFonts w:hint="eastAsia" w:ascii="仿宋_GB2312" w:eastAsia="仿宋_GB2312"/>
          <w:sz w:val="32"/>
          <w:szCs w:val="32"/>
        </w:rPr>
        <w:t xml:space="preserve"> 1940.23 </w:t>
      </w:r>
      <w:r>
        <w:rPr>
          <w:rFonts w:ascii="仿宋_GB2312" w:eastAsia="仿宋_GB2312"/>
          <w:sz w:val="32"/>
          <w:szCs w:val="32"/>
        </w:rPr>
        <w:t>万元，其中，本年收入</w:t>
      </w:r>
      <w:r>
        <w:rPr>
          <w:rFonts w:hint="eastAsia" w:ascii="仿宋_GB2312" w:eastAsia="仿宋_GB2312"/>
          <w:sz w:val="32"/>
          <w:szCs w:val="32"/>
        </w:rPr>
        <w:t xml:space="preserve"> 1940.23 </w:t>
      </w:r>
      <w:r>
        <w:rPr>
          <w:rFonts w:ascii="仿宋_GB2312" w:eastAsia="仿宋_GB2312"/>
          <w:sz w:val="32"/>
          <w:szCs w:val="32"/>
        </w:rPr>
        <w:t>万元，上年结转</w:t>
      </w:r>
      <w:r>
        <w:rPr>
          <w:rFonts w:hint="eastAsia" w:ascii="仿宋_GB2312" w:eastAsia="仿宋_GB2312"/>
          <w:sz w:val="32"/>
          <w:szCs w:val="32"/>
        </w:rPr>
        <w:t xml:space="preserve">收入 0 </w:t>
      </w:r>
      <w:r>
        <w:rPr>
          <w:rFonts w:ascii="仿宋_GB2312" w:eastAsia="仿宋_GB2312"/>
          <w:sz w:val="32"/>
          <w:szCs w:val="32"/>
        </w:rPr>
        <w:t>万元。</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（一）本年收入</w:t>
      </w:r>
      <w:r>
        <w:rPr>
          <w:rFonts w:hint="eastAsia" w:ascii="仿宋_GB2312" w:eastAsia="仿宋_GB2312"/>
          <w:sz w:val="32"/>
          <w:szCs w:val="32"/>
        </w:rPr>
        <w:t xml:space="preserve"> 1940.23 </w:t>
      </w:r>
      <w:r>
        <w:rPr>
          <w:rFonts w:ascii="仿宋_GB2312" w:eastAsia="仿宋_GB2312"/>
          <w:sz w:val="32"/>
          <w:szCs w:val="32"/>
        </w:rPr>
        <w:t>万元，</w:t>
      </w:r>
      <w:r>
        <w:rPr>
          <w:rFonts w:hint="eastAsia" w:ascii="仿宋_GB2312" w:eastAsia="仿宋_GB2312"/>
          <w:sz w:val="32"/>
          <w:szCs w:val="32"/>
        </w:rPr>
        <w:t>收入全部是</w:t>
      </w:r>
      <w:r>
        <w:rPr>
          <w:rFonts w:ascii="仿宋_GB2312" w:eastAsia="仿宋_GB2312"/>
          <w:sz w:val="32"/>
          <w:szCs w:val="32"/>
        </w:rPr>
        <w:t>一般公共预算</w:t>
      </w:r>
      <w:r>
        <w:rPr>
          <w:rFonts w:hint="eastAsia" w:ascii="仿宋_GB2312" w:eastAsia="仿宋_GB2312"/>
          <w:sz w:val="32"/>
          <w:szCs w:val="32"/>
        </w:rPr>
        <w:t>拨款</w:t>
      </w:r>
      <w:r>
        <w:rPr>
          <w:rFonts w:ascii="仿宋_GB2312" w:eastAsia="仿宋_GB2312"/>
          <w:sz w:val="32"/>
          <w:szCs w:val="32"/>
        </w:rPr>
        <w:t>收入</w:t>
      </w:r>
      <w:r>
        <w:rPr>
          <w:rFonts w:hint="eastAsia" w:ascii="仿宋_GB2312" w:eastAsia="仿宋_GB2312"/>
          <w:sz w:val="32"/>
          <w:szCs w:val="32"/>
        </w:rPr>
        <w:t xml:space="preserve"> 1940.23 </w:t>
      </w:r>
      <w:r>
        <w:rPr>
          <w:rFonts w:ascii="仿宋_GB2312" w:eastAsia="仿宋_GB2312"/>
          <w:sz w:val="32"/>
          <w:szCs w:val="32"/>
        </w:rPr>
        <w:t>万元，占100%，比 </w:t>
      </w:r>
      <w:r>
        <w:rPr>
          <w:rFonts w:hint="eastAsia" w:ascii="仿宋_GB2312" w:eastAsia="仿宋_GB2312"/>
          <w:sz w:val="32"/>
          <w:szCs w:val="32"/>
        </w:rPr>
        <w:t>2023</w:t>
      </w:r>
      <w:r>
        <w:rPr>
          <w:rFonts w:ascii="仿宋_GB2312" w:eastAsia="仿宋_GB2312"/>
          <w:sz w:val="32"/>
          <w:szCs w:val="32"/>
        </w:rPr>
        <w:t> 年预算减少69.57万元，下降3.5%，下降原因主要是</w:t>
      </w:r>
      <w:r>
        <w:rPr>
          <w:rFonts w:hint="eastAsia" w:ascii="仿宋_GB2312" w:eastAsia="仿宋_GB2312"/>
          <w:sz w:val="32"/>
          <w:szCs w:val="32"/>
        </w:rPr>
        <w:t>压缩一般性开支，压缩三公经费。</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（二）上年结转</w:t>
      </w:r>
      <w:r>
        <w:rPr>
          <w:rFonts w:hint="eastAsia" w:ascii="仿宋_GB2312" w:eastAsia="仿宋_GB2312"/>
          <w:sz w:val="32"/>
          <w:szCs w:val="32"/>
        </w:rPr>
        <w:t xml:space="preserve">收入 0 </w:t>
      </w:r>
      <w:r>
        <w:rPr>
          <w:rFonts w:ascii="仿宋_GB2312" w:eastAsia="仿宋_GB2312"/>
          <w:sz w:val="32"/>
          <w:szCs w:val="32"/>
        </w:rPr>
        <w:t>万元</w:t>
      </w:r>
      <w:r>
        <w:rPr>
          <w:rFonts w:hint="eastAsia" w:ascii="仿宋_GB2312" w:eastAsia="仿宋_GB2312"/>
          <w:sz w:val="32"/>
          <w:szCs w:val="32"/>
        </w:rPr>
        <w:t>。</w:t>
      </w:r>
    </w:p>
    <w:p>
      <w:pPr>
        <w:pStyle w:val="7"/>
        <w:widowControl w:val="0"/>
        <w:adjustRightInd w:val="0"/>
        <w:snapToGrid w:val="0"/>
        <w:spacing w:before="0" w:beforeAutospacing="0" w:after="0" w:afterAutospacing="0" w:line="560" w:lineRule="exact"/>
        <w:ind w:firstLine="627" w:firstLineChars="196"/>
        <w:jc w:val="both"/>
        <w:rPr>
          <w:rFonts w:hint="eastAsia"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关于</w:t>
      </w:r>
      <w:r>
        <w:rPr>
          <w:rFonts w:ascii="黑体" w:hAnsi="黑体" w:eastAsia="黑体" w:cs="黑体"/>
          <w:sz w:val="32"/>
          <w:szCs w:val="32"/>
          <w:lang w:val="en"/>
        </w:rPr>
        <w:t>2024</w:t>
      </w:r>
      <w:r>
        <w:rPr>
          <w:rFonts w:ascii="黑体" w:hAnsi="黑体" w:eastAsia="黑体" w:cs="黑体"/>
          <w:sz w:val="32"/>
          <w:szCs w:val="32"/>
        </w:rPr>
        <w:t>年支出总表的说明</w:t>
      </w:r>
    </w:p>
    <w:p>
      <w:pPr>
        <w:spacing w:line="560" w:lineRule="exact"/>
        <w:ind w:firstLine="480" w:firstLineChars="150"/>
        <w:jc w:val="left"/>
        <w:rPr>
          <w:rFonts w:hint="eastAsia" w:ascii="仿宋_GB2312" w:eastAsia="仿宋_GB2312"/>
          <w:b/>
          <w:sz w:val="32"/>
          <w:szCs w:val="32"/>
        </w:rPr>
      </w:pPr>
      <w:r>
        <w:rPr>
          <w:rFonts w:hint="eastAsia" w:ascii="仿宋_GB2312" w:eastAsia="仿宋_GB2312"/>
          <w:sz w:val="32"/>
          <w:szCs w:val="32"/>
        </w:rPr>
        <w:t>五河县武桥镇人民政府部门2024年度</w:t>
      </w:r>
      <w:r>
        <w:rPr>
          <w:rFonts w:ascii="仿宋_GB2312" w:eastAsia="仿宋_GB2312"/>
          <w:sz w:val="32"/>
          <w:szCs w:val="32"/>
        </w:rPr>
        <w:t>支出预算</w:t>
      </w:r>
      <w:r>
        <w:rPr>
          <w:rFonts w:hint="eastAsia" w:ascii="仿宋_GB2312" w:eastAsia="仿宋_GB2312"/>
          <w:sz w:val="32"/>
          <w:szCs w:val="32"/>
        </w:rPr>
        <w:t xml:space="preserve"> 1940.23 </w:t>
      </w:r>
      <w:r>
        <w:rPr>
          <w:rFonts w:ascii="仿宋_GB2312" w:eastAsia="仿宋_GB2312"/>
          <w:sz w:val="32"/>
          <w:szCs w:val="32"/>
        </w:rPr>
        <w:t>万元，</w:t>
      </w:r>
      <w:r>
        <w:rPr>
          <w:rFonts w:hint="eastAsia" w:ascii="仿宋_GB2312" w:eastAsia="仿宋_GB2312"/>
          <w:sz w:val="32"/>
          <w:szCs w:val="32"/>
        </w:rPr>
        <w:t>比2023年预算减少69.57万元，下降3.5%，原因主要是压缩一般性开支，压缩三公经费；其中，</w:t>
      </w:r>
      <w:r>
        <w:rPr>
          <w:rFonts w:ascii="仿宋_GB2312" w:eastAsia="仿宋_GB2312"/>
          <w:sz w:val="32"/>
          <w:szCs w:val="32"/>
        </w:rPr>
        <w:t>基本支出</w:t>
      </w:r>
      <w:r>
        <w:rPr>
          <w:rFonts w:hint="eastAsia" w:ascii="仿宋_GB2312" w:eastAsia="仿宋_GB2312"/>
          <w:sz w:val="32"/>
          <w:szCs w:val="32"/>
        </w:rPr>
        <w:t xml:space="preserve">  1163.23</w:t>
      </w:r>
      <w:r>
        <w:rPr>
          <w:rFonts w:ascii="仿宋_GB2312" w:eastAsia="仿宋_GB2312"/>
          <w:sz w:val="32"/>
          <w:szCs w:val="32"/>
        </w:rPr>
        <w:t>万元</w:t>
      </w:r>
      <w:r>
        <w:rPr>
          <w:rFonts w:hint="eastAsia" w:ascii="仿宋_GB2312" w:eastAsia="仿宋_GB2312"/>
          <w:sz w:val="32"/>
          <w:szCs w:val="32"/>
        </w:rPr>
        <w:t>，占59.95%，</w:t>
      </w:r>
      <w:r>
        <w:rPr>
          <w:rFonts w:hint="eastAsia" w:ascii="仿宋_GB2312" w:hAnsi="仿宋" w:eastAsia="仿宋_GB2312"/>
          <w:sz w:val="32"/>
          <w:szCs w:val="32"/>
        </w:rPr>
        <w:t>主要用于保障机构日常运转、完成日常工作任务</w:t>
      </w:r>
      <w:r>
        <w:rPr>
          <w:rFonts w:hint="eastAsia" w:ascii="仿宋_GB2312" w:eastAsia="仿宋_GB2312"/>
          <w:sz w:val="32"/>
          <w:szCs w:val="32"/>
        </w:rPr>
        <w:t>人员经费、运转经费</w:t>
      </w:r>
      <w:r>
        <w:rPr>
          <w:rFonts w:ascii="仿宋_GB2312" w:eastAsia="仿宋_GB2312"/>
          <w:sz w:val="32"/>
          <w:szCs w:val="32"/>
        </w:rPr>
        <w:t>；项目支出</w:t>
      </w:r>
      <w:r>
        <w:rPr>
          <w:rFonts w:hint="eastAsia" w:ascii="仿宋_GB2312" w:eastAsia="仿宋_GB2312"/>
          <w:sz w:val="32"/>
          <w:szCs w:val="32"/>
        </w:rPr>
        <w:t xml:space="preserve"> 777 </w:t>
      </w:r>
      <w:r>
        <w:rPr>
          <w:rFonts w:ascii="仿宋_GB2312" w:eastAsia="仿宋_GB2312"/>
          <w:sz w:val="32"/>
          <w:szCs w:val="32"/>
        </w:rPr>
        <w:t>万元，</w:t>
      </w:r>
      <w:r>
        <w:rPr>
          <w:rFonts w:hint="eastAsia" w:ascii="仿宋_GB2312" w:eastAsia="仿宋_GB2312"/>
          <w:sz w:val="32"/>
          <w:szCs w:val="32"/>
        </w:rPr>
        <w:t>占40.05%，</w:t>
      </w:r>
      <w:r>
        <w:rPr>
          <w:rFonts w:hint="eastAsia" w:ascii="仿宋_GB2312" w:hAnsi="仿宋" w:eastAsia="仿宋_GB2312"/>
          <w:sz w:val="32"/>
          <w:szCs w:val="32"/>
        </w:rPr>
        <w:t>主要用于计划生育服务、招商、综治维稳、美丽乡环境治理、乡村振兴、科普、教育等</w:t>
      </w:r>
      <w:r>
        <w:rPr>
          <w:rFonts w:hint="eastAsia" w:ascii="仿宋_GB2312" w:eastAsia="仿宋_GB2312"/>
          <w:sz w:val="32"/>
          <w:szCs w:val="32"/>
        </w:rPr>
        <w:t>。</w:t>
      </w:r>
    </w:p>
    <w:p>
      <w:pPr>
        <w:widowControl/>
        <w:shd w:val="clear" w:color="auto" w:fill="FFFFFF"/>
        <w:spacing w:line="560" w:lineRule="exact"/>
        <w:ind w:firstLine="640"/>
        <w:jc w:val="left"/>
        <w:rPr>
          <w:rFonts w:ascii="黑体" w:eastAsia="黑体"/>
          <w:sz w:val="32"/>
          <w:szCs w:val="32"/>
        </w:rPr>
      </w:pPr>
      <w:r>
        <w:rPr>
          <w:rFonts w:ascii="黑体" w:eastAsia="黑体"/>
          <w:sz w:val="32"/>
          <w:szCs w:val="32"/>
        </w:rPr>
        <w:t>四、关于</w:t>
      </w:r>
      <w:r>
        <w:rPr>
          <w:rFonts w:ascii="黑体" w:eastAsia="黑体"/>
          <w:sz w:val="32"/>
          <w:szCs w:val="32"/>
          <w:lang w:val="en"/>
        </w:rPr>
        <w:t>2024</w:t>
      </w:r>
      <w:r>
        <w:rPr>
          <w:rFonts w:ascii="黑体" w:eastAsia="黑体"/>
          <w:sz w:val="32"/>
          <w:szCs w:val="32"/>
        </w:rPr>
        <w:t>年财政拨款收支总表的说明</w:t>
      </w:r>
    </w:p>
    <w:p>
      <w:pPr>
        <w:pStyle w:val="7"/>
        <w:adjustRightInd w:val="0"/>
        <w:snapToGrid w:val="0"/>
        <w:spacing w:before="0" w:beforeAutospacing="0" w:after="0" w:afterAutospacing="0" w:line="560" w:lineRule="exact"/>
        <w:ind w:firstLine="640" w:firstLineChars="200"/>
        <w:rPr>
          <w:rFonts w:hint="eastAsia" w:ascii="仿宋_GB2312" w:hAnsi="仿宋" w:eastAsia="仿宋_GB2312" w:cs="Times New Roman"/>
          <w:kern w:val="2"/>
          <w:sz w:val="32"/>
          <w:szCs w:val="32"/>
        </w:rPr>
      </w:pPr>
      <w:r>
        <w:rPr>
          <w:rFonts w:hint="eastAsia" w:ascii="仿宋_GB2312" w:eastAsia="仿宋_GB2312"/>
          <w:sz w:val="32"/>
          <w:szCs w:val="32"/>
        </w:rPr>
        <w:t>五河县武桥镇人民政府部门2024</w:t>
      </w:r>
      <w:r>
        <w:rPr>
          <w:rFonts w:ascii="仿宋_GB2312" w:eastAsia="仿宋_GB2312"/>
          <w:sz w:val="32"/>
          <w:szCs w:val="32"/>
        </w:rPr>
        <w:t>年</w:t>
      </w:r>
      <w:r>
        <w:rPr>
          <w:rFonts w:hint="eastAsia" w:ascii="仿宋_GB2312" w:eastAsia="仿宋_GB2312"/>
          <w:sz w:val="32"/>
          <w:szCs w:val="32"/>
        </w:rPr>
        <w:t>财政拨款</w:t>
      </w:r>
      <w:r>
        <w:rPr>
          <w:rFonts w:ascii="仿宋_GB2312" w:eastAsia="仿宋_GB2312"/>
          <w:sz w:val="32"/>
          <w:szCs w:val="32"/>
        </w:rPr>
        <w:t>收</w:t>
      </w:r>
      <w:r>
        <w:rPr>
          <w:rFonts w:hint="eastAsia" w:ascii="仿宋_GB2312" w:eastAsia="仿宋_GB2312"/>
          <w:sz w:val="32"/>
          <w:szCs w:val="32"/>
        </w:rPr>
        <w:t xml:space="preserve">支预算 1940.23 </w:t>
      </w:r>
      <w:r>
        <w:rPr>
          <w:rFonts w:ascii="仿宋_GB2312" w:eastAsia="仿宋_GB2312"/>
          <w:sz w:val="32"/>
          <w:szCs w:val="32"/>
        </w:rPr>
        <w:t>万元</w:t>
      </w:r>
      <w:r>
        <w:rPr>
          <w:rFonts w:hint="eastAsia" w:ascii="仿宋_GB2312" w:eastAsia="仿宋_GB2312"/>
          <w:sz w:val="32"/>
          <w:szCs w:val="32"/>
        </w:rPr>
        <w:t>，</w:t>
      </w:r>
      <w:r>
        <w:rPr>
          <w:rFonts w:hint="eastAsia" w:ascii="仿宋_GB2312" w:hAnsi="仿宋" w:eastAsia="仿宋_GB2312" w:cs="Times New Roman"/>
          <w:kern w:val="2"/>
          <w:sz w:val="32"/>
          <w:szCs w:val="32"/>
        </w:rPr>
        <w:t>收入按资金来源分全部为</w:t>
      </w:r>
      <w:r>
        <w:rPr>
          <w:rFonts w:hint="eastAsia" w:ascii="仿宋_GB2312" w:eastAsia="仿宋_GB2312"/>
          <w:sz w:val="32"/>
          <w:szCs w:val="32"/>
        </w:rPr>
        <w:t>一般公共预算财政拨款 1940.23 万元</w:t>
      </w:r>
      <w:r>
        <w:rPr>
          <w:rFonts w:hint="eastAsia" w:ascii="仿宋_GB2312" w:hAnsi="仿宋" w:eastAsia="仿宋_GB2312"/>
          <w:sz w:val="32"/>
          <w:szCs w:val="32"/>
        </w:rPr>
        <w:t>；</w:t>
      </w:r>
      <w:r>
        <w:rPr>
          <w:rFonts w:hint="eastAsia" w:ascii="仿宋_GB2312" w:hAnsi="仿宋" w:eastAsia="仿宋_GB2312" w:cs="Times New Roman"/>
          <w:kern w:val="2"/>
          <w:sz w:val="32"/>
          <w:szCs w:val="32"/>
        </w:rPr>
        <w:t>按资金年度分全部为本年财政拨款收入</w:t>
      </w:r>
      <w:r>
        <w:rPr>
          <w:rFonts w:hint="eastAsia" w:ascii="仿宋_GB2312" w:hAnsi="仿宋" w:eastAsia="仿宋_GB2312"/>
          <w:sz w:val="32"/>
          <w:szCs w:val="32"/>
        </w:rPr>
        <w:t xml:space="preserve">  1940.23</w:t>
      </w:r>
      <w:r>
        <w:rPr>
          <w:rFonts w:hint="eastAsia" w:ascii="仿宋_GB2312" w:hAnsi="仿宋" w:eastAsia="仿宋_GB2312" w:cs="Times New Roman"/>
          <w:kern w:val="2"/>
          <w:sz w:val="32"/>
          <w:szCs w:val="32"/>
        </w:rPr>
        <w:t>万元。支出按功能分类分为：一般公共服务支出 487.21 万元，占25.11  %；社会保障和就业支出  182.04万元，占9.4%；卫生健康支出 112.41 万元，占5.8%；农林水事务支出1020.91万元，占52.62%；住房保障支出 117.66 万元，占6.1%；其他支出20万元，占0.97%。</w:t>
      </w:r>
    </w:p>
    <w:p>
      <w:pPr>
        <w:pStyle w:val="7"/>
        <w:adjustRightInd w:val="0"/>
        <w:snapToGrid w:val="0"/>
        <w:spacing w:before="0" w:beforeAutospacing="0" w:after="0" w:afterAutospacing="0" w:line="560" w:lineRule="exact"/>
        <w:ind w:firstLine="627" w:firstLineChars="196"/>
        <w:rPr>
          <w:rFonts w:ascii="TimesNewRoman" w:hAnsi="TimesNewRoman" w:eastAsia="黑体" w:cs="TimesNewRoman"/>
          <w:sz w:val="32"/>
          <w:szCs w:val="32"/>
        </w:rPr>
      </w:pPr>
      <w:r>
        <w:rPr>
          <w:rFonts w:ascii="TimesNewRoman" w:hAnsi="TimesNewRoman" w:eastAsia="黑体" w:cs="TimesNewRoman"/>
          <w:sz w:val="32"/>
          <w:szCs w:val="32"/>
        </w:rPr>
        <w:t>五、关于</w:t>
      </w:r>
      <w:r>
        <w:rPr>
          <w:rFonts w:ascii="TimesNewRoman" w:hAnsi="TimesNewRoman" w:eastAsia="黑体" w:cs="TimesNewRoman"/>
          <w:sz w:val="32"/>
          <w:szCs w:val="32"/>
          <w:lang w:val="en"/>
        </w:rPr>
        <w:t>2024</w:t>
      </w:r>
      <w:r>
        <w:rPr>
          <w:rFonts w:ascii="TimesNewRoman" w:hAnsi="TimesNewRoman" w:eastAsia="黑体" w:cs="TimesNewRoman"/>
          <w:sz w:val="32"/>
          <w:szCs w:val="32"/>
        </w:rPr>
        <w:t>年一般公共预算支出表的说明</w:t>
      </w:r>
    </w:p>
    <w:p>
      <w:pPr>
        <w:pStyle w:val="7"/>
        <w:widowControl w:val="0"/>
        <w:adjustRightInd w:val="0"/>
        <w:snapToGrid w:val="0"/>
        <w:spacing w:before="0" w:beforeAutospacing="0" w:after="0" w:afterAutospacing="0" w:line="560" w:lineRule="exact"/>
        <w:ind w:firstLine="630" w:firstLineChars="196"/>
        <w:jc w:val="both"/>
        <w:rPr>
          <w:rFonts w:hint="eastAsia" w:ascii="楷体" w:hAnsi="楷体" w:eastAsia="楷体" w:cs="Times New Roman"/>
          <w:b/>
          <w:kern w:val="2"/>
          <w:sz w:val="32"/>
          <w:szCs w:val="32"/>
        </w:rPr>
      </w:pPr>
      <w:r>
        <w:rPr>
          <w:rFonts w:hint="eastAsia" w:ascii="楷体" w:hAnsi="楷体" w:eastAsia="楷体" w:cs="Times New Roman"/>
          <w:b/>
          <w:kern w:val="2"/>
          <w:sz w:val="32"/>
          <w:szCs w:val="32"/>
        </w:rPr>
        <w:t>（一）</w:t>
      </w:r>
      <w:r>
        <w:rPr>
          <w:rFonts w:ascii="TimesNewRoman" w:hAnsi="TimesNewRoman" w:eastAsia="楷体_GB2312" w:cs="TimesNewRoman"/>
          <w:b/>
          <w:kern w:val="2"/>
          <w:sz w:val="32"/>
          <w:szCs w:val="32"/>
        </w:rPr>
        <w:t>一般公共预算支出规模变化情况。</w:t>
      </w:r>
    </w:p>
    <w:p>
      <w:pPr>
        <w:pStyle w:val="7"/>
        <w:adjustRightInd w:val="0"/>
        <w:snapToGrid w:val="0"/>
        <w:spacing w:before="0" w:beforeAutospacing="0" w:after="0" w:afterAutospacing="0" w:line="560" w:lineRule="exact"/>
        <w:ind w:firstLine="627" w:firstLineChars="196"/>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五河县武桥镇人民政府部门2024年一般公共预算支出 1940.23 万元，比2023年预算拨款减少69.57万元，下降3.5%，主要原因：一是压减一般性支出；二是项目精简；三是压缩三公经费。</w:t>
      </w:r>
    </w:p>
    <w:p>
      <w:pPr>
        <w:adjustRightInd w:val="0"/>
        <w:snapToGrid w:val="0"/>
        <w:spacing w:line="560" w:lineRule="exact"/>
        <w:ind w:firstLine="630" w:firstLineChars="196"/>
        <w:rPr>
          <w:rFonts w:ascii="TimesNewRoman" w:hAnsi="TimesNewRoman" w:eastAsia="楷体_GB2312" w:cs="TimesNewRoman"/>
          <w:b/>
          <w:sz w:val="32"/>
          <w:szCs w:val="32"/>
        </w:rPr>
      </w:pPr>
      <w:r>
        <w:rPr>
          <w:rFonts w:ascii="TimesNewRoman" w:hAnsi="TimesNewRoman" w:eastAsia="楷体_GB2312" w:cs="TimesNewRoman"/>
          <w:b/>
          <w:sz w:val="32"/>
          <w:szCs w:val="32"/>
        </w:rPr>
        <w:t>（二）一般公共预算支出结构情况。</w:t>
      </w:r>
    </w:p>
    <w:p>
      <w:pPr>
        <w:pStyle w:val="7"/>
        <w:adjustRightInd w:val="0"/>
        <w:snapToGrid w:val="0"/>
        <w:spacing w:before="0" w:beforeAutospacing="0" w:after="0" w:afterAutospacing="0" w:line="56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一般公共服务支出 487.21 万元，占25.11  %；社会保障和就业支出 182.04万元，占9.4%；卫生健康支出 112.41 万元，占5.8%；农林水事务支出1020.91万元，占52.62%；住房保障支出 117.66 万元，占6.1%；其他支出20万元，占0.97%。</w:t>
      </w:r>
    </w:p>
    <w:p>
      <w:pPr>
        <w:adjustRightInd w:val="0"/>
        <w:snapToGrid w:val="0"/>
        <w:spacing w:line="560" w:lineRule="exact"/>
        <w:ind w:firstLine="643" w:firstLineChars="200"/>
        <w:rPr>
          <w:rFonts w:ascii="TimesNewRoman" w:hAnsi="TimesNewRoman" w:eastAsia="楷体_GB2312" w:cs="TimesNewRoman"/>
          <w:b/>
          <w:sz w:val="32"/>
          <w:szCs w:val="32"/>
        </w:rPr>
      </w:pPr>
      <w:r>
        <w:rPr>
          <w:rFonts w:ascii="TimesNewRoman" w:hAnsi="TimesNewRoman" w:eastAsia="楷体_GB2312" w:cs="TimesNewRoman"/>
          <w:b/>
          <w:sz w:val="32"/>
          <w:szCs w:val="32"/>
        </w:rPr>
        <w:t>（三）一般公共预算支出具体使用情况。</w:t>
      </w:r>
    </w:p>
    <w:p>
      <w:pPr>
        <w:pStyle w:val="32"/>
        <w:tabs>
          <w:tab w:val="left" w:pos="1209"/>
        </w:tabs>
        <w:autoSpaceDE w:val="0"/>
        <w:autoSpaceDN w:val="0"/>
        <w:spacing w:line="560" w:lineRule="exact"/>
        <w:ind w:firstLine="643"/>
        <w:rPr>
          <w:rFonts w:hint="eastAsia" w:ascii="仿宋_GB2312" w:eastAsia="仿宋_GB2312"/>
          <w:b/>
          <w:sz w:val="32"/>
          <w:szCs w:val="32"/>
        </w:rPr>
      </w:pPr>
      <w:r>
        <w:rPr>
          <w:rFonts w:hint="eastAsia" w:ascii="仿宋_GB2312" w:eastAsia="仿宋_GB2312"/>
          <w:b/>
          <w:sz w:val="32"/>
        </w:rPr>
        <w:t>1、一般公共服务支出（类</w:t>
      </w:r>
      <w:r>
        <w:rPr>
          <w:rFonts w:hint="eastAsia" w:ascii="仿宋_GB2312" w:eastAsia="仿宋_GB2312"/>
          <w:b/>
          <w:spacing w:val="-5"/>
          <w:sz w:val="32"/>
        </w:rPr>
        <w:t>）</w:t>
      </w:r>
      <w:r>
        <w:rPr>
          <w:rFonts w:hint="eastAsia" w:ascii="仿宋_GB2312" w:eastAsia="仿宋_GB2312"/>
          <w:b/>
          <w:spacing w:val="-1"/>
          <w:sz w:val="32"/>
        </w:rPr>
        <w:t>政府办公厅（室）及相关机构事务</w:t>
      </w:r>
      <w:r>
        <w:rPr>
          <w:rFonts w:hint="eastAsia" w:ascii="仿宋_GB2312" w:eastAsia="仿宋_GB2312"/>
          <w:b/>
          <w:sz w:val="32"/>
        </w:rPr>
        <w:t>（款）</w:t>
      </w:r>
      <w:r>
        <w:rPr>
          <w:rFonts w:hint="eastAsia" w:ascii="仿宋_GB2312" w:eastAsia="仿宋_GB2312"/>
          <w:b/>
          <w:spacing w:val="-2"/>
          <w:sz w:val="32"/>
        </w:rPr>
        <w:t>行政运行</w:t>
      </w:r>
      <w:r>
        <w:rPr>
          <w:rFonts w:hint="eastAsia" w:ascii="仿宋_GB2312" w:eastAsia="仿宋_GB2312"/>
          <w:b/>
          <w:sz w:val="32"/>
        </w:rPr>
        <w:t>（项）</w:t>
      </w:r>
      <w:r>
        <w:rPr>
          <w:rFonts w:hint="eastAsia" w:ascii="仿宋_GB2312" w:eastAsia="仿宋_GB2312"/>
          <w:sz w:val="32"/>
          <w:szCs w:val="32"/>
        </w:rPr>
        <w:t>2024</w:t>
      </w:r>
      <w:r>
        <w:rPr>
          <w:rFonts w:hint="eastAsia" w:ascii="仿宋_GB2312" w:eastAsia="仿宋_GB2312"/>
          <w:spacing w:val="-22"/>
          <w:sz w:val="32"/>
          <w:szCs w:val="32"/>
        </w:rPr>
        <w:t xml:space="preserve"> 年预算</w:t>
      </w:r>
      <w:r>
        <w:rPr>
          <w:rFonts w:hint="eastAsia" w:ascii="仿宋_GB2312" w:eastAsia="仿宋_GB2312"/>
          <w:sz w:val="32"/>
          <w:szCs w:val="32"/>
        </w:rPr>
        <w:t xml:space="preserve">  467.2</w:t>
      </w:r>
      <w:r>
        <w:rPr>
          <w:rFonts w:hint="eastAsia" w:ascii="仿宋_GB2312" w:eastAsia="仿宋_GB2312"/>
          <w:spacing w:val="-22"/>
          <w:sz w:val="32"/>
          <w:szCs w:val="32"/>
        </w:rPr>
        <w:t xml:space="preserve">万元，比 </w:t>
      </w:r>
      <w:r>
        <w:rPr>
          <w:rFonts w:hint="eastAsia" w:ascii="仿宋_GB2312" w:eastAsia="仿宋_GB2312"/>
          <w:sz w:val="32"/>
          <w:szCs w:val="32"/>
        </w:rPr>
        <w:t>2023</w:t>
      </w:r>
      <w:r>
        <w:rPr>
          <w:rFonts w:hint="eastAsia" w:ascii="仿宋_GB2312" w:eastAsia="仿宋_GB2312"/>
          <w:spacing w:val="-18"/>
          <w:sz w:val="32"/>
          <w:szCs w:val="32"/>
        </w:rPr>
        <w:t xml:space="preserve"> 年预算增加</w:t>
      </w:r>
      <w:r>
        <w:rPr>
          <w:rFonts w:hint="eastAsia" w:ascii="仿宋_GB2312" w:eastAsia="仿宋_GB2312"/>
          <w:sz w:val="32"/>
          <w:szCs w:val="32"/>
        </w:rPr>
        <w:t>0.89</w:t>
      </w:r>
      <w:r>
        <w:rPr>
          <w:rFonts w:hint="eastAsia" w:ascii="仿宋_GB2312" w:eastAsia="仿宋_GB2312"/>
          <w:spacing w:val="-6"/>
          <w:sz w:val="32"/>
          <w:szCs w:val="32"/>
        </w:rPr>
        <w:t>万元，增长0.2%，增长原因主要是人员增加；工资调整；车补增加。</w:t>
      </w:r>
    </w:p>
    <w:p>
      <w:pPr>
        <w:pStyle w:val="33"/>
        <w:tabs>
          <w:tab w:val="left" w:pos="1214"/>
        </w:tabs>
        <w:spacing w:line="560" w:lineRule="exact"/>
        <w:ind w:left="0" w:firstLine="671" w:firstLineChars="200"/>
        <w:jc w:val="both"/>
        <w:rPr>
          <w:rFonts w:hint="eastAsia" w:ascii="仿宋_GB2312" w:eastAsia="仿宋_GB2312"/>
          <w:b w:val="0"/>
        </w:rPr>
      </w:pPr>
      <w:r>
        <w:rPr>
          <w:rFonts w:hint="eastAsia" w:ascii="仿宋_GB2312" w:eastAsia="仿宋_GB2312"/>
          <w:spacing w:val="7"/>
        </w:rPr>
        <w:t>2</w:t>
      </w:r>
      <w:r>
        <w:rPr>
          <w:rFonts w:hint="eastAsia" w:ascii="仿宋_GB2312" w:eastAsia="仿宋_GB2312"/>
        </w:rPr>
        <w:t>、</w:t>
      </w:r>
      <w:r>
        <w:rPr>
          <w:rFonts w:hint="eastAsia" w:ascii="仿宋_GB2312" w:eastAsia="仿宋_GB2312"/>
          <w:spacing w:val="7"/>
        </w:rPr>
        <w:t>一般公共服务支出（类）商贸事务（款）</w:t>
      </w:r>
      <w:r>
        <w:rPr>
          <w:rFonts w:hint="eastAsia" w:ascii="仿宋_GB2312" w:eastAsia="仿宋_GB2312"/>
          <w:spacing w:val="5"/>
        </w:rPr>
        <w:t>招商引资（项</w:t>
      </w:r>
      <w:r>
        <w:rPr>
          <w:rFonts w:hint="eastAsia" w:ascii="仿宋_GB2312" w:eastAsia="仿宋_GB2312"/>
        </w:rPr>
        <w:t>）</w:t>
      </w:r>
      <w:r>
        <w:rPr>
          <w:rFonts w:hint="eastAsia" w:ascii="仿宋_GB2312" w:eastAsia="仿宋_GB2312"/>
          <w:b w:val="0"/>
        </w:rPr>
        <w:t>2024</w:t>
      </w:r>
      <w:r>
        <w:rPr>
          <w:rFonts w:hint="eastAsia" w:ascii="仿宋_GB2312" w:eastAsia="仿宋_GB2312"/>
          <w:b w:val="0"/>
          <w:spacing w:val="-19"/>
        </w:rPr>
        <w:t>年预算</w:t>
      </w:r>
      <w:r>
        <w:rPr>
          <w:rFonts w:hint="eastAsia" w:ascii="仿宋_GB2312" w:eastAsia="仿宋_GB2312"/>
          <w:b w:val="0"/>
        </w:rPr>
        <w:t xml:space="preserve"> 20 </w:t>
      </w:r>
      <w:r>
        <w:rPr>
          <w:rFonts w:hint="eastAsia" w:ascii="仿宋_GB2312" w:eastAsia="仿宋_GB2312"/>
          <w:b w:val="0"/>
          <w:spacing w:val="-15"/>
        </w:rPr>
        <w:t xml:space="preserve">万元，比 </w:t>
      </w:r>
      <w:r>
        <w:rPr>
          <w:rFonts w:hint="eastAsia" w:ascii="仿宋_GB2312" w:eastAsia="仿宋_GB2312"/>
          <w:b w:val="0"/>
        </w:rPr>
        <w:t>2023</w:t>
      </w:r>
      <w:r>
        <w:rPr>
          <w:rFonts w:hint="eastAsia" w:ascii="仿宋_GB2312" w:eastAsia="仿宋_GB2312"/>
          <w:b w:val="0"/>
          <w:spacing w:val="-13"/>
        </w:rPr>
        <w:t>年预算</w:t>
      </w:r>
      <w:r>
        <w:rPr>
          <w:rFonts w:hint="eastAsia" w:ascii="仿宋_GB2312" w:eastAsia="仿宋_GB2312"/>
          <w:b w:val="0"/>
          <w:spacing w:val="5"/>
        </w:rPr>
        <w:t>减少</w:t>
      </w:r>
      <w:r>
        <w:rPr>
          <w:rFonts w:hint="eastAsia" w:ascii="仿宋_GB2312" w:eastAsia="仿宋_GB2312"/>
          <w:b w:val="0"/>
        </w:rPr>
        <w:t>10万元，下降33.3%，下降原因主要是压缩招商开支。</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3</w:t>
      </w:r>
      <w:r>
        <w:rPr>
          <w:rFonts w:hint="eastAsia" w:ascii="仿宋_GB2312" w:eastAsia="仿宋_GB2312"/>
          <w:b/>
        </w:rPr>
        <w:t>、</w:t>
      </w:r>
      <w:r>
        <w:rPr>
          <w:rFonts w:hint="eastAsia" w:ascii="仿宋_GB2312" w:hAnsi="微软雅黑" w:eastAsia="仿宋_GB2312"/>
          <w:b/>
          <w:spacing w:val="7"/>
          <w:w w:val="99"/>
        </w:rPr>
        <w:t>社会保障和就业支出（类）行政事业单位养老支出（款</w:t>
      </w:r>
      <w:r>
        <w:rPr>
          <w:rFonts w:hint="eastAsia" w:ascii="仿宋_GB2312" w:hAnsi="微软雅黑" w:eastAsia="仿宋_GB2312"/>
          <w:b/>
          <w:w w:val="99"/>
        </w:rPr>
        <w:t>）</w:t>
      </w:r>
      <w:r>
        <w:rPr>
          <w:rFonts w:hint="eastAsia" w:ascii="仿宋_GB2312" w:eastAsia="仿宋_GB2312"/>
          <w:b/>
          <w:spacing w:val="-3"/>
        </w:rPr>
        <w:t>行政单位离退休</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50.3</w:t>
      </w:r>
      <w:r>
        <w:rPr>
          <w:rFonts w:hint="eastAsia" w:ascii="仿宋_GB2312" w:eastAsia="仿宋_GB2312"/>
          <w:spacing w:val="-9"/>
        </w:rPr>
        <w:t>万元，比</w:t>
      </w:r>
      <w:r>
        <w:rPr>
          <w:rFonts w:hint="eastAsia" w:ascii="仿宋_GB2312" w:eastAsia="仿宋_GB2312"/>
        </w:rPr>
        <w:t>2023</w:t>
      </w:r>
      <w:r>
        <w:rPr>
          <w:rFonts w:hint="eastAsia" w:ascii="仿宋_GB2312" w:eastAsia="仿宋_GB2312"/>
          <w:spacing w:val="-27"/>
        </w:rPr>
        <w:t>年预算增加</w:t>
      </w:r>
      <w:r>
        <w:rPr>
          <w:rFonts w:hint="eastAsia" w:ascii="仿宋_GB2312" w:eastAsia="仿宋_GB2312"/>
        </w:rPr>
        <w:t>27.81</w:t>
      </w:r>
      <w:r>
        <w:rPr>
          <w:rFonts w:hint="eastAsia" w:ascii="仿宋_GB2312" w:eastAsia="仿宋_GB2312"/>
          <w:spacing w:val="-24"/>
        </w:rPr>
        <w:t>万元，增长</w:t>
      </w:r>
      <w:r>
        <w:rPr>
          <w:rFonts w:hint="eastAsia" w:ascii="仿宋_GB2312" w:eastAsia="仿宋_GB2312"/>
        </w:rPr>
        <w:t>55</w:t>
      </w:r>
      <w:r>
        <w:rPr>
          <w:rFonts w:hint="eastAsia" w:ascii="仿宋_GB2312" w:eastAsia="仿宋_GB2312"/>
          <w:spacing w:val="-23"/>
        </w:rPr>
        <w:t>%，增长</w:t>
      </w:r>
      <w:r>
        <w:rPr>
          <w:rFonts w:hint="eastAsia" w:ascii="仿宋_GB2312" w:eastAsia="仿宋_GB2312"/>
        </w:rPr>
        <w:t>原因主要是机构改革人员下放，增补工资发放。</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4</w:t>
      </w:r>
      <w:r>
        <w:rPr>
          <w:rFonts w:hint="eastAsia" w:ascii="仿宋_GB2312" w:eastAsia="仿宋_GB2312"/>
          <w:b/>
        </w:rPr>
        <w:t>、</w:t>
      </w:r>
      <w:r>
        <w:rPr>
          <w:rFonts w:hint="eastAsia" w:ascii="仿宋_GB2312" w:hAnsi="微软雅黑" w:eastAsia="仿宋_GB2312"/>
          <w:b/>
          <w:spacing w:val="7"/>
          <w:w w:val="99"/>
        </w:rPr>
        <w:t>社会保障和就业支出（类）行政事业单位养老支出（款</w:t>
      </w:r>
      <w:r>
        <w:rPr>
          <w:rFonts w:hint="eastAsia" w:ascii="仿宋_GB2312" w:hAnsi="微软雅黑" w:eastAsia="仿宋_GB2312"/>
          <w:b/>
          <w:w w:val="99"/>
        </w:rPr>
        <w:t>）</w:t>
      </w:r>
      <w:r>
        <w:rPr>
          <w:rFonts w:hint="eastAsia" w:ascii="仿宋_GB2312" w:eastAsia="仿宋_GB2312"/>
          <w:b/>
          <w:spacing w:val="-3"/>
        </w:rPr>
        <w:t>事业单位离退休</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0.7</w:t>
      </w:r>
      <w:r>
        <w:rPr>
          <w:rFonts w:hint="eastAsia" w:ascii="仿宋_GB2312" w:eastAsia="仿宋_GB2312"/>
          <w:spacing w:val="-9"/>
        </w:rPr>
        <w:t>万元，比</w:t>
      </w:r>
      <w:r>
        <w:rPr>
          <w:rFonts w:hint="eastAsia" w:ascii="仿宋_GB2312" w:eastAsia="仿宋_GB2312"/>
        </w:rPr>
        <w:t>2023</w:t>
      </w:r>
      <w:r>
        <w:rPr>
          <w:rFonts w:hint="eastAsia" w:ascii="仿宋_GB2312" w:eastAsia="仿宋_GB2312"/>
          <w:spacing w:val="-27"/>
        </w:rPr>
        <w:t>年预算增加</w:t>
      </w:r>
      <w:r>
        <w:rPr>
          <w:rFonts w:hint="eastAsia" w:ascii="仿宋_GB2312" w:eastAsia="仿宋_GB2312"/>
        </w:rPr>
        <w:t>0.70</w:t>
      </w:r>
      <w:r>
        <w:rPr>
          <w:rFonts w:hint="eastAsia" w:ascii="仿宋_GB2312" w:eastAsia="仿宋_GB2312"/>
          <w:spacing w:val="-24"/>
        </w:rPr>
        <w:t>万元，增长</w:t>
      </w:r>
      <w:r>
        <w:rPr>
          <w:rFonts w:hint="eastAsia" w:ascii="仿宋_GB2312" w:eastAsia="仿宋_GB2312"/>
        </w:rPr>
        <w:t>100</w:t>
      </w:r>
      <w:r>
        <w:rPr>
          <w:rFonts w:hint="eastAsia" w:ascii="仿宋_GB2312" w:eastAsia="仿宋_GB2312"/>
          <w:spacing w:val="-23"/>
        </w:rPr>
        <w:t>%，增长</w:t>
      </w:r>
      <w:r>
        <w:rPr>
          <w:rFonts w:hint="eastAsia" w:ascii="仿宋_GB2312" w:eastAsia="仿宋_GB2312"/>
        </w:rPr>
        <w:t>原因主要是机构改革人员下放，增补工资发放。</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5</w:t>
      </w:r>
      <w:r>
        <w:rPr>
          <w:rFonts w:hint="eastAsia" w:ascii="仿宋_GB2312" w:eastAsia="仿宋_GB2312"/>
          <w:b/>
        </w:rPr>
        <w:t>、</w:t>
      </w:r>
      <w:r>
        <w:rPr>
          <w:rFonts w:hint="eastAsia" w:ascii="仿宋_GB2312" w:hAnsi="微软雅黑" w:eastAsia="仿宋_GB2312"/>
          <w:b/>
          <w:spacing w:val="7"/>
          <w:w w:val="99"/>
        </w:rPr>
        <w:t>社会保障和就业支出（类）行政事业单位养老支出（款</w:t>
      </w:r>
      <w:r>
        <w:rPr>
          <w:rFonts w:hint="eastAsia" w:ascii="仿宋_GB2312" w:hAnsi="微软雅黑" w:eastAsia="仿宋_GB2312"/>
          <w:b/>
          <w:w w:val="99"/>
        </w:rPr>
        <w:t>）</w:t>
      </w:r>
      <w:r>
        <w:rPr>
          <w:rFonts w:hint="eastAsia" w:ascii="仿宋_GB2312" w:eastAsia="仿宋_GB2312"/>
          <w:b/>
          <w:spacing w:val="-3"/>
        </w:rPr>
        <w:t>机关事业单位基本养老保险缴费支出</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77.3</w:t>
      </w:r>
      <w:r>
        <w:rPr>
          <w:rFonts w:hint="eastAsia" w:ascii="仿宋_GB2312" w:eastAsia="仿宋_GB2312"/>
          <w:spacing w:val="-9"/>
        </w:rPr>
        <w:t>万元，比</w:t>
      </w:r>
      <w:r>
        <w:rPr>
          <w:rFonts w:hint="eastAsia" w:ascii="仿宋_GB2312" w:eastAsia="仿宋_GB2312"/>
        </w:rPr>
        <w:t>2023</w:t>
      </w:r>
      <w:r>
        <w:rPr>
          <w:rFonts w:hint="eastAsia" w:ascii="仿宋_GB2312" w:eastAsia="仿宋_GB2312"/>
          <w:spacing w:val="-27"/>
        </w:rPr>
        <w:t>年预算增加</w:t>
      </w:r>
      <w:r>
        <w:rPr>
          <w:rFonts w:hint="eastAsia" w:ascii="仿宋_GB2312" w:eastAsia="仿宋_GB2312"/>
        </w:rPr>
        <w:t>4.97</w:t>
      </w:r>
      <w:r>
        <w:rPr>
          <w:rFonts w:hint="eastAsia" w:ascii="仿宋_GB2312" w:eastAsia="仿宋_GB2312"/>
          <w:spacing w:val="-24"/>
        </w:rPr>
        <w:t>万元，增长</w:t>
      </w:r>
      <w:r>
        <w:rPr>
          <w:rFonts w:hint="eastAsia" w:ascii="仿宋_GB2312" w:eastAsia="仿宋_GB2312"/>
        </w:rPr>
        <w:t>6.9</w:t>
      </w:r>
      <w:r>
        <w:rPr>
          <w:rFonts w:hint="eastAsia" w:ascii="仿宋_GB2312" w:eastAsia="仿宋_GB2312"/>
          <w:spacing w:val="-23"/>
        </w:rPr>
        <w:t>%，增长</w:t>
      </w:r>
      <w:r>
        <w:rPr>
          <w:rFonts w:hint="eastAsia" w:ascii="仿宋_GB2312" w:eastAsia="仿宋_GB2312"/>
        </w:rPr>
        <w:t>原因主要是养老增加。</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6</w:t>
      </w:r>
      <w:r>
        <w:rPr>
          <w:rFonts w:hint="eastAsia" w:ascii="仿宋_GB2312" w:eastAsia="仿宋_GB2312"/>
          <w:b/>
        </w:rPr>
        <w:t>、</w:t>
      </w:r>
      <w:r>
        <w:rPr>
          <w:rFonts w:hint="eastAsia" w:ascii="仿宋_GB2312" w:hAnsi="微软雅黑" w:eastAsia="仿宋_GB2312"/>
          <w:b/>
          <w:spacing w:val="7"/>
          <w:w w:val="99"/>
        </w:rPr>
        <w:t>社会保障和就业支出（类）行政事业单位养老支出（款</w:t>
      </w:r>
      <w:r>
        <w:rPr>
          <w:rFonts w:hint="eastAsia" w:ascii="仿宋_GB2312" w:hAnsi="微软雅黑" w:eastAsia="仿宋_GB2312"/>
          <w:b/>
          <w:w w:val="99"/>
        </w:rPr>
        <w:t>）</w:t>
      </w:r>
      <w:r>
        <w:rPr>
          <w:rFonts w:hint="eastAsia" w:ascii="仿宋_GB2312" w:eastAsia="仿宋_GB2312"/>
          <w:b/>
          <w:spacing w:val="-3"/>
        </w:rPr>
        <w:t>机关事业单位职业年金缴费支出</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53.7</w:t>
      </w:r>
      <w:r>
        <w:rPr>
          <w:rFonts w:hint="eastAsia" w:ascii="仿宋_GB2312" w:eastAsia="仿宋_GB2312"/>
          <w:spacing w:val="-9"/>
        </w:rPr>
        <w:t>万元，比</w:t>
      </w:r>
      <w:r>
        <w:rPr>
          <w:rFonts w:hint="eastAsia" w:ascii="仿宋_GB2312" w:eastAsia="仿宋_GB2312"/>
        </w:rPr>
        <w:t>2023</w:t>
      </w:r>
      <w:r>
        <w:rPr>
          <w:rFonts w:hint="eastAsia" w:ascii="仿宋_GB2312" w:eastAsia="仿宋_GB2312"/>
          <w:spacing w:val="-27"/>
        </w:rPr>
        <w:t>年预算增加</w:t>
      </w:r>
      <w:r>
        <w:rPr>
          <w:rFonts w:hint="eastAsia" w:ascii="仿宋_GB2312" w:eastAsia="仿宋_GB2312"/>
        </w:rPr>
        <w:t>4.85</w:t>
      </w:r>
      <w:r>
        <w:rPr>
          <w:rFonts w:hint="eastAsia" w:ascii="仿宋_GB2312" w:eastAsia="仿宋_GB2312"/>
          <w:spacing w:val="-24"/>
        </w:rPr>
        <w:t>万元，增长</w:t>
      </w:r>
      <w:r>
        <w:rPr>
          <w:rFonts w:hint="eastAsia" w:ascii="仿宋_GB2312" w:eastAsia="仿宋_GB2312"/>
        </w:rPr>
        <w:t>9.9</w:t>
      </w:r>
      <w:r>
        <w:rPr>
          <w:rFonts w:hint="eastAsia" w:ascii="仿宋_GB2312" w:eastAsia="仿宋_GB2312"/>
          <w:spacing w:val="-23"/>
        </w:rPr>
        <w:t>%，增长</w:t>
      </w:r>
      <w:r>
        <w:rPr>
          <w:rFonts w:hint="eastAsia" w:ascii="仿宋_GB2312" w:eastAsia="仿宋_GB2312"/>
        </w:rPr>
        <w:t>原因主要是养老增加。</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7</w:t>
      </w:r>
      <w:r>
        <w:rPr>
          <w:rFonts w:hint="eastAsia" w:ascii="仿宋_GB2312" w:eastAsia="仿宋_GB2312"/>
          <w:b/>
        </w:rPr>
        <w:t>、</w:t>
      </w:r>
      <w:r>
        <w:rPr>
          <w:rFonts w:hint="eastAsia" w:ascii="仿宋_GB2312" w:hAnsi="微软雅黑" w:eastAsia="仿宋_GB2312"/>
          <w:b/>
          <w:spacing w:val="7"/>
          <w:w w:val="99"/>
        </w:rPr>
        <w:t>卫生健康支出（类）计划生育事务（款</w:t>
      </w:r>
      <w:r>
        <w:rPr>
          <w:rFonts w:hint="eastAsia" w:ascii="仿宋_GB2312" w:hAnsi="微软雅黑" w:eastAsia="仿宋_GB2312"/>
          <w:b/>
          <w:w w:val="99"/>
        </w:rPr>
        <w:t>）</w:t>
      </w:r>
      <w:r>
        <w:rPr>
          <w:rFonts w:hint="eastAsia" w:ascii="仿宋_GB2312" w:eastAsia="仿宋_GB2312"/>
          <w:b/>
          <w:spacing w:val="-3"/>
        </w:rPr>
        <w:t>其他计划生育事务支出</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60</w:t>
      </w:r>
      <w:r>
        <w:rPr>
          <w:rFonts w:hint="eastAsia" w:ascii="仿宋_GB2312" w:eastAsia="仿宋_GB2312"/>
          <w:spacing w:val="-9"/>
        </w:rPr>
        <w:t>万元，与</w:t>
      </w:r>
      <w:r>
        <w:rPr>
          <w:rFonts w:hint="eastAsia" w:ascii="仿宋_GB2312" w:eastAsia="仿宋_GB2312"/>
        </w:rPr>
        <w:t>2023</w:t>
      </w:r>
      <w:r>
        <w:rPr>
          <w:rFonts w:hint="eastAsia" w:ascii="仿宋_GB2312" w:eastAsia="仿宋_GB2312"/>
          <w:spacing w:val="-27"/>
        </w:rPr>
        <w:t>年预算持平</w:t>
      </w:r>
      <w:r>
        <w:rPr>
          <w:rFonts w:hint="eastAsia" w:ascii="仿宋_GB2312" w:eastAsia="仿宋_GB2312"/>
        </w:rPr>
        <w:t>。</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8</w:t>
      </w:r>
      <w:r>
        <w:rPr>
          <w:rFonts w:hint="eastAsia" w:ascii="仿宋_GB2312" w:eastAsia="仿宋_GB2312"/>
          <w:b/>
        </w:rPr>
        <w:t>、</w:t>
      </w:r>
      <w:r>
        <w:rPr>
          <w:rFonts w:hint="eastAsia" w:ascii="仿宋_GB2312" w:hAnsi="微软雅黑" w:eastAsia="仿宋_GB2312"/>
          <w:b/>
          <w:spacing w:val="7"/>
          <w:w w:val="99"/>
        </w:rPr>
        <w:t>卫生健康支出（类）行政事业单位医疗（款</w:t>
      </w:r>
      <w:r>
        <w:rPr>
          <w:rFonts w:hint="eastAsia" w:ascii="仿宋_GB2312" w:hAnsi="微软雅黑" w:eastAsia="仿宋_GB2312"/>
          <w:b/>
          <w:w w:val="99"/>
        </w:rPr>
        <w:t>）</w:t>
      </w:r>
      <w:r>
        <w:rPr>
          <w:rFonts w:hint="eastAsia" w:ascii="仿宋_GB2312" w:eastAsia="仿宋_GB2312"/>
          <w:b/>
          <w:spacing w:val="-3"/>
        </w:rPr>
        <w:t>行政单位医疗</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28.8</w:t>
      </w:r>
      <w:r>
        <w:rPr>
          <w:rFonts w:hint="eastAsia" w:ascii="仿宋_GB2312" w:eastAsia="仿宋_GB2312"/>
          <w:spacing w:val="-9"/>
        </w:rPr>
        <w:t>万元，比</w:t>
      </w:r>
      <w:r>
        <w:rPr>
          <w:rFonts w:hint="eastAsia" w:ascii="仿宋_GB2312" w:eastAsia="仿宋_GB2312"/>
        </w:rPr>
        <w:t>2023</w:t>
      </w:r>
      <w:r>
        <w:rPr>
          <w:rFonts w:hint="eastAsia" w:ascii="仿宋_GB2312" w:eastAsia="仿宋_GB2312"/>
          <w:spacing w:val="-27"/>
        </w:rPr>
        <w:t>年预算减少</w:t>
      </w:r>
      <w:r>
        <w:rPr>
          <w:rFonts w:hint="eastAsia" w:ascii="仿宋_GB2312" w:eastAsia="仿宋_GB2312"/>
        </w:rPr>
        <w:t>4</w:t>
      </w:r>
      <w:r>
        <w:rPr>
          <w:rFonts w:hint="eastAsia" w:ascii="仿宋_GB2312" w:eastAsia="仿宋_GB2312"/>
          <w:spacing w:val="-24"/>
        </w:rPr>
        <w:t>万元，降低</w:t>
      </w:r>
      <w:r>
        <w:rPr>
          <w:rFonts w:hint="eastAsia" w:ascii="仿宋_GB2312" w:eastAsia="仿宋_GB2312"/>
        </w:rPr>
        <w:t>12.2</w:t>
      </w:r>
      <w:r>
        <w:rPr>
          <w:rFonts w:hint="eastAsia" w:ascii="仿宋_GB2312" w:eastAsia="仿宋_GB2312"/>
          <w:spacing w:val="-23"/>
        </w:rPr>
        <w:t>%，降低</w:t>
      </w:r>
      <w:r>
        <w:rPr>
          <w:rFonts w:hint="eastAsia" w:ascii="仿宋_GB2312" w:eastAsia="仿宋_GB2312"/>
        </w:rPr>
        <w:t>原因主要是行政医疗费较少。</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9</w:t>
      </w:r>
      <w:r>
        <w:rPr>
          <w:rFonts w:hint="eastAsia" w:ascii="仿宋_GB2312" w:eastAsia="仿宋_GB2312"/>
          <w:b/>
        </w:rPr>
        <w:t>、</w:t>
      </w:r>
      <w:r>
        <w:rPr>
          <w:rFonts w:hint="eastAsia" w:ascii="仿宋_GB2312" w:hAnsi="微软雅黑" w:eastAsia="仿宋_GB2312"/>
          <w:b/>
          <w:spacing w:val="7"/>
          <w:w w:val="99"/>
        </w:rPr>
        <w:t>卫生健康支出（类）行政事业单位医疗（款</w:t>
      </w:r>
      <w:r>
        <w:rPr>
          <w:rFonts w:hint="eastAsia" w:ascii="仿宋_GB2312" w:hAnsi="微软雅黑" w:eastAsia="仿宋_GB2312"/>
          <w:b/>
          <w:w w:val="99"/>
        </w:rPr>
        <w:t>）</w:t>
      </w:r>
      <w:r>
        <w:rPr>
          <w:rFonts w:hint="eastAsia" w:ascii="仿宋_GB2312" w:eastAsia="仿宋_GB2312"/>
          <w:b/>
          <w:spacing w:val="-3"/>
        </w:rPr>
        <w:t>事业单位医疗</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23.6</w:t>
      </w:r>
      <w:r>
        <w:rPr>
          <w:rFonts w:hint="eastAsia" w:ascii="仿宋_GB2312" w:eastAsia="仿宋_GB2312"/>
          <w:spacing w:val="-9"/>
        </w:rPr>
        <w:t>万元，比</w:t>
      </w:r>
      <w:r>
        <w:rPr>
          <w:rFonts w:hint="eastAsia" w:ascii="仿宋_GB2312" w:eastAsia="仿宋_GB2312"/>
        </w:rPr>
        <w:t>2023</w:t>
      </w:r>
      <w:r>
        <w:rPr>
          <w:rFonts w:hint="eastAsia" w:ascii="仿宋_GB2312" w:eastAsia="仿宋_GB2312"/>
          <w:spacing w:val="-27"/>
        </w:rPr>
        <w:t>年预算增加</w:t>
      </w:r>
      <w:r>
        <w:rPr>
          <w:rFonts w:hint="eastAsia" w:ascii="仿宋_GB2312" w:eastAsia="仿宋_GB2312"/>
        </w:rPr>
        <w:t>7.55</w:t>
      </w:r>
      <w:r>
        <w:rPr>
          <w:rFonts w:hint="eastAsia" w:ascii="仿宋_GB2312" w:eastAsia="仿宋_GB2312"/>
          <w:spacing w:val="-24"/>
        </w:rPr>
        <w:t>万元，增加</w:t>
      </w:r>
      <w:r>
        <w:rPr>
          <w:rFonts w:hint="eastAsia" w:ascii="仿宋_GB2312" w:eastAsia="仿宋_GB2312"/>
        </w:rPr>
        <w:t>47</w:t>
      </w:r>
      <w:r>
        <w:rPr>
          <w:rFonts w:hint="eastAsia" w:ascii="仿宋_GB2312" w:eastAsia="仿宋_GB2312"/>
          <w:spacing w:val="-23"/>
        </w:rPr>
        <w:t>%，增加</w:t>
      </w:r>
      <w:r>
        <w:rPr>
          <w:rFonts w:hint="eastAsia" w:ascii="仿宋_GB2312" w:eastAsia="仿宋_GB2312"/>
        </w:rPr>
        <w:t>原因主要是机构改革人员下放。</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10</w:t>
      </w:r>
      <w:r>
        <w:rPr>
          <w:rFonts w:hint="eastAsia" w:ascii="仿宋_GB2312" w:eastAsia="仿宋_GB2312"/>
          <w:b/>
        </w:rPr>
        <w:t>、</w:t>
      </w:r>
      <w:r>
        <w:rPr>
          <w:rFonts w:hint="eastAsia" w:ascii="仿宋_GB2312" w:hAnsi="微软雅黑" w:eastAsia="仿宋_GB2312"/>
          <w:b/>
          <w:spacing w:val="7"/>
          <w:w w:val="99"/>
        </w:rPr>
        <w:t>农林水支出（类）农业农村（款</w:t>
      </w:r>
      <w:r>
        <w:rPr>
          <w:rFonts w:hint="eastAsia" w:ascii="仿宋_GB2312" w:hAnsi="微软雅黑" w:eastAsia="仿宋_GB2312"/>
          <w:b/>
          <w:w w:val="99"/>
        </w:rPr>
        <w:t>）</w:t>
      </w:r>
      <w:r>
        <w:rPr>
          <w:rFonts w:hint="eastAsia" w:ascii="仿宋_GB2312" w:eastAsia="仿宋_GB2312"/>
          <w:b/>
          <w:spacing w:val="-3"/>
        </w:rPr>
        <w:t>事业运行</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343.9</w:t>
      </w:r>
      <w:r>
        <w:rPr>
          <w:rFonts w:hint="eastAsia" w:ascii="仿宋_GB2312" w:eastAsia="仿宋_GB2312"/>
          <w:spacing w:val="-9"/>
        </w:rPr>
        <w:t>万元，比</w:t>
      </w:r>
      <w:r>
        <w:rPr>
          <w:rFonts w:hint="eastAsia" w:ascii="仿宋_GB2312" w:eastAsia="仿宋_GB2312"/>
        </w:rPr>
        <w:t>2023</w:t>
      </w:r>
      <w:r>
        <w:rPr>
          <w:rFonts w:hint="eastAsia" w:ascii="仿宋_GB2312" w:eastAsia="仿宋_GB2312"/>
          <w:spacing w:val="-27"/>
        </w:rPr>
        <w:t>年预算增加</w:t>
      </w:r>
      <w:r>
        <w:rPr>
          <w:rFonts w:hint="eastAsia" w:ascii="仿宋_GB2312" w:eastAsia="仿宋_GB2312"/>
        </w:rPr>
        <w:t>79.76</w:t>
      </w:r>
      <w:r>
        <w:rPr>
          <w:rFonts w:hint="eastAsia" w:ascii="仿宋_GB2312" w:eastAsia="仿宋_GB2312"/>
          <w:spacing w:val="-24"/>
        </w:rPr>
        <w:t>万元，增加</w:t>
      </w:r>
      <w:r>
        <w:rPr>
          <w:rFonts w:hint="eastAsia" w:ascii="仿宋_GB2312" w:eastAsia="仿宋_GB2312"/>
        </w:rPr>
        <w:t>30.2</w:t>
      </w:r>
      <w:r>
        <w:rPr>
          <w:rFonts w:hint="eastAsia" w:ascii="仿宋_GB2312" w:eastAsia="仿宋_GB2312"/>
          <w:spacing w:val="-23"/>
        </w:rPr>
        <w:t>%，增加</w:t>
      </w:r>
      <w:r>
        <w:rPr>
          <w:rFonts w:hint="eastAsia" w:ascii="仿宋_GB2312" w:eastAsia="仿宋_GB2312"/>
        </w:rPr>
        <w:t>原因主要是机构改革人员下放。</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11</w:t>
      </w:r>
      <w:r>
        <w:rPr>
          <w:rFonts w:hint="eastAsia" w:ascii="仿宋_GB2312" w:eastAsia="仿宋_GB2312"/>
          <w:b/>
        </w:rPr>
        <w:t>、</w:t>
      </w:r>
      <w:r>
        <w:rPr>
          <w:rFonts w:hint="eastAsia" w:ascii="仿宋_GB2312" w:hAnsi="微软雅黑" w:eastAsia="仿宋_GB2312"/>
          <w:b/>
          <w:spacing w:val="7"/>
          <w:w w:val="99"/>
        </w:rPr>
        <w:t>农林水支出（类）农业农村（款</w:t>
      </w:r>
      <w:r>
        <w:rPr>
          <w:rFonts w:hint="eastAsia" w:ascii="仿宋_GB2312" w:hAnsi="微软雅黑" w:eastAsia="仿宋_GB2312"/>
          <w:b/>
          <w:w w:val="99"/>
        </w:rPr>
        <w:t>）</w:t>
      </w:r>
      <w:r>
        <w:rPr>
          <w:rFonts w:hint="eastAsia" w:ascii="仿宋_GB2312" w:eastAsia="仿宋_GB2312"/>
          <w:b/>
          <w:spacing w:val="-3"/>
        </w:rPr>
        <w:t>农业生产发展</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20</w:t>
      </w:r>
      <w:r>
        <w:rPr>
          <w:rFonts w:hint="eastAsia" w:ascii="仿宋_GB2312" w:eastAsia="仿宋_GB2312"/>
          <w:spacing w:val="-9"/>
        </w:rPr>
        <w:t>万元，与</w:t>
      </w:r>
      <w:r>
        <w:rPr>
          <w:rFonts w:hint="eastAsia" w:ascii="仿宋_GB2312" w:eastAsia="仿宋_GB2312"/>
        </w:rPr>
        <w:t>2023</w:t>
      </w:r>
      <w:r>
        <w:rPr>
          <w:rFonts w:hint="eastAsia" w:ascii="仿宋_GB2312" w:eastAsia="仿宋_GB2312"/>
          <w:spacing w:val="-27"/>
        </w:rPr>
        <w:t>年预算持平</w:t>
      </w:r>
      <w:r>
        <w:rPr>
          <w:rFonts w:hint="eastAsia" w:ascii="仿宋_GB2312" w:eastAsia="仿宋_GB2312"/>
        </w:rPr>
        <w:t>。</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12</w:t>
      </w:r>
      <w:r>
        <w:rPr>
          <w:rFonts w:hint="eastAsia" w:ascii="仿宋_GB2312" w:eastAsia="仿宋_GB2312"/>
          <w:b/>
        </w:rPr>
        <w:t>、</w:t>
      </w:r>
      <w:r>
        <w:rPr>
          <w:rFonts w:hint="eastAsia" w:ascii="仿宋_GB2312" w:hAnsi="微软雅黑" w:eastAsia="仿宋_GB2312"/>
          <w:b/>
          <w:spacing w:val="7"/>
          <w:w w:val="99"/>
        </w:rPr>
        <w:t>农林水支出（类）农业农村（款</w:t>
      </w:r>
      <w:r>
        <w:rPr>
          <w:rFonts w:hint="eastAsia" w:ascii="仿宋_GB2312" w:hAnsi="微软雅黑" w:eastAsia="仿宋_GB2312"/>
          <w:b/>
          <w:w w:val="99"/>
        </w:rPr>
        <w:t>）</w:t>
      </w:r>
      <w:r>
        <w:rPr>
          <w:rFonts w:hint="eastAsia" w:ascii="仿宋_GB2312" w:eastAsia="仿宋_GB2312"/>
          <w:b/>
          <w:spacing w:val="-3"/>
        </w:rPr>
        <w:t>其他农业农村支出</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226</w:t>
      </w:r>
      <w:r>
        <w:rPr>
          <w:rFonts w:hint="eastAsia" w:ascii="仿宋_GB2312" w:eastAsia="仿宋_GB2312"/>
          <w:spacing w:val="-9"/>
        </w:rPr>
        <w:t>万元，比</w:t>
      </w:r>
      <w:r>
        <w:rPr>
          <w:rFonts w:hint="eastAsia" w:ascii="仿宋_GB2312" w:eastAsia="仿宋_GB2312"/>
        </w:rPr>
        <w:t>2023</w:t>
      </w:r>
      <w:r>
        <w:rPr>
          <w:rFonts w:hint="eastAsia" w:ascii="仿宋_GB2312" w:eastAsia="仿宋_GB2312"/>
          <w:spacing w:val="-27"/>
        </w:rPr>
        <w:t>年预算增加</w:t>
      </w:r>
      <w:r>
        <w:rPr>
          <w:rFonts w:hint="eastAsia" w:ascii="仿宋_GB2312" w:eastAsia="仿宋_GB2312"/>
        </w:rPr>
        <w:t>72</w:t>
      </w:r>
      <w:r>
        <w:rPr>
          <w:rFonts w:hint="eastAsia" w:ascii="仿宋_GB2312" w:eastAsia="仿宋_GB2312"/>
          <w:spacing w:val="-24"/>
        </w:rPr>
        <w:t>万元，增加</w:t>
      </w:r>
      <w:r>
        <w:rPr>
          <w:rFonts w:hint="eastAsia" w:ascii="仿宋_GB2312" w:eastAsia="仿宋_GB2312"/>
        </w:rPr>
        <w:t>46.75</w:t>
      </w:r>
      <w:r>
        <w:rPr>
          <w:rFonts w:hint="eastAsia" w:ascii="仿宋_GB2312" w:eastAsia="仿宋_GB2312"/>
          <w:spacing w:val="-23"/>
        </w:rPr>
        <w:t>%，增加</w:t>
      </w:r>
      <w:r>
        <w:rPr>
          <w:rFonts w:hint="eastAsia" w:ascii="仿宋_GB2312" w:eastAsia="仿宋_GB2312"/>
        </w:rPr>
        <w:t>原因主要是农业生产投入加大。</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13</w:t>
      </w:r>
      <w:r>
        <w:rPr>
          <w:rFonts w:hint="eastAsia" w:ascii="仿宋_GB2312" w:eastAsia="仿宋_GB2312"/>
          <w:b/>
        </w:rPr>
        <w:t>、</w:t>
      </w:r>
      <w:r>
        <w:rPr>
          <w:rFonts w:hint="eastAsia" w:ascii="仿宋_GB2312" w:hAnsi="微软雅黑" w:eastAsia="仿宋_GB2312"/>
          <w:b/>
          <w:spacing w:val="7"/>
          <w:w w:val="99"/>
        </w:rPr>
        <w:t>农林水支出（类）巩固脱贫攻坚成果衔接乡村振兴（款</w:t>
      </w:r>
      <w:r>
        <w:rPr>
          <w:rFonts w:hint="eastAsia" w:ascii="仿宋_GB2312" w:hAnsi="微软雅黑" w:eastAsia="仿宋_GB2312"/>
          <w:b/>
          <w:w w:val="99"/>
        </w:rPr>
        <w:t>）</w:t>
      </w:r>
      <w:r>
        <w:rPr>
          <w:rFonts w:hint="eastAsia" w:ascii="仿宋_GB2312" w:eastAsia="仿宋_GB2312"/>
          <w:b/>
          <w:spacing w:val="-3"/>
        </w:rPr>
        <w:t>其他巩固脱贫攻坚成果衔接乡村振兴支出</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14</w:t>
      </w:r>
      <w:r>
        <w:rPr>
          <w:rFonts w:hint="eastAsia" w:ascii="仿宋_GB2312" w:eastAsia="仿宋_GB2312"/>
          <w:spacing w:val="-9"/>
        </w:rPr>
        <w:t>万元，与</w:t>
      </w:r>
      <w:r>
        <w:rPr>
          <w:rFonts w:hint="eastAsia" w:ascii="仿宋_GB2312" w:eastAsia="仿宋_GB2312"/>
        </w:rPr>
        <w:t>2023</w:t>
      </w:r>
      <w:r>
        <w:rPr>
          <w:rFonts w:hint="eastAsia" w:ascii="仿宋_GB2312" w:eastAsia="仿宋_GB2312"/>
          <w:spacing w:val="-27"/>
        </w:rPr>
        <w:t>年预算持平</w:t>
      </w:r>
      <w:r>
        <w:rPr>
          <w:rFonts w:hint="eastAsia" w:ascii="仿宋_GB2312" w:eastAsia="仿宋_GB2312"/>
        </w:rPr>
        <w:t>。</w:t>
      </w:r>
    </w:p>
    <w:p>
      <w:pPr>
        <w:pStyle w:val="3"/>
        <w:spacing w:line="560" w:lineRule="exact"/>
        <w:ind w:firstLine="663" w:firstLineChars="200"/>
        <w:jc w:val="both"/>
        <w:rPr>
          <w:rFonts w:hint="eastAsia" w:ascii="仿宋_GB2312" w:eastAsia="仿宋_GB2312"/>
        </w:rPr>
      </w:pPr>
      <w:r>
        <w:rPr>
          <w:rFonts w:hint="eastAsia" w:ascii="仿宋_GB2312" w:hAnsi="微软雅黑" w:eastAsia="仿宋_GB2312"/>
          <w:b/>
          <w:spacing w:val="7"/>
          <w:w w:val="99"/>
        </w:rPr>
        <w:t>14</w:t>
      </w:r>
      <w:r>
        <w:rPr>
          <w:rFonts w:hint="eastAsia" w:ascii="仿宋_GB2312" w:eastAsia="仿宋_GB2312"/>
          <w:b/>
        </w:rPr>
        <w:t>、</w:t>
      </w:r>
      <w:r>
        <w:rPr>
          <w:rFonts w:hint="eastAsia" w:ascii="仿宋_GB2312" w:hAnsi="微软雅黑" w:eastAsia="仿宋_GB2312"/>
          <w:b/>
          <w:spacing w:val="7"/>
          <w:w w:val="99"/>
        </w:rPr>
        <w:t>农林水支出（类）农村综合改革（款</w:t>
      </w:r>
      <w:r>
        <w:rPr>
          <w:rFonts w:hint="eastAsia" w:ascii="仿宋_GB2312" w:hAnsi="微软雅黑" w:eastAsia="仿宋_GB2312"/>
          <w:b/>
          <w:w w:val="99"/>
        </w:rPr>
        <w:t>）</w:t>
      </w:r>
      <w:r>
        <w:rPr>
          <w:rFonts w:hint="eastAsia" w:ascii="仿宋_GB2312" w:eastAsia="仿宋_GB2312"/>
          <w:b/>
          <w:spacing w:val="-3"/>
        </w:rPr>
        <w:t>对村民委员会和村党支部的补助</w:t>
      </w:r>
      <w:r>
        <w:rPr>
          <w:rFonts w:hint="eastAsia" w:ascii="仿宋_GB2312" w:eastAsia="仿宋_GB2312"/>
          <w:b/>
        </w:rPr>
        <w:t>（项</w:t>
      </w:r>
      <w:r>
        <w:rPr>
          <w:rFonts w:hint="eastAsia" w:ascii="仿宋_GB2312" w:eastAsia="仿宋_GB2312"/>
          <w:b/>
          <w:spacing w:val="-7"/>
        </w:rPr>
        <w:t>）</w:t>
      </w:r>
      <w:r>
        <w:rPr>
          <w:rFonts w:hint="eastAsia" w:ascii="仿宋_GB2312" w:eastAsia="仿宋_GB2312"/>
          <w:spacing w:val="-7"/>
        </w:rPr>
        <w:t>2024</w:t>
      </w:r>
      <w:r>
        <w:rPr>
          <w:rFonts w:hint="eastAsia" w:ascii="仿宋_GB2312" w:eastAsia="仿宋_GB2312"/>
          <w:spacing w:val="-21"/>
        </w:rPr>
        <w:t xml:space="preserve"> 年预算</w:t>
      </w:r>
      <w:r>
        <w:rPr>
          <w:rFonts w:hint="eastAsia" w:ascii="仿宋_GB2312" w:eastAsia="仿宋_GB2312"/>
        </w:rPr>
        <w:t xml:space="preserve"> 417</w:t>
      </w:r>
      <w:r>
        <w:rPr>
          <w:rFonts w:hint="eastAsia" w:ascii="仿宋_GB2312" w:eastAsia="仿宋_GB2312"/>
          <w:spacing w:val="-9"/>
        </w:rPr>
        <w:t>万元，比</w:t>
      </w:r>
      <w:r>
        <w:rPr>
          <w:rFonts w:hint="eastAsia" w:ascii="仿宋_GB2312" w:eastAsia="仿宋_GB2312"/>
        </w:rPr>
        <w:t>2023</w:t>
      </w:r>
      <w:r>
        <w:rPr>
          <w:rFonts w:hint="eastAsia" w:ascii="仿宋_GB2312" w:eastAsia="仿宋_GB2312"/>
          <w:spacing w:val="-27"/>
        </w:rPr>
        <w:t>年预算增加</w:t>
      </w:r>
      <w:r>
        <w:rPr>
          <w:rFonts w:hint="eastAsia" w:ascii="仿宋_GB2312" w:eastAsia="仿宋_GB2312"/>
        </w:rPr>
        <w:t>9.65</w:t>
      </w:r>
      <w:r>
        <w:rPr>
          <w:rFonts w:hint="eastAsia" w:ascii="仿宋_GB2312" w:eastAsia="仿宋_GB2312"/>
          <w:spacing w:val="-24"/>
        </w:rPr>
        <w:t>万元，增加</w:t>
      </w:r>
      <w:r>
        <w:rPr>
          <w:rFonts w:hint="eastAsia" w:ascii="仿宋_GB2312" w:eastAsia="仿宋_GB2312"/>
        </w:rPr>
        <w:t>2.37</w:t>
      </w:r>
      <w:r>
        <w:rPr>
          <w:rFonts w:hint="eastAsia" w:ascii="仿宋_GB2312" w:eastAsia="仿宋_GB2312"/>
          <w:spacing w:val="-23"/>
        </w:rPr>
        <w:t>%，增加</w:t>
      </w:r>
      <w:r>
        <w:rPr>
          <w:rFonts w:hint="eastAsia" w:ascii="仿宋_GB2312" w:eastAsia="仿宋_GB2312"/>
        </w:rPr>
        <w:t>原因主要是村干部工资提标。</w:t>
      </w:r>
    </w:p>
    <w:p>
      <w:pPr>
        <w:pStyle w:val="33"/>
        <w:spacing w:line="560" w:lineRule="exact"/>
        <w:ind w:left="0" w:firstLine="519" w:firstLineChars="200"/>
        <w:jc w:val="both"/>
        <w:rPr>
          <w:rFonts w:hint="eastAsia" w:ascii="仿宋_GB2312" w:eastAsia="仿宋_GB2312"/>
          <w:b w:val="0"/>
        </w:rPr>
      </w:pPr>
      <w:r>
        <w:rPr>
          <w:rFonts w:hint="eastAsia" w:ascii="仿宋_GB2312" w:eastAsia="仿宋_GB2312"/>
          <w:spacing w:val="1"/>
          <w:w w:val="80"/>
        </w:rPr>
        <w:t>15</w:t>
      </w:r>
      <w:r>
        <w:rPr>
          <w:rFonts w:hint="eastAsia" w:ascii="仿宋_GB2312" w:eastAsia="仿宋_GB2312"/>
          <w:spacing w:val="-2"/>
          <w:w w:val="174"/>
        </w:rPr>
        <w:t>.</w:t>
      </w:r>
      <w:r>
        <w:rPr>
          <w:rFonts w:hint="eastAsia" w:ascii="仿宋_GB2312" w:eastAsia="仿宋_GB2312"/>
          <w:spacing w:val="-11"/>
          <w:w w:val="99"/>
        </w:rPr>
        <w:t>住房保障支出</w:t>
      </w:r>
      <w:r>
        <w:rPr>
          <w:rFonts w:hint="eastAsia" w:ascii="仿宋_GB2312" w:eastAsia="仿宋_GB2312"/>
          <w:w w:val="99"/>
        </w:rPr>
        <w:t>（</w:t>
      </w:r>
      <w:r>
        <w:rPr>
          <w:rFonts w:hint="eastAsia" w:ascii="仿宋_GB2312" w:eastAsia="仿宋_GB2312"/>
          <w:spacing w:val="2"/>
          <w:w w:val="99"/>
        </w:rPr>
        <w:t>类</w:t>
      </w:r>
      <w:r>
        <w:rPr>
          <w:rFonts w:hint="eastAsia" w:ascii="仿宋_GB2312" w:eastAsia="仿宋_GB2312"/>
          <w:spacing w:val="-67"/>
          <w:w w:val="99"/>
        </w:rPr>
        <w:t>）</w:t>
      </w:r>
      <w:r>
        <w:rPr>
          <w:rFonts w:hint="eastAsia" w:ascii="仿宋_GB2312" w:eastAsia="仿宋_GB2312"/>
          <w:spacing w:val="-12"/>
          <w:w w:val="99"/>
        </w:rPr>
        <w:t>住房改革支出</w:t>
      </w:r>
      <w:r>
        <w:rPr>
          <w:rFonts w:hint="eastAsia" w:ascii="仿宋_GB2312" w:eastAsia="仿宋_GB2312"/>
          <w:spacing w:val="2"/>
          <w:w w:val="99"/>
        </w:rPr>
        <w:t>（</w:t>
      </w:r>
      <w:r>
        <w:rPr>
          <w:rFonts w:hint="eastAsia" w:ascii="仿宋_GB2312" w:eastAsia="仿宋_GB2312"/>
          <w:w w:val="99"/>
        </w:rPr>
        <w:t>款</w:t>
      </w:r>
      <w:r>
        <w:rPr>
          <w:rFonts w:hint="eastAsia" w:ascii="仿宋_GB2312" w:eastAsia="仿宋_GB2312"/>
          <w:spacing w:val="-67"/>
          <w:w w:val="99"/>
        </w:rPr>
        <w:t>）</w:t>
      </w:r>
      <w:r>
        <w:rPr>
          <w:rFonts w:hint="eastAsia" w:ascii="仿宋_GB2312" w:eastAsia="仿宋_GB2312"/>
          <w:spacing w:val="-13"/>
          <w:w w:val="99"/>
        </w:rPr>
        <w:t>住房公积金</w:t>
      </w:r>
      <w:r>
        <w:rPr>
          <w:rFonts w:hint="eastAsia" w:ascii="仿宋_GB2312" w:eastAsia="仿宋_GB2312"/>
          <w:spacing w:val="2"/>
          <w:w w:val="99"/>
        </w:rPr>
        <w:t>（</w:t>
      </w:r>
      <w:r>
        <w:rPr>
          <w:rFonts w:hint="eastAsia" w:ascii="仿宋_GB2312" w:eastAsia="仿宋_GB2312"/>
          <w:w w:val="99"/>
        </w:rPr>
        <w:t>项）</w:t>
      </w:r>
      <w:r>
        <w:rPr>
          <w:rFonts w:hint="eastAsia" w:ascii="仿宋_GB2312" w:eastAsia="仿宋_GB2312"/>
          <w:b w:val="0"/>
        </w:rPr>
        <w:t>2024</w:t>
      </w:r>
      <w:r>
        <w:rPr>
          <w:rFonts w:hint="eastAsia" w:ascii="仿宋_GB2312" w:eastAsia="仿宋_GB2312"/>
          <w:b w:val="0"/>
          <w:spacing w:val="-22"/>
        </w:rPr>
        <w:t xml:space="preserve"> 年预算</w:t>
      </w:r>
      <w:r>
        <w:rPr>
          <w:rFonts w:hint="eastAsia" w:ascii="仿宋_GB2312" w:eastAsia="仿宋_GB2312"/>
          <w:b w:val="0"/>
        </w:rPr>
        <w:t>74.1</w:t>
      </w:r>
      <w:r>
        <w:rPr>
          <w:rFonts w:hint="eastAsia" w:ascii="仿宋_GB2312" w:eastAsia="仿宋_GB2312"/>
          <w:b w:val="0"/>
          <w:spacing w:val="-22"/>
        </w:rPr>
        <w:t xml:space="preserve">万元，比 </w:t>
      </w:r>
      <w:r>
        <w:rPr>
          <w:rFonts w:hint="eastAsia" w:ascii="仿宋_GB2312" w:eastAsia="仿宋_GB2312"/>
          <w:b w:val="0"/>
        </w:rPr>
        <w:t>2023</w:t>
      </w:r>
      <w:r>
        <w:rPr>
          <w:rFonts w:hint="eastAsia" w:ascii="仿宋_GB2312" w:eastAsia="仿宋_GB2312"/>
          <w:b w:val="0"/>
          <w:spacing w:val="-18"/>
        </w:rPr>
        <w:t xml:space="preserve"> 年预算增加</w:t>
      </w:r>
      <w:r>
        <w:rPr>
          <w:rFonts w:hint="eastAsia" w:ascii="仿宋_GB2312" w:eastAsia="仿宋_GB2312"/>
          <w:b w:val="0"/>
        </w:rPr>
        <w:t>1.29</w:t>
      </w:r>
      <w:r>
        <w:rPr>
          <w:rFonts w:hint="eastAsia" w:ascii="仿宋_GB2312" w:eastAsia="仿宋_GB2312"/>
          <w:b w:val="0"/>
          <w:spacing w:val="-6"/>
        </w:rPr>
        <w:t>万元，增长1.8%，增长原因主要是人员增加。</w:t>
      </w:r>
    </w:p>
    <w:p>
      <w:pPr>
        <w:pStyle w:val="33"/>
        <w:spacing w:line="560" w:lineRule="exact"/>
        <w:ind w:left="0" w:firstLine="519" w:firstLineChars="200"/>
        <w:jc w:val="both"/>
        <w:rPr>
          <w:rFonts w:hint="eastAsia" w:ascii="仿宋_GB2312" w:eastAsia="仿宋_GB2312"/>
          <w:b w:val="0"/>
        </w:rPr>
      </w:pPr>
      <w:r>
        <w:rPr>
          <w:rFonts w:hint="eastAsia" w:ascii="仿宋_GB2312" w:eastAsia="仿宋_GB2312"/>
          <w:spacing w:val="1"/>
          <w:w w:val="80"/>
        </w:rPr>
        <w:t>16</w:t>
      </w:r>
      <w:r>
        <w:rPr>
          <w:rFonts w:hint="eastAsia" w:ascii="仿宋_GB2312" w:eastAsia="仿宋_GB2312"/>
          <w:spacing w:val="-2"/>
          <w:w w:val="174"/>
        </w:rPr>
        <w:t>.</w:t>
      </w:r>
      <w:r>
        <w:rPr>
          <w:rFonts w:hint="eastAsia" w:ascii="仿宋_GB2312" w:eastAsia="仿宋_GB2312"/>
          <w:spacing w:val="-11"/>
          <w:w w:val="99"/>
        </w:rPr>
        <w:t>住房保障支出</w:t>
      </w:r>
      <w:r>
        <w:rPr>
          <w:rFonts w:hint="eastAsia" w:ascii="仿宋_GB2312" w:eastAsia="仿宋_GB2312"/>
          <w:w w:val="99"/>
        </w:rPr>
        <w:t>（</w:t>
      </w:r>
      <w:r>
        <w:rPr>
          <w:rFonts w:hint="eastAsia" w:ascii="仿宋_GB2312" w:eastAsia="仿宋_GB2312"/>
          <w:spacing w:val="2"/>
          <w:w w:val="99"/>
        </w:rPr>
        <w:t>类</w:t>
      </w:r>
      <w:r>
        <w:rPr>
          <w:rFonts w:hint="eastAsia" w:ascii="仿宋_GB2312" w:eastAsia="仿宋_GB2312"/>
          <w:spacing w:val="-67"/>
          <w:w w:val="99"/>
        </w:rPr>
        <w:t>）</w:t>
      </w:r>
      <w:r>
        <w:rPr>
          <w:rFonts w:hint="eastAsia" w:ascii="仿宋_GB2312" w:eastAsia="仿宋_GB2312"/>
          <w:spacing w:val="-12"/>
          <w:w w:val="99"/>
        </w:rPr>
        <w:t>住房改革支出</w:t>
      </w:r>
      <w:r>
        <w:rPr>
          <w:rFonts w:hint="eastAsia" w:ascii="仿宋_GB2312" w:eastAsia="仿宋_GB2312"/>
          <w:spacing w:val="2"/>
          <w:w w:val="99"/>
        </w:rPr>
        <w:t>（</w:t>
      </w:r>
      <w:r>
        <w:rPr>
          <w:rFonts w:hint="eastAsia" w:ascii="仿宋_GB2312" w:eastAsia="仿宋_GB2312"/>
          <w:w w:val="99"/>
        </w:rPr>
        <w:t>款</w:t>
      </w:r>
      <w:r>
        <w:rPr>
          <w:rFonts w:hint="eastAsia" w:ascii="仿宋_GB2312" w:eastAsia="仿宋_GB2312"/>
          <w:spacing w:val="-67"/>
          <w:w w:val="99"/>
        </w:rPr>
        <w:t>）</w:t>
      </w:r>
      <w:r>
        <w:rPr>
          <w:rFonts w:hint="eastAsia" w:ascii="仿宋_GB2312" w:eastAsia="仿宋_GB2312"/>
          <w:spacing w:val="-13"/>
          <w:w w:val="99"/>
        </w:rPr>
        <w:t>提租补贴</w:t>
      </w:r>
      <w:r>
        <w:rPr>
          <w:rFonts w:hint="eastAsia" w:ascii="仿宋_GB2312" w:eastAsia="仿宋_GB2312"/>
          <w:spacing w:val="2"/>
          <w:w w:val="99"/>
        </w:rPr>
        <w:t>（</w:t>
      </w:r>
      <w:r>
        <w:rPr>
          <w:rFonts w:hint="eastAsia" w:ascii="仿宋_GB2312" w:eastAsia="仿宋_GB2312"/>
          <w:w w:val="99"/>
        </w:rPr>
        <w:t>项）</w:t>
      </w:r>
      <w:r>
        <w:rPr>
          <w:rFonts w:hint="eastAsia" w:ascii="仿宋_GB2312" w:eastAsia="仿宋_GB2312"/>
          <w:b w:val="0"/>
        </w:rPr>
        <w:t>2024</w:t>
      </w:r>
      <w:r>
        <w:rPr>
          <w:rFonts w:hint="eastAsia" w:ascii="仿宋_GB2312" w:eastAsia="仿宋_GB2312"/>
          <w:b w:val="0"/>
          <w:spacing w:val="-22"/>
        </w:rPr>
        <w:t xml:space="preserve"> 年预算</w:t>
      </w:r>
      <w:r>
        <w:rPr>
          <w:rFonts w:hint="eastAsia" w:ascii="仿宋_GB2312" w:eastAsia="仿宋_GB2312"/>
          <w:b w:val="0"/>
        </w:rPr>
        <w:t>43.6</w:t>
      </w:r>
      <w:r>
        <w:rPr>
          <w:rFonts w:hint="eastAsia" w:ascii="仿宋_GB2312" w:eastAsia="仿宋_GB2312"/>
          <w:b w:val="0"/>
          <w:spacing w:val="-22"/>
        </w:rPr>
        <w:t xml:space="preserve">万元，比 </w:t>
      </w:r>
      <w:r>
        <w:rPr>
          <w:rFonts w:hint="eastAsia" w:ascii="仿宋_GB2312" w:eastAsia="仿宋_GB2312"/>
          <w:b w:val="0"/>
        </w:rPr>
        <w:t>2023</w:t>
      </w:r>
      <w:r>
        <w:rPr>
          <w:rFonts w:hint="eastAsia" w:ascii="仿宋_GB2312" w:eastAsia="仿宋_GB2312"/>
          <w:b w:val="0"/>
          <w:spacing w:val="-18"/>
        </w:rPr>
        <w:t xml:space="preserve"> 年预算增加</w:t>
      </w:r>
      <w:r>
        <w:rPr>
          <w:rFonts w:hint="eastAsia" w:ascii="仿宋_GB2312" w:eastAsia="仿宋_GB2312"/>
          <w:b w:val="0"/>
        </w:rPr>
        <w:t>1.84</w:t>
      </w:r>
      <w:r>
        <w:rPr>
          <w:rFonts w:hint="eastAsia" w:ascii="仿宋_GB2312" w:eastAsia="仿宋_GB2312"/>
          <w:b w:val="0"/>
          <w:spacing w:val="-6"/>
        </w:rPr>
        <w:t>万元，增长4.4%，增长原因主要是人员增加。</w:t>
      </w:r>
    </w:p>
    <w:p>
      <w:pPr>
        <w:pStyle w:val="7"/>
        <w:adjustRightInd w:val="0"/>
        <w:snapToGrid w:val="0"/>
        <w:spacing w:before="0" w:beforeAutospacing="0" w:after="0" w:afterAutospacing="0" w:line="560" w:lineRule="exact"/>
        <w:ind w:firstLine="640" w:firstLineChars="200"/>
        <w:rPr>
          <w:rFonts w:hint="eastAsia" w:ascii="仿宋_GB2312" w:eastAsia="仿宋_GB2312"/>
          <w:sz w:val="32"/>
          <w:szCs w:val="32"/>
        </w:rPr>
      </w:pPr>
      <w:r>
        <w:rPr>
          <w:rFonts w:hint="eastAsia" w:ascii="黑体" w:hAnsi="仿宋" w:eastAsia="黑体" w:cs="Times New Roman"/>
          <w:kern w:val="2"/>
          <w:sz w:val="32"/>
          <w:szCs w:val="32"/>
        </w:rPr>
        <w:t>六、关于2024年一般公共预算基本支出表的说明</w:t>
      </w:r>
    </w:p>
    <w:p>
      <w:pPr>
        <w:pStyle w:val="7"/>
        <w:adjustRightInd w:val="0"/>
        <w:snapToGrid w:val="0"/>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eastAsia="仿宋_GB2312"/>
          <w:sz w:val="32"/>
          <w:szCs w:val="32"/>
        </w:rPr>
        <w:t>五河县武桥镇部门2024</w:t>
      </w:r>
      <w:r>
        <w:rPr>
          <w:rFonts w:ascii="仿宋_GB2312" w:eastAsia="仿宋_GB2312"/>
          <w:sz w:val="32"/>
          <w:szCs w:val="32"/>
        </w:rPr>
        <w:t>年度</w:t>
      </w:r>
      <w:r>
        <w:rPr>
          <w:rFonts w:hint="eastAsia" w:ascii="仿宋_GB2312" w:eastAsia="仿宋_GB2312"/>
          <w:sz w:val="32"/>
          <w:szCs w:val="32"/>
        </w:rPr>
        <w:t>一般公共预算基本支出 1163.23 万元，</w:t>
      </w:r>
      <w:r>
        <w:rPr>
          <w:rFonts w:ascii="仿宋_GB2312" w:eastAsia="仿宋_GB2312"/>
          <w:sz w:val="32"/>
          <w:szCs w:val="32"/>
        </w:rPr>
        <w:t>其中，人员经费</w:t>
      </w:r>
      <w:r>
        <w:rPr>
          <w:rFonts w:hint="eastAsia" w:ascii="仿宋_GB2312" w:eastAsia="仿宋_GB2312"/>
          <w:sz w:val="32"/>
          <w:szCs w:val="32"/>
        </w:rPr>
        <w:t xml:space="preserve"> 1021.75 </w:t>
      </w:r>
      <w:r>
        <w:rPr>
          <w:rFonts w:ascii="仿宋_GB2312" w:eastAsia="仿宋_GB2312"/>
          <w:sz w:val="32"/>
          <w:szCs w:val="32"/>
        </w:rPr>
        <w:t>万元，公用经费141.48</w:t>
      </w:r>
      <w:r>
        <w:rPr>
          <w:rFonts w:hint="eastAsia" w:ascii="仿宋_GB2312" w:eastAsia="仿宋_GB2312"/>
          <w:sz w:val="32"/>
          <w:szCs w:val="32"/>
        </w:rPr>
        <w:t xml:space="preserve"> </w:t>
      </w:r>
      <w:r>
        <w:rPr>
          <w:rFonts w:ascii="仿宋_GB2312" w:eastAsia="仿宋_GB2312"/>
          <w:sz w:val="32"/>
          <w:szCs w:val="32"/>
        </w:rPr>
        <w:t>万元。</w:t>
      </w:r>
    </w:p>
    <w:p>
      <w:pPr>
        <w:pStyle w:val="7"/>
        <w:adjustRightInd w:val="0"/>
        <w:snapToGrid w:val="0"/>
        <w:spacing w:before="0" w:beforeAutospacing="0" w:after="0" w:afterAutospacing="0" w:line="560" w:lineRule="exact"/>
        <w:ind w:firstLine="640" w:firstLineChars="200"/>
        <w:rPr>
          <w:rFonts w:hint="eastAsia" w:ascii="仿宋_GB2312" w:eastAsia="仿宋_GB2312"/>
          <w:sz w:val="32"/>
          <w:szCs w:val="32"/>
        </w:rPr>
      </w:pPr>
      <w:r>
        <w:rPr>
          <w:rFonts w:ascii="仿宋_GB2312" w:eastAsia="仿宋_GB2312"/>
          <w:sz w:val="32"/>
          <w:szCs w:val="32"/>
        </w:rPr>
        <w:t>（一）人员经费</w:t>
      </w:r>
      <w:r>
        <w:rPr>
          <w:rFonts w:hint="eastAsia" w:ascii="仿宋_GB2312" w:eastAsia="仿宋_GB2312"/>
          <w:sz w:val="32"/>
          <w:szCs w:val="32"/>
        </w:rPr>
        <w:t xml:space="preserve"> 1021.75 </w:t>
      </w:r>
      <w:r>
        <w:rPr>
          <w:rFonts w:ascii="仿宋_GB2312" w:eastAsia="仿宋_GB2312"/>
          <w:sz w:val="32"/>
          <w:szCs w:val="32"/>
        </w:rPr>
        <w:t>万元，主要包括：基本工资、津贴社贴、奖金、伙食补助费、绩效工资、机关事业单位基本养老保险费、职业年金缴费、职工基本医疗保险缴费、公务员医疗补助缴费、其他社会保障缴费、住房公积金、医疗费、其他工资福利支出、退休费、退职（役）费、抚恤金生活补助、救济费、医疗费补助、助学金、奖励金、个人农业生产补贴、对其他个人和家庭的补助支出。</w:t>
      </w:r>
    </w:p>
    <w:p>
      <w:pPr>
        <w:pStyle w:val="7"/>
        <w:adjustRightInd w:val="0"/>
        <w:snapToGrid w:val="0"/>
        <w:spacing w:before="0" w:beforeAutospacing="0" w:after="0" w:afterAutospacing="0" w:line="560" w:lineRule="exact"/>
        <w:ind w:firstLine="640" w:firstLineChars="200"/>
        <w:rPr>
          <w:rFonts w:hint="eastAsia" w:ascii="仿宋_GB2312" w:eastAsia="仿宋_GB2312"/>
          <w:sz w:val="32"/>
          <w:szCs w:val="32"/>
        </w:rPr>
      </w:pPr>
      <w:r>
        <w:rPr>
          <w:rFonts w:ascii="仿宋_GB2312" w:eastAsia="仿宋_GB2312"/>
          <w:sz w:val="32"/>
          <w:szCs w:val="32"/>
        </w:rPr>
        <w:t>（二）公用经费 141.48万元，主要包括：办公费、印刷费、咨询费、手续费、水费、电费、邮电费、差旅费、维修（护）费、租赁费、会议费、培训费、公务接待费、专用燃料费、劳务费、委托业务费、工会经费、福利费、公务用车运行维护费、其他交通费用、税金及附加费用、其他商品服务支出、办公设备购置、专用设备购置、基础设施建设、大型修缮、信息网络及软件购置更新、物资储备、土地补偿、安置补助、地上附着物和青苗补偿、拆迁补偿、其他支出等。</w:t>
      </w:r>
    </w:p>
    <w:p>
      <w:pPr>
        <w:pStyle w:val="7"/>
        <w:adjustRightInd w:val="0"/>
        <w:snapToGrid w:val="0"/>
        <w:spacing w:before="0" w:beforeAutospacing="0" w:after="0" w:afterAutospacing="0" w:line="560" w:lineRule="exact"/>
        <w:ind w:firstLine="640" w:firstLineChars="200"/>
        <w:rPr>
          <w:rFonts w:hint="eastAsia" w:ascii="黑体" w:hAnsi="仿宋" w:eastAsia="黑体"/>
          <w:sz w:val="32"/>
          <w:szCs w:val="32"/>
        </w:rPr>
      </w:pPr>
      <w:r>
        <w:rPr>
          <w:rFonts w:hint="eastAsia" w:ascii="黑体" w:hAnsi="仿宋" w:eastAsia="黑体"/>
          <w:sz w:val="32"/>
          <w:szCs w:val="32"/>
        </w:rPr>
        <w:t>七、关于2024年政府性基金预算支出表的说明</w:t>
      </w:r>
    </w:p>
    <w:p>
      <w:pPr>
        <w:spacing w:line="560" w:lineRule="exact"/>
        <w:ind w:left="160" w:leftChars="76" w:firstLine="480" w:firstLineChars="150"/>
        <w:jc w:val="left"/>
        <w:rPr>
          <w:rFonts w:hint="eastAsia" w:ascii="仿宋_GB2312" w:eastAsia="仿宋_GB2312"/>
          <w:sz w:val="32"/>
          <w:szCs w:val="32"/>
        </w:rPr>
      </w:pPr>
      <w:r>
        <w:rPr>
          <w:rFonts w:hint="eastAsia" w:ascii="仿宋_GB2312" w:eastAsia="仿宋_GB2312"/>
          <w:sz w:val="32"/>
          <w:szCs w:val="32"/>
        </w:rPr>
        <w:t>五河县武桥镇人民政府部门2024年没有政府性基金预算拨款收入，也没有使用政府性基金预算拨款安排的支出。</w:t>
      </w:r>
    </w:p>
    <w:p>
      <w:pPr>
        <w:widowControl/>
        <w:adjustRightInd w:val="0"/>
        <w:snapToGrid w:val="0"/>
        <w:spacing w:line="560" w:lineRule="exact"/>
        <w:ind w:firstLine="640" w:firstLineChars="200"/>
        <w:jc w:val="left"/>
        <w:rPr>
          <w:rFonts w:hint="eastAsia" w:ascii="黑体" w:eastAsia="黑体"/>
          <w:sz w:val="36"/>
          <w:szCs w:val="36"/>
        </w:rPr>
      </w:pPr>
      <w:r>
        <w:rPr>
          <w:rFonts w:hint="eastAsia" w:ascii="黑体" w:hAnsi="仿宋" w:eastAsia="黑体"/>
          <w:sz w:val="32"/>
          <w:szCs w:val="32"/>
        </w:rPr>
        <w:t>八、关于2024年国有资本经营预算支出表的说明</w:t>
      </w:r>
    </w:p>
    <w:p>
      <w:pPr>
        <w:adjustRightInd w:val="0"/>
        <w:snapToGrid w:val="0"/>
        <w:spacing w:line="560" w:lineRule="exact"/>
        <w:ind w:firstLine="640" w:firstLineChars="200"/>
        <w:rPr>
          <w:rFonts w:ascii="TimesNewRoman" w:hAnsi="TimesNewRoman" w:eastAsia="仿宋_GB2312" w:cs="TimesNewRoman"/>
          <w:sz w:val="32"/>
          <w:szCs w:val="32"/>
        </w:rPr>
      </w:pPr>
      <w:r>
        <w:rPr>
          <w:rFonts w:hint="eastAsia" w:ascii="仿宋_GB2312" w:hAnsi="仿宋" w:eastAsia="仿宋_GB2312"/>
          <w:sz w:val="32"/>
          <w:szCs w:val="32"/>
        </w:rPr>
        <w:t>五河县武桥镇人民政府部门2024年</w:t>
      </w:r>
      <w:r>
        <w:rPr>
          <w:rFonts w:ascii="TimesNewRoman" w:hAnsi="TimesNewRoman" w:eastAsia="仿宋_GB2312" w:cs="TimesNewRoman"/>
          <w:sz w:val="32"/>
          <w:szCs w:val="32"/>
        </w:rPr>
        <w:t>没有国有资本经营预算拨款收入，也没有使用国有资本经营预算拨款安排的支出。</w:t>
      </w:r>
    </w:p>
    <w:p>
      <w:pPr>
        <w:pStyle w:val="7"/>
        <w:adjustRightInd w:val="0"/>
        <w:snapToGrid w:val="0"/>
        <w:spacing w:before="0" w:beforeAutospacing="0" w:after="0" w:afterAutospacing="0" w:line="560" w:lineRule="exact"/>
        <w:ind w:firstLine="640" w:firstLineChars="200"/>
        <w:rPr>
          <w:rFonts w:hint="eastAsia" w:ascii="黑体" w:hAnsi="仿宋" w:eastAsia="黑体" w:cs="Times New Roman"/>
          <w:kern w:val="2"/>
          <w:sz w:val="32"/>
          <w:szCs w:val="32"/>
        </w:rPr>
      </w:pPr>
      <w:r>
        <w:rPr>
          <w:rFonts w:hint="eastAsia" w:ascii="黑体" w:hAnsi="仿宋" w:eastAsia="黑体" w:cs="Times New Roman"/>
          <w:kern w:val="2"/>
          <w:sz w:val="32"/>
          <w:szCs w:val="32"/>
        </w:rPr>
        <w:t>九、关于2024年项目支出表的说明</w:t>
      </w:r>
    </w:p>
    <w:p>
      <w:pPr>
        <w:pStyle w:val="7"/>
        <w:adjustRightInd w:val="0"/>
        <w:snapToGrid w:val="0"/>
        <w:spacing w:before="0" w:beforeAutospacing="0" w:after="0" w:afterAutospacing="0" w:line="560" w:lineRule="exact"/>
        <w:ind w:firstLine="640" w:firstLineChars="200"/>
        <w:rPr>
          <w:rFonts w:ascii="TimesNewRoman" w:hAnsi="TimesNewRoman" w:eastAsia="仿宋_GB2312" w:cs="TimesNewRoman"/>
          <w:sz w:val="32"/>
          <w:szCs w:val="32"/>
        </w:rPr>
      </w:pPr>
      <w:r>
        <w:rPr>
          <w:rFonts w:hint="eastAsia" w:ascii="仿宋_GB2312" w:hAnsi="仿宋" w:eastAsia="仿宋_GB2312" w:cs="Times New Roman"/>
          <w:kern w:val="2"/>
          <w:sz w:val="32"/>
          <w:szCs w:val="32"/>
        </w:rPr>
        <w:t>五河县武桥镇人民政府部门</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年预算共安排项目支出</w:t>
      </w:r>
      <w:r>
        <w:rPr>
          <w:rFonts w:hint="eastAsia" w:ascii="仿宋_GB2312" w:hAnsi="仿宋" w:eastAsia="仿宋_GB2312" w:cs="Times New Roman"/>
          <w:kern w:val="2"/>
          <w:sz w:val="32"/>
          <w:szCs w:val="32"/>
        </w:rPr>
        <w:t>777</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2023</w:t>
      </w:r>
      <w:r>
        <w:rPr>
          <w:rFonts w:ascii="TimesNewRoman" w:hAnsi="TimesNewRoman" w:eastAsia="仿宋_GB2312" w:cs="TimesNewRoman"/>
          <w:sz w:val="32"/>
          <w:szCs w:val="32"/>
        </w:rPr>
        <w:t>年预算减少243.19万元，下降23.84%，下降原因主要是</w:t>
      </w:r>
      <w:r>
        <w:rPr>
          <w:rFonts w:hint="eastAsia" w:ascii="TimesNewRoman" w:hAnsi="TimesNewRoman" w:eastAsia="仿宋_GB2312" w:cs="TimesNewRoman"/>
          <w:sz w:val="32"/>
          <w:szCs w:val="32"/>
        </w:rPr>
        <w:t>压减一些非必要项目。</w:t>
      </w:r>
      <w:r>
        <w:rPr>
          <w:rFonts w:ascii="TimesNewRoman" w:hAnsi="TimesNewRoman" w:eastAsia="仿宋_GB2312" w:cs="TimesNewRoman"/>
          <w:sz w:val="32"/>
          <w:szCs w:val="32"/>
        </w:rPr>
        <w:t>主要包括：本年财政拨款安排</w:t>
      </w:r>
      <w:r>
        <w:rPr>
          <w:rFonts w:hint="eastAsia" w:ascii="仿宋_GB2312" w:hAnsi="仿宋" w:eastAsia="仿宋_GB2312" w:cs="Times New Roman"/>
          <w:kern w:val="2"/>
          <w:sz w:val="32"/>
          <w:szCs w:val="32"/>
        </w:rPr>
        <w:t>777</w:t>
      </w:r>
      <w:r>
        <w:rPr>
          <w:rFonts w:ascii="TimesNewRoman" w:hAnsi="TimesNewRoman" w:eastAsia="仿宋_GB2312" w:cs="TimesNewRoman"/>
          <w:sz w:val="32"/>
          <w:szCs w:val="32"/>
        </w:rPr>
        <w:t>万元（其中，一般公共预算拨款安排</w:t>
      </w:r>
      <w:r>
        <w:rPr>
          <w:rFonts w:hint="eastAsia" w:ascii="仿宋_GB2312" w:hAnsi="仿宋" w:eastAsia="仿宋_GB2312" w:cs="Times New Roman"/>
          <w:kern w:val="2"/>
          <w:sz w:val="32"/>
          <w:szCs w:val="32"/>
        </w:rPr>
        <w:t>777</w:t>
      </w:r>
      <w:r>
        <w:rPr>
          <w:rFonts w:ascii="TimesNewRoman" w:hAnsi="TimesNewRoman" w:eastAsia="仿宋_GB2312" w:cs="TimesNewRoman"/>
          <w:sz w:val="32"/>
          <w:szCs w:val="32"/>
        </w:rPr>
        <w:t>万元，政府性基金预算拨款安排</w:t>
      </w:r>
      <w:r>
        <w:rPr>
          <w:rFonts w:hint="eastAsia" w:ascii="仿宋_GB2312" w:hAnsi="仿宋" w:eastAsia="仿宋_GB2312" w:cs="Times New Roman"/>
          <w:kern w:val="2"/>
          <w:sz w:val="32"/>
          <w:szCs w:val="32"/>
        </w:rPr>
        <w:t>0</w:t>
      </w:r>
      <w:r>
        <w:rPr>
          <w:rFonts w:ascii="TimesNewRoman" w:hAnsi="TimesNewRoman" w:eastAsia="仿宋_GB2312" w:cs="TimesNewRoman"/>
          <w:sz w:val="32"/>
          <w:szCs w:val="32"/>
        </w:rPr>
        <w:t>万元，国有资本经营预算拨款安排</w:t>
      </w:r>
      <w:r>
        <w:rPr>
          <w:rFonts w:hint="eastAsia" w:ascii="仿宋_GB2312" w:hAnsi="仿宋" w:eastAsia="仿宋_GB2312" w:cs="Times New Roman"/>
          <w:kern w:val="2"/>
          <w:sz w:val="32"/>
          <w:szCs w:val="32"/>
        </w:rPr>
        <w:t>0</w:t>
      </w:r>
      <w:r>
        <w:rPr>
          <w:rFonts w:ascii="TimesNewRoman" w:hAnsi="TimesNewRoman" w:eastAsia="仿宋_GB2312" w:cs="TimesNewRoman"/>
          <w:sz w:val="32"/>
          <w:szCs w:val="32"/>
        </w:rPr>
        <w:t>万元）。</w:t>
      </w:r>
    </w:p>
    <w:p>
      <w:pPr>
        <w:pStyle w:val="7"/>
        <w:adjustRightInd w:val="0"/>
        <w:snapToGrid w:val="0"/>
        <w:spacing w:before="0" w:beforeAutospacing="0" w:after="0" w:afterAutospacing="0" w:line="560" w:lineRule="exact"/>
        <w:ind w:firstLine="640" w:firstLineChars="200"/>
        <w:rPr>
          <w:rFonts w:ascii="黑体" w:hAnsi="仿宋" w:eastAsia="黑体" w:cs="Times New Roman"/>
          <w:kern w:val="2"/>
          <w:sz w:val="32"/>
          <w:szCs w:val="32"/>
        </w:rPr>
      </w:pPr>
      <w:r>
        <w:rPr>
          <w:rFonts w:hint="eastAsia" w:ascii="黑体" w:hAnsi="仿宋" w:eastAsia="黑体" w:cs="Times New Roman"/>
          <w:kern w:val="2"/>
          <w:sz w:val="32"/>
          <w:szCs w:val="32"/>
        </w:rPr>
        <w:t>十、关于2024年政府采购支出表的说明</w:t>
      </w:r>
    </w:p>
    <w:p>
      <w:pPr>
        <w:pStyle w:val="3"/>
        <w:spacing w:line="560" w:lineRule="exact"/>
        <w:ind w:firstLine="641"/>
        <w:jc w:val="both"/>
        <w:rPr>
          <w:rFonts w:ascii="仿宋_GB2312" w:hAnsi="Calibri" w:eastAsia="仿宋_GB2312"/>
          <w:kern w:val="2"/>
        </w:rPr>
      </w:pPr>
      <w:bookmarkStart w:id="0" w:name="【如本部门（单位）未安排政府采购预算说明如下】"/>
      <w:bookmarkEnd w:id="0"/>
      <w:bookmarkStart w:id="1" w:name="安徽省XX（部门、单位名称）2022年没有使用一般公共预算拨款、政府性基金预算拨"/>
      <w:bookmarkEnd w:id="1"/>
      <w:bookmarkStart w:id="2" w:name="安徽省XX（部门、单位名称）2022年预算安排政府采购支出*.*万元，比2021"/>
      <w:bookmarkEnd w:id="2"/>
      <w:r>
        <w:rPr>
          <w:rFonts w:hint="eastAsia" w:ascii="仿宋_GB2312" w:hAnsi="Calibri" w:eastAsia="仿宋_GB2312"/>
          <w:kern w:val="2"/>
        </w:rPr>
        <w:t>五河县武桥镇人民政府</w:t>
      </w:r>
      <w:r>
        <w:rPr>
          <w:rFonts w:ascii="仿宋_GB2312" w:hAnsi="Calibri" w:eastAsia="仿宋_GB2312"/>
          <w:kern w:val="2"/>
        </w:rPr>
        <w:t>部门</w:t>
      </w:r>
      <w:r>
        <w:rPr>
          <w:rFonts w:hint="eastAsia" w:ascii="仿宋_GB2312" w:hAnsi="Calibri" w:eastAsia="仿宋_GB2312"/>
          <w:kern w:val="2"/>
        </w:rPr>
        <w:t>2024</w:t>
      </w:r>
      <w:r>
        <w:rPr>
          <w:rFonts w:ascii="仿宋_GB2312" w:hAnsi="Calibri" w:eastAsia="仿宋_GB2312"/>
          <w:kern w:val="2"/>
        </w:rPr>
        <w:t>年预算安排政府采购支出</w:t>
      </w:r>
      <w:r>
        <w:rPr>
          <w:rFonts w:hint="eastAsia" w:ascii="仿宋_GB2312" w:hAnsi="Calibri" w:eastAsia="仿宋_GB2312"/>
          <w:kern w:val="2"/>
        </w:rPr>
        <w:t xml:space="preserve"> 24 </w:t>
      </w:r>
      <w:r>
        <w:rPr>
          <w:rFonts w:ascii="仿宋_GB2312" w:hAnsi="Calibri" w:eastAsia="仿宋_GB2312"/>
          <w:kern w:val="2"/>
        </w:rPr>
        <w:t xml:space="preserve">万元，比 </w:t>
      </w:r>
      <w:r>
        <w:rPr>
          <w:rFonts w:hint="eastAsia" w:ascii="仿宋_GB2312" w:hAnsi="Calibri" w:eastAsia="仿宋_GB2312"/>
          <w:kern w:val="2"/>
        </w:rPr>
        <w:t>2023</w:t>
      </w:r>
      <w:r>
        <w:rPr>
          <w:rFonts w:ascii="仿宋_GB2312" w:hAnsi="Calibri" w:eastAsia="仿宋_GB2312"/>
          <w:kern w:val="2"/>
        </w:rPr>
        <w:t xml:space="preserve"> 年预算增加6万元，增长33%，增长原因主要是</w:t>
      </w:r>
      <w:r>
        <w:rPr>
          <w:rFonts w:hint="eastAsia" w:ascii="仿宋_GB2312" w:hAnsi="Calibri" w:eastAsia="仿宋_GB2312"/>
          <w:kern w:val="2"/>
        </w:rPr>
        <w:t>新增人员和老旧电脑空调更换采购电脑空调打印机等</w:t>
      </w:r>
      <w:r>
        <w:rPr>
          <w:rFonts w:ascii="仿宋_GB2312" w:hAnsi="Calibri" w:eastAsia="仿宋_GB2312"/>
          <w:kern w:val="2"/>
        </w:rPr>
        <w:t>。其中，一般公共预算安排</w:t>
      </w:r>
      <w:r>
        <w:rPr>
          <w:rFonts w:hint="eastAsia" w:ascii="仿宋_GB2312" w:hAnsi="Calibri" w:eastAsia="仿宋_GB2312"/>
          <w:kern w:val="2"/>
        </w:rPr>
        <w:t xml:space="preserve"> 24 </w:t>
      </w:r>
      <w:r>
        <w:rPr>
          <w:rFonts w:ascii="仿宋_GB2312" w:hAnsi="Calibri" w:eastAsia="仿宋_GB2312"/>
          <w:kern w:val="2"/>
        </w:rPr>
        <w:t>万元，占100%；政府性基金预算安排</w:t>
      </w:r>
      <w:r>
        <w:rPr>
          <w:rFonts w:hint="eastAsia" w:ascii="仿宋_GB2312" w:hAnsi="Calibri" w:eastAsia="仿宋_GB2312"/>
          <w:kern w:val="2"/>
        </w:rPr>
        <w:t xml:space="preserve"> 0 </w:t>
      </w:r>
      <w:r>
        <w:rPr>
          <w:rFonts w:ascii="仿宋_GB2312" w:hAnsi="Calibri" w:eastAsia="仿宋_GB2312"/>
          <w:kern w:val="2"/>
        </w:rPr>
        <w:t>万元，占0%；国有资本经营预算安排</w:t>
      </w:r>
      <w:r>
        <w:rPr>
          <w:rFonts w:hint="eastAsia" w:ascii="仿宋_GB2312" w:hAnsi="Calibri" w:eastAsia="仿宋_GB2312"/>
          <w:kern w:val="2"/>
        </w:rPr>
        <w:t xml:space="preserve">  0  </w:t>
      </w:r>
      <w:r>
        <w:rPr>
          <w:rFonts w:ascii="仿宋_GB2312" w:hAnsi="Calibri" w:eastAsia="仿宋_GB2312"/>
          <w:kern w:val="2"/>
        </w:rPr>
        <w:t>万元，占0%；财政专户管理资金安排</w:t>
      </w:r>
      <w:r>
        <w:rPr>
          <w:rFonts w:hint="eastAsia" w:ascii="仿宋_GB2312" w:hAnsi="Calibri" w:eastAsia="仿宋_GB2312"/>
          <w:kern w:val="2"/>
        </w:rPr>
        <w:t xml:space="preserve"> 0 </w:t>
      </w:r>
      <w:r>
        <w:rPr>
          <w:rFonts w:ascii="仿宋_GB2312" w:hAnsi="Calibri" w:eastAsia="仿宋_GB2312"/>
          <w:kern w:val="2"/>
        </w:rPr>
        <w:t>万元，占0%；单位资金安排</w:t>
      </w:r>
      <w:r>
        <w:rPr>
          <w:rFonts w:hint="eastAsia" w:ascii="仿宋_GB2312" w:hAnsi="Calibri" w:eastAsia="仿宋_GB2312"/>
          <w:kern w:val="2"/>
        </w:rPr>
        <w:t xml:space="preserve">  0</w:t>
      </w:r>
      <w:r>
        <w:rPr>
          <w:rFonts w:ascii="仿宋_GB2312" w:hAnsi="Calibri" w:eastAsia="仿宋_GB2312"/>
          <w:kern w:val="2"/>
        </w:rPr>
        <w:t>万元，占0%。</w:t>
      </w:r>
    </w:p>
    <w:p>
      <w:pPr>
        <w:pStyle w:val="7"/>
        <w:adjustRightInd w:val="0"/>
        <w:snapToGrid w:val="0"/>
        <w:spacing w:before="0" w:beforeAutospacing="0" w:after="0" w:afterAutospacing="0" w:line="560" w:lineRule="exact"/>
        <w:ind w:firstLine="640" w:firstLineChars="200"/>
        <w:rPr>
          <w:rFonts w:ascii="黑体" w:hAnsi="仿宋" w:eastAsia="黑体" w:cs="Times New Roman"/>
          <w:kern w:val="2"/>
          <w:sz w:val="32"/>
          <w:szCs w:val="32"/>
        </w:rPr>
      </w:pPr>
      <w:r>
        <w:rPr>
          <w:rFonts w:hint="eastAsia" w:ascii="黑体" w:hAnsi="仿宋" w:eastAsia="黑体" w:cs="Times New Roman"/>
          <w:kern w:val="2"/>
          <w:sz w:val="32"/>
          <w:szCs w:val="32"/>
        </w:rPr>
        <w:t>十一、关于2024年政府购买服务支出表的说明</w:t>
      </w:r>
    </w:p>
    <w:p>
      <w:pPr>
        <w:pStyle w:val="3"/>
        <w:spacing w:line="560" w:lineRule="exact"/>
        <w:ind w:firstLine="640" w:firstLineChars="200"/>
        <w:rPr>
          <w:rFonts w:hint="eastAsia" w:ascii="仿宋_GB2312" w:hAnsi="仿宋_GB2312" w:eastAsia="仿宋_GB2312" w:cs="仿宋_GB2312"/>
        </w:rPr>
      </w:pPr>
      <w:bookmarkStart w:id="3" w:name="【如本部门（单位）未安排政府购买服务预算说明如下】"/>
      <w:bookmarkEnd w:id="3"/>
      <w:bookmarkStart w:id="4" w:name="安徽省XX（部门、单位名称）2022年没有安排政府购买服务支出。"/>
      <w:bookmarkEnd w:id="4"/>
      <w:r>
        <w:rPr>
          <w:rFonts w:hint="eastAsia" w:ascii="仿宋_GB2312" w:hAnsi="仿宋_GB2312" w:eastAsia="仿宋_GB2312" w:cs="仿宋_GB2312"/>
        </w:rPr>
        <w:t>五河县武桥镇人民政府部门2024年没有安排政府购买服务支出。</w:t>
      </w:r>
    </w:p>
    <w:p>
      <w:pPr>
        <w:widowControl/>
        <w:adjustRightInd w:val="0"/>
        <w:snapToGrid w:val="0"/>
        <w:spacing w:line="560" w:lineRule="exact"/>
        <w:ind w:firstLine="640" w:firstLineChars="200"/>
        <w:jc w:val="left"/>
        <w:rPr>
          <w:rFonts w:ascii="黑体" w:hAnsi="仿宋" w:eastAsia="黑体"/>
          <w:sz w:val="32"/>
          <w:szCs w:val="32"/>
        </w:rPr>
      </w:pPr>
      <w:bookmarkStart w:id="5" w:name="【如本部门（单位）安排政府购买服务预算说明如下】"/>
      <w:bookmarkEnd w:id="5"/>
      <w:r>
        <w:rPr>
          <w:rFonts w:hint="eastAsia" w:ascii="黑体" w:hAnsi="仿宋" w:eastAsia="黑体"/>
          <w:sz w:val="32"/>
          <w:szCs w:val="32"/>
        </w:rPr>
        <w:t>十二、其他重要事项情况说明</w:t>
      </w:r>
    </w:p>
    <w:p>
      <w:pPr>
        <w:widowControl/>
        <w:adjustRightInd w:val="0"/>
        <w:snapToGrid w:val="0"/>
        <w:spacing w:line="560" w:lineRule="exact"/>
        <w:ind w:firstLine="643" w:firstLineChars="200"/>
        <w:jc w:val="left"/>
        <w:rPr>
          <w:rFonts w:hint="eastAsia" w:ascii="仿宋_GB2312" w:hAnsi="楷体" w:eastAsia="仿宋_GB2312" w:cs="宋体"/>
          <w:b/>
          <w:kern w:val="0"/>
          <w:sz w:val="32"/>
        </w:rPr>
      </w:pPr>
      <w:r>
        <w:rPr>
          <w:rFonts w:hint="eastAsia" w:ascii="仿宋_GB2312" w:hAnsi="楷体" w:eastAsia="仿宋_GB2312" w:cs="宋体"/>
          <w:b/>
          <w:kern w:val="0"/>
          <w:sz w:val="32"/>
        </w:rPr>
        <w:t>（一）项目及绩效目标情况。</w:t>
      </w:r>
    </w:p>
    <w:p>
      <w:pPr>
        <w:widowControl/>
        <w:shd w:val="clear" w:color="auto" w:fill="FFFFFF"/>
        <w:spacing w:line="560" w:lineRule="exact"/>
        <w:ind w:firstLine="640" w:firstLineChars="200"/>
        <w:jc w:val="left"/>
        <w:rPr>
          <w:rFonts w:ascii="仿宋_GB2312" w:hAnsi="楷体" w:eastAsia="仿宋_GB2312" w:cs="宋体"/>
          <w:kern w:val="0"/>
          <w:sz w:val="32"/>
        </w:rPr>
      </w:pPr>
      <w:r>
        <w:rPr>
          <w:rFonts w:hint="eastAsia" w:ascii="仿宋_GB2312" w:hAnsi="楷体" w:eastAsia="仿宋_GB2312" w:cs="宋体"/>
          <w:kern w:val="0"/>
          <w:sz w:val="32"/>
        </w:rPr>
        <w:t>1、“人居环境美丽乡村”项目</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（1）项目概述。</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为深入贯彻习近平总书记关于改善农村人居环境的重要指示批示精神，落实党中央、国务院、市委、市政府以及县委、县政府的决策部署，推进我镇农村人居环境整治工作，巩固提升村庄清洁行动整治成果，完成《中共安徽省委办公厅 安徽省人民政府办公厅关于印发〈安徽省农村人居环境整治三年行动方案〉的通知》（皖办发〔2018〕26号）的整治任务。</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（2）立项依据。</w:t>
      </w:r>
    </w:p>
    <w:p>
      <w:pPr>
        <w:widowControl/>
        <w:shd w:val="clear" w:color="auto" w:fill="FFFFFF"/>
        <w:spacing w:line="560" w:lineRule="exact"/>
        <w:ind w:firstLine="640" w:firstLineChars="200"/>
        <w:jc w:val="left"/>
        <w:rPr>
          <w:rFonts w:ascii="仿宋_GB2312" w:hAnsi="楷体" w:eastAsia="仿宋_GB2312" w:cs="宋体"/>
          <w:kern w:val="0"/>
          <w:sz w:val="32"/>
        </w:rPr>
      </w:pPr>
      <w:r>
        <w:rPr>
          <w:rFonts w:hint="eastAsia" w:ascii="仿宋_GB2312" w:hAnsi="楷体" w:eastAsia="仿宋_GB2312" w:cs="宋体"/>
          <w:kern w:val="0"/>
          <w:sz w:val="32"/>
        </w:rPr>
        <w:t>关于印发《村庄清洁百日攻坚行动实施方案》的通知（五农工组【2020】1号）</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（3）实施主体。</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五河县武桥镇人民政府。</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（4）实施周期。</w:t>
      </w:r>
    </w:p>
    <w:p>
      <w:pPr>
        <w:widowControl/>
        <w:shd w:val="clear" w:color="auto" w:fill="FFFFFF"/>
        <w:spacing w:line="560" w:lineRule="exact"/>
        <w:jc w:val="left"/>
        <w:rPr>
          <w:rFonts w:ascii="仿宋_GB2312" w:hAnsi="楷体" w:eastAsia="仿宋_GB2312" w:cs="宋体"/>
          <w:kern w:val="0"/>
          <w:sz w:val="32"/>
        </w:rPr>
      </w:pPr>
      <w:r>
        <w:rPr>
          <w:rFonts w:hint="eastAsia" w:ascii="仿宋_GB2312" w:hAnsi="楷体" w:eastAsia="仿宋_GB2312" w:cs="宋体"/>
          <w:kern w:val="0"/>
          <w:sz w:val="32"/>
        </w:rPr>
        <w:t>2024年1月1日至2024年12月31日。</w:t>
      </w:r>
    </w:p>
    <w:p>
      <w:pPr>
        <w:widowControl/>
        <w:shd w:val="clear" w:color="auto" w:fill="FFFFFF"/>
        <w:spacing w:line="560" w:lineRule="exact"/>
        <w:ind w:firstLine="640" w:firstLineChars="200"/>
        <w:jc w:val="left"/>
        <w:rPr>
          <w:rFonts w:ascii="仿宋_GB2312" w:hAnsi="楷体" w:eastAsia="仿宋_GB2312" w:cs="宋体"/>
          <w:kern w:val="0"/>
          <w:sz w:val="32"/>
        </w:rPr>
      </w:pPr>
    </w:p>
    <w:p>
      <w:pPr>
        <w:widowControl/>
        <w:shd w:val="clear" w:color="auto" w:fill="FFFFFF"/>
        <w:spacing w:line="560" w:lineRule="exact"/>
        <w:ind w:left="1360"/>
        <w:jc w:val="left"/>
        <w:rPr>
          <w:rFonts w:hint="eastAsia" w:ascii="仿宋_GB2312" w:hAnsi="楷体" w:eastAsia="仿宋_GB2312" w:cs="宋体"/>
          <w:kern w:val="0"/>
          <w:sz w:val="32"/>
        </w:rPr>
      </w:pPr>
      <w:r>
        <w:rPr>
          <w:rFonts w:hint="eastAsia" w:ascii="仿宋_GB2312" w:hAnsi="楷体" w:eastAsia="仿宋_GB2312" w:cs="宋体"/>
          <w:kern w:val="0"/>
          <w:sz w:val="32"/>
        </w:rPr>
        <w:t>（5）项目内容。</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一、整治内容</w:t>
      </w:r>
    </w:p>
    <w:p>
      <w:pPr>
        <w:widowControl/>
        <w:shd w:val="clear" w:color="auto" w:fill="FFFFFF"/>
        <w:spacing w:line="560" w:lineRule="exact"/>
        <w:ind w:firstLine="640" w:firstLineChars="200"/>
        <w:jc w:val="left"/>
        <w:rPr>
          <w:rFonts w:ascii="仿宋_GB2312" w:hAnsi="楷体" w:eastAsia="仿宋_GB2312" w:cs="宋体"/>
          <w:kern w:val="0"/>
          <w:sz w:val="32"/>
        </w:rPr>
      </w:pPr>
      <w:r>
        <w:rPr>
          <w:rFonts w:hint="eastAsia" w:ascii="仿宋_GB2312" w:hAnsi="楷体" w:eastAsia="仿宋_GB2312" w:cs="宋体"/>
          <w:kern w:val="0"/>
          <w:sz w:val="32"/>
        </w:rPr>
        <w:t>以“五清一改”村庄清洁行动为重点，对照《安徽省村庄清洁行动标准》，整治农村人居环境“脏乱差”现象，深</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入推进农村人居环境整治，力求做到干净、整洁、有序。</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（一）公共场所</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1.农村道路。道路平整畅通，无“断头路”；路面及两侧视线范围内无裸露垃圾、畜禽粪便等；绿化带及时修剪、杂草及时清除。</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2.垃圾处理。配足垃圾桶并带盖使用、无外溢；无乱倒垃圾杂物现象；垃圾日产日清。</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3.村内沟塘渠。沟塘渠内无黑臭水体、无明显杂草、浮萍和漂浮垃圾；两岸护坡无裸露垃圾、杂草及时清除。</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4.基础设施和公共服务设施。公厕具备水冲条件；墙面、地面整洁，设施完好；文体活动场所、停车场等室外公共活动场地的设施设备完好，可正常使用；污水处理设施正常运行。</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5.村容村貌。墙面、地面、电线杆、路灯杆等无乱涂乱贴乱画乱挂现象；车辆停放有序；村委会办公场所、服务大厅，标识清晰，宣传标语、制度等内容准确、张贴整齐，各类物品摆放有序，地面和墙体干净整洁；村公开栏张贴整齐、内容准确、更换及时；无功能建筑及时进行清理、拆除；牲畜家禽实行圈养；绿化植物及时维护，围栏完整，无裸露垃圾。积极推进小菜园、小果园、小花园、小游园、小苗圃等“五小园”建设。</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镇政府驻地武桥村除上述要求外，还要做到垃圾清运及时，无小广告乱张贴，无破损广告牌，无乱堆乱放、乱扔杂</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物现象；公厕为卫生厕所或无害化厕所，保洁及时，无明显异味；车辆划线有序停放；无出店占道经营现象。</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（二）农户院内</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1.庭院。房前屋后不随意堆放废弃物；生产生活物品有序整齐摆放；院内垃圾及时清扫，保持庭院整洁；无人畜混居现象。</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2.室内。物品摆放有序；地面、墙面、家具及时清洁；衣服、被褥等物品及时整理。鼓励室内垃圾桶装套袋收集，</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无乱扔、乱弃垃圾、杂物。</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3.厨房。物品有序摆放；地面、墙面、灶台、灶具干净整洁；无乱扔、乱弃垃圾、杂物。</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4.厕所。厕所有墙、有顶、有门、有窗、有水、有电；地面硬化、整洁卫生。</w:t>
      </w:r>
    </w:p>
    <w:p>
      <w:pPr>
        <w:widowControl/>
        <w:numPr>
          <w:ilvl w:val="0"/>
          <w:numId w:val="1"/>
        </w:numPr>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推进措施</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一是建立组织。加强村庄清洁行动的组织保障，镇主要负责同志要亲自部署、亲自调度、亲自督导，分管负责同志要具体抓、强力推。村要成立工作专班，增强整治力量。</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二是加大宣传。充分发挥村级党组织的战斗堡垒作用，组织带领广大群众积极投身村庄清洁百日攻坚行动。村“两委”班子成员和党员带头开展村庄清洁行动，当示范、作表率。要组织广泛深入开展创建“美丽庭院”不汇聚创建等活动。对生活困难人群（残疾人、贫困户、独居老人等）要组织志愿者、公益性岗位人员帮助做好室内外清理保洁。</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三是健全机制。建立健全村庄公共环境保洁制度机制，实行“门前三包”。进一步完善村规民约，明确村民维护村庄环境的责任和义务。要通过开展各类评选活动，切实增强广大群众自觉性主动性。各村要结合实际建立长效常态管护机制，持续开展农村人居环境整治工作，确保村庄常年保持干净、整洁，不断巩固村庄清洁行动成果。</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四是强化调度。镇纪委和镇整治办每月不定期对各村村庄清洁行动开展情况进行监督检查，根据检查结果召开现场推进会，问题反馈会，调度推进。将村庄清洁百日攻坚行动纳入年度农村人居环境整治考核范围。各村要将村庄清洁百日攻坚行动作为当前的一项重点工作，加强统筹调度，扎实有序推进。</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三、考核及奖惩措施</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按照《武桥镇村庄清洁行动考核办法》开展考核，对整治工作落实较好，成效明显的村，予以通报表扬，并根据考核结果予以奖补；对考核成绩靠后的村予以通报批评。</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（6）年度预算安排。</w:t>
      </w:r>
    </w:p>
    <w:p>
      <w:pPr>
        <w:widowControl/>
        <w:shd w:val="clear" w:color="auto" w:fill="FFFFFF"/>
        <w:spacing w:line="560" w:lineRule="exact"/>
        <w:jc w:val="left"/>
        <w:rPr>
          <w:rFonts w:hint="eastAsia" w:ascii="仿宋_GB2312" w:hAnsi="楷体" w:eastAsia="仿宋_GB2312" w:cs="宋体"/>
          <w:kern w:val="0"/>
          <w:sz w:val="32"/>
        </w:rPr>
      </w:pPr>
      <w:r>
        <w:rPr>
          <w:rFonts w:hint="eastAsia" w:ascii="仿宋_GB2312" w:hAnsi="楷体" w:eastAsia="仿宋_GB2312" w:cs="宋体"/>
          <w:kern w:val="0"/>
          <w:sz w:val="32"/>
        </w:rPr>
        <w:t>2024年该项目预算19.9万元，主要用于人居环境整治和美丽乡村费用等。</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（7）绩效目标和指标。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3" w:hRule="atLeast"/>
        </w:trPr>
        <w:tc>
          <w:tcPr>
            <w:tcW w:w="14174" w:type="dxa"/>
            <w:gridSpan w:val="7"/>
            <w:tcBorders>
              <w:top w:val="nil"/>
              <w:left w:val="nil"/>
              <w:bottom w:val="nil"/>
              <w:right w:val="nil"/>
            </w:tcBorders>
            <w:noWrap w:val="0"/>
            <w:vAlign w:val="center"/>
          </w:tcPr>
          <w:p>
            <w:pPr>
              <w:widowControl/>
              <w:jc w:val="center"/>
              <w:textAlignment w:val="center"/>
              <w:rPr>
                <w:rFonts w:ascii="宋体" w:hAnsi="宋体" w:cs="宋体"/>
                <w:b/>
                <w:color w:val="000000"/>
                <w:kern w:val="0"/>
                <w:sz w:val="28"/>
                <w:szCs w:val="28"/>
                <w:lang w:bidi="ar"/>
              </w:rPr>
            </w:pPr>
            <w:r>
              <w:rPr>
                <w:rFonts w:hint="eastAsia" w:ascii="宋体" w:hAnsi="宋体" w:cs="宋体"/>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3" w:hRule="atLeast"/>
        </w:trPr>
        <w:tc>
          <w:tcPr>
            <w:tcW w:w="14174" w:type="dxa"/>
            <w:gridSpan w:val="7"/>
            <w:tcBorders>
              <w:top w:val="nil"/>
              <w:left w:val="nil"/>
              <w:bottom w:val="nil"/>
              <w:right w:val="nil"/>
            </w:tcBorders>
            <w:noWrap w:val="0"/>
            <w:vAlign w:val="center"/>
          </w:tcPr>
          <w:p>
            <w:pPr>
              <w:widowControl/>
              <w:jc w:val="center"/>
              <w:textAlignment w:val="center"/>
              <w:rPr>
                <w:rFonts w:ascii="宋体" w:hAnsi="宋体" w:cs="宋体"/>
                <w:b/>
                <w:color w:val="000000"/>
                <w:kern w:val="0"/>
                <w:sz w:val="28"/>
                <w:szCs w:val="28"/>
                <w:lang w:bidi="ar"/>
              </w:rPr>
            </w:pPr>
            <w:r>
              <w:rPr>
                <w:rFonts w:hint="eastAsia" w:ascii="宋体" w:hAnsi="宋体" w:cs="宋体"/>
                <w:b/>
                <w:color w:val="000000"/>
                <w:kern w:val="0"/>
                <w:sz w:val="28"/>
                <w:szCs w:val="28"/>
                <w:lang w:bidi="ar"/>
              </w:rPr>
              <w:t xml:space="preserve"> （2024年度）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人居环境美丽乡村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1年</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19.90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19.90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建设村庄美、百姓富、环境宜居的大武桥，乡村振兴。</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经费覆盖的村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≥10个</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经费支出合规性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严格执行相关财经法规</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经费支出的及时性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按计划及时拨付</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经费总数</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≤201.9万元</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对人居环境的影响</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影响程度明显</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对人居环境宜居影响程度高</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影响程度明显</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生活环境美丽程度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影响明显</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保持人居环境美丽庭院持续</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改善较好</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群众满意程度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≥97百分比</w:t>
            </w:r>
          </w:p>
        </w:tc>
      </w:tr>
    </w:tbl>
    <w:p>
      <w:pPr>
        <w:widowControl/>
        <w:shd w:val="clear" w:color="auto" w:fill="FFFFFF"/>
        <w:spacing w:line="560" w:lineRule="exact"/>
        <w:ind w:firstLine="640" w:firstLineChars="200"/>
        <w:jc w:val="left"/>
        <w:rPr>
          <w:rFonts w:ascii="仿宋_GB2312" w:hAnsi="楷体" w:eastAsia="仿宋_GB2312" w:cs="宋体"/>
          <w:kern w:val="0"/>
          <w:sz w:val="32"/>
        </w:rPr>
      </w:pPr>
      <w:r>
        <w:rPr>
          <w:rFonts w:hint="eastAsia" w:ascii="仿宋_GB2312" w:hAnsi="楷体" w:eastAsia="仿宋_GB2312" w:cs="宋体"/>
          <w:kern w:val="0"/>
          <w:sz w:val="32"/>
        </w:rPr>
        <w:t>2、“村级支出”项目</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（1）项目概述。五河县武桥镇10个村村组干部待遇</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（2）立项依据。县组织部文件</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（3）实施主体。五河县武桥镇人民政府</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（4）起止时间。</w:t>
      </w:r>
      <w:r>
        <w:rPr>
          <w:rFonts w:ascii="仿宋_GB2312" w:hAnsi="楷体" w:eastAsia="仿宋_GB2312" w:cs="宋体"/>
          <w:kern w:val="0"/>
          <w:sz w:val="32"/>
        </w:rPr>
        <w:t>2024</w:t>
      </w:r>
      <w:r>
        <w:rPr>
          <w:rFonts w:hint="eastAsia" w:ascii="仿宋_GB2312" w:hAnsi="楷体" w:eastAsia="仿宋_GB2312" w:cs="宋体"/>
          <w:kern w:val="0"/>
          <w:sz w:val="32"/>
        </w:rPr>
        <w:t>年1月1日至2024年12月31日</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（5）项目内容。五河县武桥镇10个村171名村组干部待遇</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（6）年度预算安排。</w:t>
      </w:r>
      <w:r>
        <w:rPr>
          <w:rFonts w:ascii="仿宋_GB2312" w:hAnsi="楷体" w:eastAsia="仿宋_GB2312" w:cs="宋体"/>
          <w:kern w:val="0"/>
          <w:sz w:val="32"/>
        </w:rPr>
        <w:t>2024</w:t>
      </w:r>
      <w:r>
        <w:rPr>
          <w:rFonts w:hint="eastAsia" w:ascii="仿宋_GB2312" w:hAnsi="楷体" w:eastAsia="仿宋_GB2312" w:cs="宋体"/>
          <w:kern w:val="0"/>
          <w:sz w:val="32"/>
        </w:rPr>
        <w:t>-村级支出预算417万元</w:t>
      </w:r>
    </w:p>
    <w:p>
      <w:pPr>
        <w:widowControl/>
        <w:shd w:val="clear" w:color="auto" w:fill="FFFFFF"/>
        <w:spacing w:line="560" w:lineRule="exact"/>
        <w:ind w:firstLine="640" w:firstLineChars="200"/>
        <w:jc w:val="left"/>
        <w:rPr>
          <w:rFonts w:hint="eastAsia" w:ascii="仿宋_GB2312" w:hAnsi="楷体" w:eastAsia="仿宋_GB2312" w:cs="宋体"/>
          <w:kern w:val="0"/>
          <w:sz w:val="32"/>
        </w:rPr>
      </w:pPr>
      <w:r>
        <w:rPr>
          <w:rFonts w:hint="eastAsia" w:ascii="仿宋_GB2312" w:hAnsi="楷体" w:eastAsia="仿宋_GB2312" w:cs="宋体"/>
          <w:kern w:val="0"/>
          <w:sz w:val="32"/>
        </w:rPr>
        <w:t>（7）绩效目标。</w:t>
      </w: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2024_村级支出</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417.00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417.00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维持24年乡镇村组干部报酬及各项工作正常开展并圆满完成任务所需的正常运转经费</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项目覆盖村数10个</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≥10个</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生活质量</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严格执行相关财经法规</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资金拨付</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按计划及时拨付发放</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项目总成本</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≤440万元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社会发展</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提高明显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发展明显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补贴对象满意度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widowControl/>
        <w:shd w:val="clear" w:color="auto" w:fill="FFFFFF"/>
        <w:spacing w:line="560" w:lineRule="exact"/>
        <w:jc w:val="left"/>
        <w:rPr>
          <w:rFonts w:hint="eastAsia" w:ascii="仿宋_GB2312" w:hAnsi="楷体" w:eastAsia="仿宋_GB2312" w:cs="宋体"/>
          <w:kern w:val="0"/>
          <w:sz w:val="32"/>
        </w:rPr>
      </w:pPr>
    </w:p>
    <w:p>
      <w:pPr>
        <w:widowControl/>
        <w:adjustRightInd w:val="0"/>
        <w:snapToGrid w:val="0"/>
        <w:spacing w:line="560" w:lineRule="exact"/>
        <w:ind w:firstLine="643" w:firstLineChars="200"/>
        <w:jc w:val="left"/>
        <w:rPr>
          <w:rFonts w:hint="eastAsia" w:ascii="仿宋_GB2312" w:hAnsi="楷体" w:eastAsia="仿宋_GB2312" w:cs="宋体"/>
          <w:b/>
          <w:kern w:val="0"/>
          <w:sz w:val="32"/>
        </w:rPr>
      </w:pPr>
      <w:r>
        <w:rPr>
          <w:rFonts w:hint="eastAsia" w:ascii="仿宋_GB2312" w:hAnsi="楷体" w:eastAsia="仿宋_GB2312" w:cs="宋体"/>
          <w:b/>
          <w:kern w:val="0"/>
          <w:sz w:val="32"/>
        </w:rPr>
        <w:t>（二）机关运行经费。</w:t>
      </w:r>
    </w:p>
    <w:p>
      <w:pPr>
        <w:adjustRightInd w:val="0"/>
        <w:snapToGrid w:val="0"/>
        <w:spacing w:line="560" w:lineRule="exact"/>
        <w:ind w:firstLine="640" w:firstLineChars="200"/>
        <w:rPr>
          <w:rFonts w:ascii="TimesNewRoman" w:hAnsi="TimesNewRoman" w:eastAsia="仿宋_GB2312" w:cs="TimesNewRoman"/>
          <w:sz w:val="32"/>
          <w:szCs w:val="32"/>
        </w:rPr>
      </w:pPr>
      <w:r>
        <w:rPr>
          <w:rFonts w:hint="eastAsia" w:ascii="仿宋_GB2312" w:hAnsi="仿宋" w:eastAsia="仿宋_GB2312" w:cs="宋体"/>
          <w:kern w:val="0"/>
          <w:sz w:val="32"/>
          <w:szCs w:val="32"/>
        </w:rPr>
        <w:t>五河县</w:t>
      </w:r>
      <w:r>
        <w:rPr>
          <w:rFonts w:hint="eastAsia" w:ascii="仿宋_GB2312" w:eastAsia="仿宋_GB2312"/>
          <w:sz w:val="32"/>
          <w:szCs w:val="32"/>
        </w:rPr>
        <w:t>五河县武桥镇人民政府部门</w:t>
      </w:r>
      <w:r>
        <w:rPr>
          <w:rFonts w:ascii="TimesNewRoman" w:hAnsi="TimesNewRoman" w:eastAsia="仿宋_GB2312" w:cs="TimesNewRoman"/>
          <w:sz w:val="32"/>
          <w:szCs w:val="32"/>
          <w:lang w:val="en"/>
        </w:rPr>
        <w:t>2024</w:t>
      </w:r>
      <w:r>
        <w:rPr>
          <w:rFonts w:ascii="TimesNewRoman" w:hAnsi="TimesNewRoman" w:eastAsia="仿宋_GB2312" w:cs="TimesNewRoman"/>
          <w:sz w:val="32"/>
          <w:szCs w:val="32"/>
        </w:rPr>
        <w:t>年机关运行经费财政拨款预算120万元，</w:t>
      </w:r>
      <w:r>
        <w:rPr>
          <w:rFonts w:hint="eastAsia" w:ascii="TimesNewRoman" w:hAnsi="TimesNewRoman" w:eastAsia="仿宋_GB2312" w:cs="TimesNewRoman"/>
          <w:sz w:val="32"/>
          <w:szCs w:val="32"/>
        </w:rPr>
        <w:t>与2023</w:t>
      </w:r>
      <w:r>
        <w:rPr>
          <w:rFonts w:ascii="TimesNewRoman" w:hAnsi="TimesNewRoman" w:eastAsia="仿宋_GB2312" w:cs="TimesNewRoman"/>
          <w:sz w:val="32"/>
          <w:szCs w:val="32"/>
        </w:rPr>
        <w:t>年预算</w:t>
      </w:r>
      <w:r>
        <w:rPr>
          <w:rFonts w:hint="eastAsia" w:ascii="TimesNewRoman" w:hAnsi="TimesNewRoman" w:eastAsia="仿宋_GB2312" w:cs="TimesNewRoman"/>
          <w:sz w:val="32"/>
          <w:szCs w:val="32"/>
        </w:rPr>
        <w:t>持平</w:t>
      </w:r>
      <w:r>
        <w:rPr>
          <w:rFonts w:ascii="TimesNewRoman" w:hAnsi="TimesNewRoman" w:eastAsia="仿宋_GB2312" w:cs="TimesNewRoman"/>
          <w:sz w:val="32"/>
          <w:szCs w:val="32"/>
        </w:rPr>
        <w:t>。</w:t>
      </w:r>
    </w:p>
    <w:p>
      <w:pPr>
        <w:pStyle w:val="33"/>
        <w:spacing w:line="560" w:lineRule="exact"/>
        <w:ind w:left="0" w:firstLine="643" w:firstLineChars="200"/>
        <w:rPr>
          <w:rFonts w:ascii="仿宋_GB2312" w:hAnsi="楷体" w:eastAsia="仿宋_GB2312" w:cs="宋体"/>
          <w:bCs w:val="0"/>
          <w:szCs w:val="22"/>
        </w:rPr>
      </w:pPr>
      <w:r>
        <w:rPr>
          <w:rFonts w:ascii="仿宋_GB2312" w:hAnsi="楷体" w:eastAsia="仿宋_GB2312" w:cs="宋体"/>
          <w:bCs w:val="0"/>
          <w:szCs w:val="22"/>
        </w:rPr>
        <w:t>（三）政府采购情况。</w:t>
      </w:r>
    </w:p>
    <w:p>
      <w:pPr>
        <w:pStyle w:val="33"/>
        <w:spacing w:line="560" w:lineRule="exact"/>
        <w:ind w:left="0" w:firstLine="640" w:firstLineChars="200"/>
        <w:rPr>
          <w:rFonts w:hint="eastAsia" w:ascii="仿宋_GB2312" w:hAnsi="仿宋" w:eastAsia="仿宋_GB2312" w:cs="宋体"/>
          <w:b w:val="0"/>
          <w:bCs w:val="0"/>
        </w:rPr>
      </w:pPr>
      <w:r>
        <w:rPr>
          <w:rFonts w:hint="eastAsia" w:ascii="仿宋_GB2312" w:hAnsi="仿宋" w:eastAsia="仿宋_GB2312" w:cs="宋体"/>
          <w:b w:val="0"/>
          <w:bCs w:val="0"/>
        </w:rPr>
        <w:t>五河县武桥镇人民政府部门2024年政府采购预算 24 万元。其中：政府采购货物预算 24 万元，政府采购工程预算 0 万元，政府采购服务预算 0 万元。</w:t>
      </w:r>
    </w:p>
    <w:p>
      <w:pPr>
        <w:adjustRightInd w:val="0"/>
        <w:snapToGrid w:val="0"/>
        <w:spacing w:line="560" w:lineRule="exact"/>
        <w:ind w:firstLine="643" w:firstLineChars="200"/>
        <w:rPr>
          <w:rFonts w:hint="eastAsia" w:ascii="仿宋_GB2312" w:hAnsi="楷体" w:eastAsia="仿宋_GB2312" w:cs="宋体"/>
          <w:b/>
          <w:kern w:val="0"/>
          <w:sz w:val="32"/>
        </w:rPr>
      </w:pPr>
      <w:r>
        <w:rPr>
          <w:rFonts w:hint="eastAsia" w:ascii="仿宋_GB2312" w:hAnsi="楷体" w:eastAsia="仿宋_GB2312" w:cs="宋体"/>
          <w:b/>
          <w:kern w:val="0"/>
          <w:sz w:val="32"/>
        </w:rPr>
        <w:t>（四）国有资产占有使用情况。</w:t>
      </w:r>
    </w:p>
    <w:p>
      <w:pPr>
        <w:adjustRightInd w:val="0"/>
        <w:snapToGrid w:val="0"/>
        <w:spacing w:line="560" w:lineRule="exact"/>
        <w:ind w:firstLine="640" w:firstLineChars="200"/>
        <w:rPr>
          <w:rFonts w:ascii="TimesNewRoman" w:hAnsi="TimesNewRoman" w:eastAsia="仿宋_GB2312" w:cs="TimesNewRoman"/>
          <w:sz w:val="32"/>
          <w:szCs w:val="32"/>
        </w:rPr>
      </w:pPr>
      <w:r>
        <w:rPr>
          <w:rFonts w:hint="eastAsia" w:ascii="仿宋_GB2312" w:hAnsi="仿宋_GB2312" w:eastAsia="仿宋_GB2312" w:cs="仿宋_GB2312"/>
          <w:bCs/>
          <w:kern w:val="0"/>
          <w:sz w:val="32"/>
        </w:rPr>
        <w:t>截至2023年12月31日，五河县五河县武桥镇人民政府部门</w:t>
      </w:r>
      <w:r>
        <w:rPr>
          <w:rFonts w:hint="eastAsia" w:ascii="仿宋_GB2312" w:hAnsi="仿宋_GB2312" w:eastAsia="仿宋_GB2312" w:cs="仿宋_GB2312"/>
          <w:bCs/>
          <w:kern w:val="0"/>
          <w:sz w:val="32"/>
          <w:szCs w:val="32"/>
        </w:rPr>
        <w:t>共有车辆1辆，其中：</w:t>
      </w:r>
      <w:r>
        <w:rPr>
          <w:rFonts w:ascii="TimesNewRoman" w:hAnsi="TimesNewRoman" w:eastAsia="仿宋_GB2312" w:cs="TimesNewRoman"/>
          <w:sz w:val="32"/>
          <w:szCs w:val="32"/>
        </w:rPr>
        <w:t>主要领导干部用车1辆。单价50万元以上的通用设备0台（套），单价100万元以上的专用设备0台（套）。</w:t>
      </w:r>
    </w:p>
    <w:p>
      <w:pPr>
        <w:adjustRightInd w:val="0"/>
        <w:snapToGrid w:val="0"/>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2024年部门预算安排购置公务用车0辆，购置费0万元，其中：</w:t>
      </w:r>
      <w:r>
        <w:rPr>
          <w:rFonts w:ascii="TimesNewRoman" w:hAnsi="TimesNewRoman" w:eastAsia="仿宋_GB2312" w:cs="TimesNewRoman"/>
          <w:sz w:val="32"/>
          <w:szCs w:val="32"/>
        </w:rPr>
        <w:t>主要领导干部用车0辆、机要通信用车0辆、应急保障用车0辆、执法执勤用车0辆、特种专业技术用车0辆、离退休干部用车0辆、其他用车0辆。</w:t>
      </w:r>
      <w:r>
        <w:rPr>
          <w:rFonts w:hint="eastAsia" w:ascii="仿宋_GB2312" w:hAnsi="楷体" w:eastAsia="仿宋_GB2312"/>
          <w:sz w:val="32"/>
          <w:szCs w:val="32"/>
        </w:rPr>
        <w:t>安排购置单位价值50万元以上的通用设备0台（套），购置费0万元；安排购置单位价值100万元以上专用设备0台（套），购置费0万元。</w:t>
      </w:r>
    </w:p>
    <w:p>
      <w:pPr>
        <w:widowControl/>
        <w:shd w:val="clear" w:color="auto" w:fill="FFFFFF"/>
        <w:spacing w:line="560" w:lineRule="exact"/>
        <w:ind w:firstLine="643" w:firstLineChars="200"/>
        <w:jc w:val="left"/>
        <w:rPr>
          <w:rFonts w:hint="eastAsia" w:ascii="仿宋_GB2312" w:hAnsi="楷体" w:eastAsia="仿宋_GB2312" w:cs="宋体"/>
          <w:b/>
          <w:kern w:val="0"/>
          <w:sz w:val="32"/>
        </w:rPr>
      </w:pPr>
      <w:r>
        <w:rPr>
          <w:rFonts w:hint="eastAsia" w:ascii="仿宋_GB2312" w:hAnsi="楷体" w:eastAsia="仿宋_GB2312" w:cs="宋体"/>
          <w:b/>
          <w:kern w:val="0"/>
          <w:sz w:val="32"/>
        </w:rPr>
        <w:t>（五）绩效目标设置情况</w:t>
      </w:r>
    </w:p>
    <w:p>
      <w:pPr>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仿宋_GB2312" w:hAnsi="楷体" w:eastAsia="仿宋_GB2312" w:cs="宋体"/>
          <w:kern w:val="0"/>
          <w:sz w:val="32"/>
        </w:rPr>
        <w:t>按照中共五河县委 五河县人民政府关于印发《全面实施预算绩效管理的实施办法》的通知（五发〔2020〕12号）要求，五河县武桥镇人民政府14</w:t>
      </w:r>
      <w:r>
        <w:rPr>
          <w:rFonts w:ascii="TimesNewRoman" w:hAnsi="TimesNewRoman" w:eastAsia="仿宋_GB2312" w:cs="TimesNewRoman"/>
          <w:sz w:val="32"/>
          <w:szCs w:val="32"/>
        </w:rPr>
        <w:t>个项目实行了绩效目标管理，预算总金额为777万元，涉及一般公共预算当年财政拨款777万元、政府性基金预算当年财政拨款0万元、国有资本经营预算当年财政拨款0万元、财政专户管理资金当年安排0万元和单位资金当年安排0万元。</w:t>
      </w:r>
    </w:p>
    <w:p>
      <w:pPr>
        <w:widowControl/>
        <w:adjustRightInd w:val="0"/>
        <w:snapToGrid w:val="0"/>
        <w:spacing w:line="560" w:lineRule="exact"/>
        <w:ind w:firstLine="640" w:firstLineChars="200"/>
        <w:rPr>
          <w:rFonts w:hint="eastAsia" w:ascii="仿宋_GB2312" w:hAnsi="楷体" w:eastAsia="仿宋_GB2312"/>
          <w:sz w:val="32"/>
          <w:szCs w:val="32"/>
        </w:rPr>
      </w:pPr>
    </w:p>
    <w:p>
      <w:pPr>
        <w:adjustRightInd w:val="0"/>
        <w:snapToGrid w:val="0"/>
        <w:spacing w:line="560" w:lineRule="exact"/>
        <w:jc w:val="center"/>
        <w:rPr>
          <w:rFonts w:ascii="TimesNewRoman" w:hAnsi="TimesNewRoman" w:eastAsia="黑体" w:cs="TimesNewRoman"/>
          <w:sz w:val="36"/>
          <w:szCs w:val="36"/>
        </w:rPr>
      </w:pPr>
      <w:r>
        <w:rPr>
          <w:rFonts w:hint="eastAsia" w:ascii="黑体" w:eastAsia="黑体"/>
          <w:sz w:val="36"/>
          <w:szCs w:val="36"/>
        </w:rPr>
        <w:br w:type="page"/>
      </w:r>
      <w:r>
        <w:rPr>
          <w:rFonts w:ascii="TimesNewRoman" w:hAnsi="TimesNewRoman" w:eastAsia="黑体" w:cs="TimesNewRoman"/>
          <w:sz w:val="36"/>
          <w:szCs w:val="36"/>
        </w:rPr>
        <w:t>第</w:t>
      </w:r>
      <w:r>
        <w:rPr>
          <w:rFonts w:hint="eastAsia" w:ascii="TimesNewRoman" w:hAnsi="TimesNewRoman" w:eastAsia="黑体" w:cs="TimesNewRoman"/>
          <w:sz w:val="36"/>
          <w:szCs w:val="36"/>
        </w:rPr>
        <w:t>三</w:t>
      </w:r>
      <w:r>
        <w:rPr>
          <w:rFonts w:ascii="TimesNewRoman" w:hAnsi="TimesNewRoman" w:eastAsia="黑体" w:cs="TimesNewRoman"/>
          <w:sz w:val="36"/>
          <w:szCs w:val="36"/>
        </w:rPr>
        <w:t>部分 名词解释</w:t>
      </w:r>
    </w:p>
    <w:p>
      <w:pPr>
        <w:adjustRightInd w:val="0"/>
        <w:snapToGrid w:val="0"/>
        <w:spacing w:line="560" w:lineRule="exact"/>
        <w:jc w:val="center"/>
        <w:rPr>
          <w:rFonts w:ascii="TimesNewRoman" w:hAnsi="TimesNewRoman" w:eastAsia="黑体" w:cs="TimesNewRoman"/>
          <w:sz w:val="32"/>
          <w:szCs w:val="32"/>
        </w:rPr>
      </w:pPr>
    </w:p>
    <w:p>
      <w:pPr>
        <w:adjustRightInd w:val="0"/>
        <w:snapToGrid w:val="0"/>
        <w:spacing w:line="560" w:lineRule="exact"/>
        <w:ind w:firstLine="640" w:firstLineChars="200"/>
        <w:rPr>
          <w:rFonts w:ascii="TimesNewRoman" w:hAnsi="TimesNewRoman" w:eastAsia="仿宋_GB2312" w:cs="TimesNewRoman"/>
          <w:sz w:val="32"/>
          <w:szCs w:val="32"/>
        </w:rPr>
      </w:pPr>
      <w:r>
        <w:rPr>
          <w:rFonts w:ascii="TimesNewRoman" w:hAnsi="TimesNewRoman" w:eastAsia="黑体" w:cs="TimesNewRoman"/>
          <w:sz w:val="32"/>
          <w:szCs w:val="32"/>
        </w:rPr>
        <w:t>一、财政拨款收入</w:t>
      </w:r>
      <w:r>
        <w:rPr>
          <w:rFonts w:ascii="TimesNewRoman" w:hAnsi="TimesNewRoman" w:eastAsia="仿宋_GB2312" w:cs="TimesNewRoman"/>
          <w:b/>
          <w:sz w:val="32"/>
          <w:szCs w:val="32"/>
        </w:rPr>
        <w:t>：</w:t>
      </w:r>
      <w:r>
        <w:rPr>
          <w:rFonts w:ascii="TimesNewRoman" w:hAnsi="TimesNewRoman" w:eastAsia="仿宋_GB2312" w:cs="TimesNewRoman"/>
          <w:sz w:val="32"/>
          <w:szCs w:val="32"/>
        </w:rPr>
        <w:t>指部门或单位从同级财政部门取得的财政预算资金。</w:t>
      </w:r>
    </w:p>
    <w:p>
      <w:pPr>
        <w:adjustRightInd w:val="0"/>
        <w:snapToGrid w:val="0"/>
        <w:spacing w:line="560" w:lineRule="exact"/>
        <w:ind w:firstLine="627" w:firstLineChars="196"/>
        <w:rPr>
          <w:rFonts w:ascii="TimesNewRoman" w:hAnsi="TimesNewRoman" w:eastAsia="黑体" w:cs="TimesNewRoman"/>
          <w:sz w:val="32"/>
          <w:szCs w:val="32"/>
        </w:rPr>
      </w:pPr>
      <w:r>
        <w:rPr>
          <w:rFonts w:ascii="TimesNewRoman" w:hAnsi="TimesNewRoman" w:eastAsia="黑体" w:cs="TimesNewRoman"/>
          <w:sz w:val="32"/>
          <w:szCs w:val="32"/>
        </w:rPr>
        <w:t>二、事业收入：</w:t>
      </w:r>
      <w:r>
        <w:rPr>
          <w:rFonts w:ascii="TimesNewRoman" w:hAnsi="TimesNewRoman" w:eastAsia="仿宋_GB2312" w:cs="TimesNewRoman"/>
          <w:sz w:val="32"/>
          <w:szCs w:val="32"/>
        </w:rPr>
        <w:t>指事业单位开展专业业务活动及辅助活动所取得的收入。</w:t>
      </w:r>
    </w:p>
    <w:p>
      <w:pPr>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pPr>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pPr>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五、附属单位上缴收入：</w:t>
      </w:r>
      <w:r>
        <w:rPr>
          <w:rFonts w:ascii="TimesNewRoman" w:hAnsi="TimesNewRoman" w:eastAsia="仿宋_GB2312" w:cs="TimesNewRoman"/>
          <w:sz w:val="32"/>
          <w:szCs w:val="32"/>
        </w:rPr>
        <w:t>本单位所属下级单位上缴给本单位的全部收入。</w:t>
      </w:r>
    </w:p>
    <w:p>
      <w:pPr>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六、上年结转：</w:t>
      </w:r>
      <w:r>
        <w:rPr>
          <w:rFonts w:ascii="TimesNewRoman" w:hAnsi="TimesNewRoman" w:eastAsia="仿宋_GB2312" w:cs="TimesNewRoman"/>
          <w:sz w:val="32"/>
          <w:szCs w:val="32"/>
        </w:rPr>
        <w:t>指以前年度安排、结转到本年仍按原用途继续使用的资金。</w:t>
      </w:r>
    </w:p>
    <w:p>
      <w:pPr>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pPr>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八、基本支出</w:t>
      </w:r>
      <w:r>
        <w:rPr>
          <w:rFonts w:ascii="TimesNewRoman" w:hAnsi="TimesNewRoman" w:eastAsia="仿宋_GB2312" w:cs="TimesNewRoman"/>
          <w:b/>
          <w:sz w:val="32"/>
          <w:szCs w:val="32"/>
        </w:rPr>
        <w:t>：</w:t>
      </w:r>
      <w:r>
        <w:rPr>
          <w:rFonts w:ascii="TimesNewRoman" w:hAnsi="TimesNewRoman" w:eastAsia="仿宋_GB2312" w:cs="TimesNewRoman"/>
          <w:sz w:val="32"/>
          <w:szCs w:val="32"/>
        </w:rPr>
        <w:t>指为保障机构正常运转、完成日常工作任务而发生的人员支出和公用支出。</w:t>
      </w:r>
    </w:p>
    <w:p>
      <w:pPr>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九、项目支出</w:t>
      </w:r>
      <w:r>
        <w:rPr>
          <w:rFonts w:ascii="TimesNewRoman" w:hAnsi="TimesNewRoman" w:eastAsia="仿宋_GB2312" w:cs="TimesNewRoman"/>
          <w:b/>
          <w:sz w:val="32"/>
          <w:szCs w:val="32"/>
        </w:rPr>
        <w:t>：</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TimesNewRoman" w:hAnsi="TimesNewRoman" w:eastAsia="黑体" w:cs="TimesNewRoman"/>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djustRightInd w:val="0"/>
        <w:snapToGrid w:val="0"/>
        <w:spacing w:line="560" w:lineRule="exact"/>
        <w:ind w:firstLine="627" w:firstLineChars="196"/>
        <w:rPr>
          <w:rFonts w:hint="eastAsia" w:ascii="TimesNewRoman" w:hAnsi="TimesNewRoman" w:eastAsia="仿宋_GB2312" w:cs="TimesNewRoman"/>
          <w:sz w:val="32"/>
          <w:szCs w:val="32"/>
        </w:rPr>
      </w:pPr>
      <w:r>
        <w:rPr>
          <w:rFonts w:ascii="TimesNewRoman" w:hAnsi="TimesNewRoman" w:eastAsia="黑体" w:cs="TimesNewRoman"/>
          <w:sz w:val="32"/>
          <w:szCs w:val="32"/>
        </w:rPr>
        <w:t>十一、</w:t>
      </w:r>
      <w:r>
        <w:rPr>
          <w:rFonts w:hint="eastAsia" w:ascii="仿宋_GB2312" w:eastAsia="仿宋_GB2312"/>
          <w:b/>
          <w:sz w:val="32"/>
        </w:rPr>
        <w:t>一般公共服务支出（类</w:t>
      </w:r>
      <w:r>
        <w:rPr>
          <w:rFonts w:hint="eastAsia" w:ascii="仿宋_GB2312" w:eastAsia="仿宋_GB2312"/>
          <w:b/>
          <w:spacing w:val="-5"/>
          <w:sz w:val="32"/>
        </w:rPr>
        <w:t>）</w:t>
      </w:r>
      <w:r>
        <w:rPr>
          <w:rFonts w:hint="eastAsia" w:ascii="仿宋_GB2312" w:eastAsia="仿宋_GB2312"/>
          <w:b/>
          <w:spacing w:val="-1"/>
          <w:sz w:val="32"/>
        </w:rPr>
        <w:t>政府办公厅（室）及相关机构事务</w:t>
      </w:r>
      <w:r>
        <w:rPr>
          <w:rFonts w:hint="eastAsia" w:ascii="仿宋_GB2312" w:eastAsia="仿宋_GB2312"/>
          <w:b/>
          <w:sz w:val="32"/>
        </w:rPr>
        <w:t>（款）</w:t>
      </w:r>
      <w:r>
        <w:rPr>
          <w:rFonts w:hint="eastAsia" w:ascii="仿宋_GB2312" w:eastAsia="仿宋_GB2312"/>
          <w:b/>
          <w:spacing w:val="-2"/>
          <w:sz w:val="32"/>
        </w:rPr>
        <w:t>行政运行</w:t>
      </w:r>
      <w:r>
        <w:rPr>
          <w:rFonts w:hint="eastAsia" w:ascii="仿宋_GB2312" w:eastAsia="仿宋_GB2312"/>
          <w:b/>
          <w:sz w:val="32"/>
        </w:rPr>
        <w:t>（项）</w:t>
      </w:r>
      <w:r>
        <w:rPr>
          <w:rFonts w:ascii="TimesNewRoman" w:hAnsi="TimesNewRoman" w:eastAsia="黑体" w:cs="TimesNewRoman"/>
          <w:sz w:val="32"/>
          <w:szCs w:val="32"/>
        </w:rPr>
        <w:t>：</w:t>
      </w:r>
      <w:r>
        <w:rPr>
          <w:rFonts w:ascii="TimesNewRoman" w:hAnsi="TimesNewRoman" w:eastAsia="仿宋_GB2312" w:cs="TimesNewRoman"/>
          <w:sz w:val="32"/>
          <w:szCs w:val="32"/>
        </w:rPr>
        <w:t>反映用于</w:t>
      </w:r>
      <w:r>
        <w:rPr>
          <w:rFonts w:hint="eastAsia" w:ascii="TimesNewRoman" w:hAnsi="TimesNewRoman" w:eastAsia="仿宋_GB2312" w:cs="TimesNewRoman"/>
          <w:sz w:val="32"/>
          <w:szCs w:val="32"/>
        </w:rPr>
        <w:t>行政人员经费及公用支出</w:t>
      </w:r>
      <w:r>
        <w:rPr>
          <w:rFonts w:ascii="TimesNewRoman" w:hAnsi="TimesNewRoman" w:eastAsia="仿宋_GB2312" w:cs="TimesNewRoman"/>
          <w:sz w:val="32"/>
          <w:szCs w:val="32"/>
        </w:rPr>
        <w:t>。</w:t>
      </w:r>
    </w:p>
    <w:p>
      <w:pPr>
        <w:adjustRightInd w:val="0"/>
        <w:snapToGrid w:val="0"/>
        <w:spacing w:line="560" w:lineRule="exact"/>
        <w:ind w:firstLine="627" w:firstLineChars="196"/>
        <w:rPr>
          <w:rFonts w:ascii="TimesNewRoman" w:hAnsi="TimesNewRoman" w:eastAsia="仿宋_GB2312" w:cs="TimesNewRoman"/>
          <w:sz w:val="32"/>
          <w:szCs w:val="32"/>
        </w:rPr>
      </w:pPr>
      <w:r>
        <w:rPr>
          <w:rFonts w:ascii="TimesNewRoman" w:hAnsi="TimesNewRoman" w:eastAsia="黑体" w:cs="TimesNewRoman"/>
          <w:sz w:val="32"/>
          <w:szCs w:val="32"/>
        </w:rPr>
        <w:t>十二</w:t>
      </w:r>
      <w:r>
        <w:rPr>
          <w:rFonts w:ascii="TimesNewRoman" w:hAnsi="TimesNewRoman" w:eastAsia="仿宋_GB2312" w:cs="TimesNewRoman"/>
          <w:sz w:val="32"/>
          <w:szCs w:val="32"/>
        </w:rPr>
        <w:t>、</w:t>
      </w:r>
      <w:r>
        <w:rPr>
          <w:rFonts w:hint="eastAsia" w:ascii="仿宋_GB2312" w:hAnsi="微软雅黑" w:eastAsia="仿宋_GB2312"/>
          <w:b/>
          <w:spacing w:val="7"/>
          <w:w w:val="99"/>
          <w:sz w:val="32"/>
          <w:szCs w:val="32"/>
        </w:rPr>
        <w:t>农林水支出（类）农村综合改革（款</w:t>
      </w:r>
      <w:r>
        <w:rPr>
          <w:rFonts w:hint="eastAsia" w:ascii="仿宋_GB2312" w:hAnsi="微软雅黑" w:eastAsia="仿宋_GB2312"/>
          <w:b/>
          <w:w w:val="99"/>
          <w:sz w:val="32"/>
          <w:szCs w:val="32"/>
        </w:rPr>
        <w:t>）</w:t>
      </w:r>
      <w:r>
        <w:rPr>
          <w:rFonts w:hint="eastAsia" w:ascii="仿宋_GB2312" w:eastAsia="仿宋_GB2312"/>
          <w:b/>
          <w:spacing w:val="-3"/>
          <w:sz w:val="32"/>
          <w:szCs w:val="32"/>
        </w:rPr>
        <w:t>对村民委员会和村党支部的补助</w:t>
      </w:r>
      <w:r>
        <w:rPr>
          <w:rFonts w:hint="eastAsia" w:ascii="仿宋_GB2312" w:eastAsia="仿宋_GB2312"/>
          <w:b/>
          <w:sz w:val="32"/>
          <w:szCs w:val="32"/>
        </w:rPr>
        <w:t>（项</w:t>
      </w:r>
      <w:r>
        <w:rPr>
          <w:rFonts w:hint="eastAsia" w:ascii="仿宋_GB2312" w:eastAsia="仿宋_GB2312"/>
          <w:b/>
          <w:spacing w:val="-7"/>
          <w:sz w:val="32"/>
          <w:szCs w:val="32"/>
        </w:rPr>
        <w:t>）：</w:t>
      </w:r>
      <w:r>
        <w:rPr>
          <w:rFonts w:hint="eastAsia" w:ascii="仿宋_GB2312" w:eastAsia="仿宋_GB2312"/>
          <w:spacing w:val="-7"/>
          <w:sz w:val="32"/>
          <w:szCs w:val="32"/>
        </w:rPr>
        <w:t>反映用于村组干部待遇及办公支出</w:t>
      </w:r>
      <w:r>
        <w:rPr>
          <w:rFonts w:ascii="TimesNewRoman" w:hAnsi="TimesNewRoman" w:eastAsia="仿宋_GB2312" w:cs="TimesNewRoman"/>
          <w:sz w:val="32"/>
          <w:szCs w:val="32"/>
        </w:rPr>
        <w:t>。</w:t>
      </w: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hint="eastAsia" w:ascii="黑体" w:eastAsia="黑体"/>
          <w:sz w:val="36"/>
          <w:szCs w:val="36"/>
        </w:rPr>
      </w:pPr>
    </w:p>
    <w:p>
      <w:pPr>
        <w:spacing w:line="560" w:lineRule="exact"/>
        <w:jc w:val="center"/>
        <w:rPr>
          <w:rFonts w:ascii="黑体" w:hAnsi="Calibri" w:eastAsia="黑体"/>
          <w:sz w:val="36"/>
          <w:szCs w:val="36"/>
        </w:rPr>
      </w:pPr>
      <w:r>
        <w:rPr>
          <w:rFonts w:hint="eastAsia" w:ascii="黑体" w:eastAsia="黑体"/>
          <w:sz w:val="36"/>
          <w:szCs w:val="36"/>
        </w:rPr>
        <w:t xml:space="preserve">第四部分    </w:t>
      </w:r>
      <w:r>
        <w:rPr>
          <w:rFonts w:hint="eastAsia" w:ascii="黑体" w:hAnsi="Calibri" w:eastAsia="黑体"/>
          <w:sz w:val="36"/>
          <w:szCs w:val="36"/>
        </w:rPr>
        <w:t>2024年部门预算公开附表</w:t>
      </w:r>
    </w:p>
    <w:p>
      <w:pPr>
        <w:jc w:val="left"/>
        <w:rPr>
          <w:rFonts w:ascii="TimesNewRoman" w:hAnsi="TimesNewRoman" w:cs="TimesNewRoman"/>
          <w:kern w:val="0"/>
          <w:sz w:val="20"/>
        </w:rPr>
      </w:pPr>
    </w:p>
    <w:p>
      <w:pPr>
        <w:jc w:val="left"/>
        <w:rPr>
          <w:rFonts w:ascii="TimesNewRoman" w:hAnsi="TimesNewRoman" w:cs="TimesNewRoman"/>
          <w:kern w:val="0"/>
          <w:sz w:val="20"/>
        </w:rPr>
      </w:pPr>
    </w:p>
    <w:p>
      <w:pPr>
        <w:autoSpaceDE w:val="0"/>
        <w:autoSpaceDN w:val="0"/>
        <w:adjustRightInd w:val="0"/>
        <w:spacing w:line="560" w:lineRule="exact"/>
        <w:ind w:firstLine="480" w:firstLineChars="150"/>
        <w:rPr>
          <w:rFonts w:hint="eastAsia" w:ascii="仿宋_GB2312" w:eastAsia="仿宋_GB2312" w:cs="FangSong_GB2312-Identity-H"/>
          <w:kern w:val="0"/>
          <w:sz w:val="32"/>
          <w:szCs w:val="32"/>
        </w:rPr>
      </w:pPr>
      <w:r>
        <w:rPr>
          <w:rFonts w:hint="eastAsia" w:ascii="仿宋_GB2312" w:eastAsia="仿宋_GB2312" w:cs="FangSong_GB2312-Identity-H"/>
          <w:kern w:val="0"/>
          <w:sz w:val="32"/>
          <w:szCs w:val="32"/>
        </w:rPr>
        <w:t>附件1：五河县</w:t>
      </w:r>
      <w:r>
        <w:rPr>
          <w:rFonts w:hint="eastAsia" w:ascii="仿宋_GB2312" w:hAnsi="楷体" w:eastAsia="仿宋_GB2312" w:cs="宋体"/>
          <w:kern w:val="0"/>
          <w:sz w:val="32"/>
          <w:szCs w:val="20"/>
        </w:rPr>
        <w:t>武桥镇人民政府</w:t>
      </w:r>
      <w:r>
        <w:rPr>
          <w:rFonts w:hint="eastAsia" w:ascii="仿宋_GB2312" w:eastAsia="仿宋_GB2312" w:cs="FangSong_GB2312-Identity-H"/>
          <w:kern w:val="0"/>
          <w:sz w:val="32"/>
          <w:szCs w:val="32"/>
        </w:rPr>
        <w:t>部门2024年部门预算表</w:t>
      </w:r>
    </w:p>
    <w:p>
      <w:pPr>
        <w:autoSpaceDE w:val="0"/>
        <w:autoSpaceDN w:val="0"/>
        <w:adjustRightInd w:val="0"/>
        <w:spacing w:line="560" w:lineRule="exact"/>
        <w:ind w:firstLine="480" w:firstLineChars="150"/>
        <w:rPr>
          <w:rFonts w:hint="eastAsia" w:ascii="仿宋_GB2312" w:hAnsi="Calibri" w:eastAsia="仿宋_GB2312" w:cs="FangSong_GB2312-Identity-H"/>
          <w:kern w:val="0"/>
          <w:sz w:val="32"/>
          <w:szCs w:val="32"/>
        </w:rPr>
      </w:pPr>
      <w:r>
        <w:rPr>
          <w:rFonts w:hint="eastAsia" w:ascii="仿宋_GB2312" w:eastAsia="仿宋_GB2312" w:cs="FangSong_GB2312-Identity-H"/>
          <w:kern w:val="0"/>
          <w:sz w:val="32"/>
          <w:szCs w:val="32"/>
        </w:rPr>
        <w:t>附件2：</w:t>
      </w:r>
      <w:r>
        <w:rPr>
          <w:rFonts w:hint="eastAsia" w:ascii="仿宋_GB2312" w:hAnsi="楷体" w:eastAsia="仿宋_GB2312" w:cs="宋体"/>
          <w:kern w:val="0"/>
          <w:sz w:val="32"/>
          <w:szCs w:val="20"/>
        </w:rPr>
        <w:t>五河县武桥镇人民政府</w:t>
      </w:r>
      <w:r>
        <w:rPr>
          <w:rFonts w:hint="eastAsia" w:ascii="仿宋_GB2312" w:eastAsia="仿宋_GB2312" w:cs="FangSong_GB2312-Identity-H"/>
          <w:kern w:val="0"/>
          <w:sz w:val="32"/>
          <w:szCs w:val="32"/>
        </w:rPr>
        <w:t>部门</w:t>
      </w:r>
      <w:r>
        <w:rPr>
          <w:rFonts w:hint="eastAsia" w:ascii="仿宋_GB2312" w:hAnsi="Calibri" w:eastAsia="仿宋_GB2312" w:cs="FangSong_GB2312-Identity-H"/>
          <w:kern w:val="0"/>
          <w:sz w:val="32"/>
          <w:szCs w:val="32"/>
        </w:rPr>
        <w:t>2024年部门项目绩效目标表</w:t>
      </w:r>
    </w:p>
    <w:p>
      <w:pPr>
        <w:jc w:val="left"/>
        <w:rPr>
          <w:rFonts w:ascii="TimesNewRoman" w:hAnsi="TimesNewRoman" w:cs="TimesNewRoman"/>
          <w:kern w:val="0"/>
          <w:sz w:val="20"/>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tbl>
      <w:tblPr>
        <w:tblStyle w:val="8"/>
        <w:tblW w:w="0" w:type="auto"/>
        <w:tblInd w:w="93" w:type="dxa"/>
        <w:tblLayout w:type="fixed"/>
        <w:tblCellMar>
          <w:top w:w="0" w:type="dxa"/>
          <w:left w:w="108" w:type="dxa"/>
          <w:bottom w:w="0" w:type="dxa"/>
          <w:right w:w="108" w:type="dxa"/>
        </w:tblCellMar>
      </w:tblPr>
      <w:tblGrid>
        <w:gridCol w:w="4420"/>
        <w:gridCol w:w="1820"/>
        <w:gridCol w:w="4060"/>
        <w:gridCol w:w="4420"/>
      </w:tblGrid>
      <w:tr>
        <w:tblPrEx>
          <w:tblCellMar>
            <w:top w:w="0" w:type="dxa"/>
            <w:left w:w="108" w:type="dxa"/>
            <w:bottom w:w="0" w:type="dxa"/>
            <w:right w:w="108" w:type="dxa"/>
          </w:tblCellMar>
        </w:tblPrEx>
        <w:trPr>
          <w:wBefore w:w="0" w:type="dxa"/>
          <w:wAfter w:w="0" w:type="dxa"/>
          <w:trHeight w:val="330" w:hRule="atLeast"/>
        </w:trPr>
        <w:tc>
          <w:tcPr>
            <w:tcW w:w="4420" w:type="dxa"/>
            <w:tcBorders>
              <w:top w:val="nil"/>
              <w:left w:val="nil"/>
              <w:bottom w:val="nil"/>
              <w:right w:val="nil"/>
            </w:tcBorders>
            <w:noWrap w:val="0"/>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部门公开表1</w:t>
            </w:r>
          </w:p>
        </w:tc>
        <w:tc>
          <w:tcPr>
            <w:tcW w:w="1820" w:type="dxa"/>
            <w:tcBorders>
              <w:top w:val="nil"/>
              <w:left w:val="nil"/>
              <w:bottom w:val="nil"/>
              <w:right w:val="nil"/>
            </w:tcBorders>
            <w:noWrap w:val="0"/>
            <w:vAlign w:val="bottom"/>
          </w:tcPr>
          <w:p>
            <w:pPr>
              <w:widowControl/>
              <w:jc w:val="left"/>
              <w:rPr>
                <w:rFonts w:ascii="宋体" w:hAnsi="宋体" w:cs="Arial"/>
                <w:color w:val="000000"/>
                <w:kern w:val="0"/>
                <w:sz w:val="20"/>
                <w:szCs w:val="20"/>
              </w:rPr>
            </w:pPr>
          </w:p>
        </w:tc>
        <w:tc>
          <w:tcPr>
            <w:tcW w:w="4060" w:type="dxa"/>
            <w:tcBorders>
              <w:top w:val="nil"/>
              <w:left w:val="nil"/>
              <w:bottom w:val="nil"/>
              <w:right w:val="nil"/>
            </w:tcBorders>
            <w:noWrap w:val="0"/>
            <w:vAlign w:val="bottom"/>
          </w:tcPr>
          <w:p>
            <w:pPr>
              <w:widowControl/>
              <w:jc w:val="left"/>
              <w:rPr>
                <w:rFonts w:ascii="宋体" w:hAnsi="宋体" w:cs="Arial"/>
                <w:color w:val="000000"/>
                <w:kern w:val="0"/>
                <w:sz w:val="20"/>
                <w:szCs w:val="20"/>
              </w:rPr>
            </w:pPr>
          </w:p>
        </w:tc>
        <w:tc>
          <w:tcPr>
            <w:tcW w:w="4420" w:type="dxa"/>
            <w:tcBorders>
              <w:top w:val="nil"/>
              <w:left w:val="nil"/>
              <w:bottom w:val="nil"/>
              <w:right w:val="nil"/>
            </w:tcBorders>
            <w:noWrap w:val="0"/>
            <w:vAlign w:val="bottom"/>
          </w:tcPr>
          <w:p>
            <w:pPr>
              <w:widowControl/>
              <w:jc w:val="left"/>
              <w:rPr>
                <w:rFonts w:ascii="宋体" w:hAnsi="宋体" w:cs="Arial"/>
                <w:color w:val="000000"/>
                <w:kern w:val="0"/>
                <w:sz w:val="20"/>
                <w:szCs w:val="20"/>
              </w:rPr>
            </w:pPr>
          </w:p>
        </w:tc>
      </w:tr>
      <w:tr>
        <w:tblPrEx>
          <w:tblCellMar>
            <w:top w:w="0" w:type="dxa"/>
            <w:left w:w="108" w:type="dxa"/>
            <w:bottom w:w="0" w:type="dxa"/>
            <w:right w:w="108" w:type="dxa"/>
          </w:tblCellMar>
        </w:tblPrEx>
        <w:trPr>
          <w:wBefore w:w="0" w:type="dxa"/>
          <w:wAfter w:w="0" w:type="dxa"/>
          <w:trHeight w:val="480" w:hRule="atLeast"/>
        </w:trPr>
        <w:tc>
          <w:tcPr>
            <w:tcW w:w="14720" w:type="dxa"/>
            <w:gridSpan w:val="4"/>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2024年部门收支总表</w:t>
            </w:r>
          </w:p>
        </w:tc>
      </w:tr>
      <w:tr>
        <w:tblPrEx>
          <w:tblCellMar>
            <w:top w:w="0" w:type="dxa"/>
            <w:left w:w="108" w:type="dxa"/>
            <w:bottom w:w="0" w:type="dxa"/>
            <w:right w:w="108" w:type="dxa"/>
          </w:tblCellMar>
        </w:tblPrEx>
        <w:trPr>
          <w:wBefore w:w="0" w:type="dxa"/>
          <w:wAfter w:w="0" w:type="dxa"/>
          <w:trHeight w:val="315" w:hRule="atLeast"/>
        </w:trPr>
        <w:tc>
          <w:tcPr>
            <w:tcW w:w="4420" w:type="dxa"/>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部门名称：206-五河县武桥镇人民政府</w:t>
            </w:r>
          </w:p>
        </w:tc>
        <w:tc>
          <w:tcPr>
            <w:tcW w:w="1820" w:type="dxa"/>
            <w:tcBorders>
              <w:top w:val="nil"/>
              <w:left w:val="nil"/>
              <w:bottom w:val="nil"/>
              <w:right w:val="nil"/>
            </w:tcBorders>
            <w:noWrap w:val="0"/>
            <w:vAlign w:val="center"/>
          </w:tcPr>
          <w:p>
            <w:pPr>
              <w:widowControl/>
              <w:jc w:val="center"/>
              <w:rPr>
                <w:rFonts w:ascii="宋体" w:hAnsi="宋体" w:cs="Arial"/>
                <w:color w:val="000000"/>
                <w:kern w:val="0"/>
                <w:sz w:val="20"/>
                <w:szCs w:val="20"/>
              </w:rPr>
            </w:pPr>
          </w:p>
        </w:tc>
        <w:tc>
          <w:tcPr>
            <w:tcW w:w="4060" w:type="dxa"/>
            <w:tcBorders>
              <w:top w:val="nil"/>
              <w:left w:val="nil"/>
              <w:bottom w:val="nil"/>
              <w:right w:val="nil"/>
            </w:tcBorders>
            <w:noWrap w:val="0"/>
            <w:vAlign w:val="bottom"/>
          </w:tcPr>
          <w:p>
            <w:pPr>
              <w:widowControl/>
              <w:jc w:val="left"/>
              <w:rPr>
                <w:rFonts w:ascii="宋体" w:hAnsi="宋体" w:cs="Arial"/>
                <w:color w:val="000000"/>
                <w:kern w:val="0"/>
                <w:sz w:val="20"/>
                <w:szCs w:val="20"/>
              </w:rPr>
            </w:pPr>
          </w:p>
        </w:tc>
        <w:tc>
          <w:tcPr>
            <w:tcW w:w="4420" w:type="dxa"/>
            <w:tcBorders>
              <w:top w:val="nil"/>
              <w:left w:val="nil"/>
              <w:bottom w:val="nil"/>
              <w:right w:val="nil"/>
            </w:tcBorders>
            <w:noWrap w:val="0"/>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wBefore w:w="0" w:type="dxa"/>
          <w:wAfter w:w="0" w:type="dxa"/>
          <w:trHeight w:val="390" w:hRule="atLeast"/>
        </w:trPr>
        <w:tc>
          <w:tcPr>
            <w:tcW w:w="62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 xml:space="preserve">收            入 </w:t>
            </w:r>
          </w:p>
        </w:tc>
        <w:tc>
          <w:tcPr>
            <w:tcW w:w="848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支                          出</w:t>
            </w:r>
          </w:p>
        </w:tc>
      </w:tr>
      <w:tr>
        <w:tblPrEx>
          <w:tblCellMar>
            <w:top w:w="0" w:type="dxa"/>
            <w:left w:w="108" w:type="dxa"/>
            <w:bottom w:w="0" w:type="dxa"/>
            <w:right w:w="108" w:type="dxa"/>
          </w:tblCellMar>
        </w:tblPrEx>
        <w:trPr>
          <w:wBefore w:w="0" w:type="dxa"/>
          <w:wAfter w:w="0" w:type="dxa"/>
          <w:trHeight w:val="39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收入项目</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预算数</w:t>
            </w:r>
          </w:p>
        </w:tc>
        <w:tc>
          <w:tcPr>
            <w:tcW w:w="40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支出功能分类科目</w:t>
            </w:r>
          </w:p>
        </w:tc>
        <w:tc>
          <w:tcPr>
            <w:tcW w:w="442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预算数</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一、一般公共预算拨款收入</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1,940.2</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487.2</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其中：财政拨款</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1,718.0</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纳入国库管理的非税收入</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222.3</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二、政府性基金预算拨款收入</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三、国有资本经营预算拨款收入</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七、文化旅游体育传媒支出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四、财政专户管理资金收入（教育收费）</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182.0</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五、单位资金收入</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112.4</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其中：事业收入</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事业单位经营收入</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上级补助收入</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1,020.9</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附属单位上缴收入</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其他收入</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117.7</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二十二、灾害防治及应急管理支出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二十三、预备费</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20.0</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820"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二十四、其他支出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二十五、转移性支出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二十九、抗疫特别国债安排的支出</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本年收入小计</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1,940.2</w:t>
            </w:r>
          </w:p>
        </w:tc>
        <w:tc>
          <w:tcPr>
            <w:tcW w:w="4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本年支出小计</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1940.2</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上年结转数</w:t>
            </w:r>
          </w:p>
        </w:tc>
        <w:tc>
          <w:tcPr>
            <w:tcW w:w="182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结转下年</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一般公共预算</w:t>
            </w:r>
          </w:p>
        </w:tc>
        <w:tc>
          <w:tcPr>
            <w:tcW w:w="182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一般公共预算</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政府性基金预算</w:t>
            </w:r>
          </w:p>
        </w:tc>
        <w:tc>
          <w:tcPr>
            <w:tcW w:w="182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政府性基金预算</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国有资本经营预算</w:t>
            </w:r>
          </w:p>
        </w:tc>
        <w:tc>
          <w:tcPr>
            <w:tcW w:w="182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国有资本经营预算</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财政专户管理资金</w:t>
            </w:r>
          </w:p>
        </w:tc>
        <w:tc>
          <w:tcPr>
            <w:tcW w:w="182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财政专户管理资金</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单位资金</w:t>
            </w:r>
          </w:p>
        </w:tc>
        <w:tc>
          <w:tcPr>
            <w:tcW w:w="182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单位资金</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60"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wBefore w:w="0" w:type="dxa"/>
          <w:wAfter w:w="0" w:type="dxa"/>
          <w:trHeight w:val="360" w:hRule="atLeast"/>
        </w:trPr>
        <w:tc>
          <w:tcPr>
            <w:tcW w:w="442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收入总计</w:t>
            </w:r>
          </w:p>
        </w:tc>
        <w:tc>
          <w:tcPr>
            <w:tcW w:w="18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1,940.2</w:t>
            </w:r>
          </w:p>
        </w:tc>
        <w:tc>
          <w:tcPr>
            <w:tcW w:w="4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支出总计</w:t>
            </w:r>
          </w:p>
        </w:tc>
        <w:tc>
          <w:tcPr>
            <w:tcW w:w="442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1940.2</w:t>
            </w:r>
          </w:p>
        </w:tc>
      </w:tr>
    </w:tbl>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tbl>
      <w:tblPr>
        <w:tblStyle w:val="8"/>
        <w:tblW w:w="0" w:type="auto"/>
        <w:tblInd w:w="0" w:type="dxa"/>
        <w:tblLayout w:type="fixed"/>
        <w:tblCellMar>
          <w:top w:w="0" w:type="dxa"/>
          <w:left w:w="108" w:type="dxa"/>
          <w:bottom w:w="0" w:type="dxa"/>
          <w:right w:w="108" w:type="dxa"/>
        </w:tblCellMar>
      </w:tblPr>
      <w:tblGrid>
        <w:gridCol w:w="1240"/>
        <w:gridCol w:w="3941"/>
        <w:gridCol w:w="410"/>
        <w:gridCol w:w="472"/>
        <w:gridCol w:w="421"/>
        <w:gridCol w:w="462"/>
        <w:gridCol w:w="432"/>
        <w:gridCol w:w="451"/>
        <w:gridCol w:w="297"/>
        <w:gridCol w:w="139"/>
        <w:gridCol w:w="179"/>
        <w:gridCol w:w="257"/>
        <w:gridCol w:w="421"/>
        <w:gridCol w:w="421"/>
        <w:gridCol w:w="421"/>
        <w:gridCol w:w="421"/>
        <w:gridCol w:w="421"/>
        <w:gridCol w:w="421"/>
        <w:gridCol w:w="421"/>
        <w:gridCol w:w="421"/>
        <w:gridCol w:w="421"/>
        <w:gridCol w:w="421"/>
        <w:gridCol w:w="421"/>
        <w:gridCol w:w="421"/>
        <w:gridCol w:w="421"/>
      </w:tblGrid>
      <w:tr>
        <w:tblPrEx>
          <w:tblCellMar>
            <w:top w:w="0" w:type="dxa"/>
            <w:left w:w="108" w:type="dxa"/>
            <w:bottom w:w="0" w:type="dxa"/>
            <w:right w:w="108" w:type="dxa"/>
          </w:tblCellMar>
        </w:tblPrEx>
        <w:trPr>
          <w:wBefore w:w="0" w:type="dxa"/>
          <w:wAfter w:w="0" w:type="dxa"/>
          <w:trHeight w:val="315" w:hRule="atLeast"/>
        </w:trPr>
        <w:tc>
          <w:tcPr>
            <w:tcW w:w="1240" w:type="dxa"/>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部门公开2</w:t>
            </w:r>
          </w:p>
        </w:tc>
        <w:tc>
          <w:tcPr>
            <w:tcW w:w="4351" w:type="dxa"/>
            <w:gridSpan w:val="2"/>
            <w:tcBorders>
              <w:top w:val="nil"/>
              <w:left w:val="nil"/>
              <w:bottom w:val="nil"/>
              <w:right w:val="nil"/>
            </w:tcBorders>
            <w:noWrap w:val="0"/>
            <w:vAlign w:val="center"/>
          </w:tcPr>
          <w:p>
            <w:pPr>
              <w:widowControl/>
              <w:jc w:val="left"/>
              <w:rPr>
                <w:rFonts w:ascii="宋体" w:hAnsi="宋体" w:cs="Arial"/>
                <w:color w:val="000000"/>
                <w:kern w:val="0"/>
                <w:sz w:val="20"/>
                <w:szCs w:val="20"/>
              </w:rPr>
            </w:pPr>
          </w:p>
        </w:tc>
        <w:tc>
          <w:tcPr>
            <w:tcW w:w="893" w:type="dxa"/>
            <w:gridSpan w:val="2"/>
            <w:tcBorders>
              <w:top w:val="nil"/>
              <w:left w:val="nil"/>
              <w:bottom w:val="nil"/>
              <w:right w:val="nil"/>
            </w:tcBorders>
            <w:noWrap w:val="0"/>
            <w:vAlign w:val="center"/>
          </w:tcPr>
          <w:p>
            <w:pPr>
              <w:widowControl/>
              <w:jc w:val="left"/>
              <w:rPr>
                <w:rFonts w:ascii="宋体" w:hAnsi="宋体" w:cs="Arial"/>
                <w:color w:val="000000"/>
                <w:kern w:val="0"/>
                <w:sz w:val="22"/>
              </w:rPr>
            </w:pPr>
          </w:p>
        </w:tc>
        <w:tc>
          <w:tcPr>
            <w:tcW w:w="894" w:type="dxa"/>
            <w:gridSpan w:val="2"/>
            <w:tcBorders>
              <w:top w:val="nil"/>
              <w:left w:val="nil"/>
              <w:bottom w:val="nil"/>
              <w:right w:val="nil"/>
            </w:tcBorders>
            <w:noWrap w:val="0"/>
            <w:vAlign w:val="center"/>
          </w:tcPr>
          <w:p>
            <w:pPr>
              <w:widowControl/>
              <w:jc w:val="left"/>
              <w:rPr>
                <w:rFonts w:ascii="宋体" w:hAnsi="宋体" w:cs="Arial"/>
                <w:color w:val="000000"/>
                <w:kern w:val="0"/>
                <w:sz w:val="22"/>
              </w:rPr>
            </w:pPr>
          </w:p>
        </w:tc>
        <w:tc>
          <w:tcPr>
            <w:tcW w:w="748" w:type="dxa"/>
            <w:gridSpan w:val="2"/>
            <w:tcBorders>
              <w:top w:val="nil"/>
              <w:left w:val="nil"/>
              <w:bottom w:val="nil"/>
              <w:right w:val="nil"/>
            </w:tcBorders>
            <w:noWrap w:val="0"/>
            <w:vAlign w:val="center"/>
          </w:tcPr>
          <w:p>
            <w:pPr>
              <w:widowControl/>
              <w:jc w:val="left"/>
              <w:rPr>
                <w:rFonts w:ascii="宋体" w:hAnsi="宋体" w:cs="Arial"/>
                <w:color w:val="000000"/>
                <w:kern w:val="0"/>
                <w:sz w:val="22"/>
              </w:rPr>
            </w:pPr>
          </w:p>
        </w:tc>
        <w:tc>
          <w:tcPr>
            <w:tcW w:w="318" w:type="dxa"/>
            <w:gridSpan w:val="2"/>
            <w:tcBorders>
              <w:top w:val="nil"/>
              <w:left w:val="nil"/>
              <w:bottom w:val="nil"/>
              <w:right w:val="nil"/>
            </w:tcBorders>
            <w:noWrap w:val="0"/>
            <w:vAlign w:val="center"/>
          </w:tcPr>
          <w:p>
            <w:pPr>
              <w:widowControl/>
              <w:jc w:val="left"/>
              <w:rPr>
                <w:rFonts w:ascii="宋体" w:hAnsi="宋体" w:cs="Arial"/>
                <w:color w:val="000000"/>
                <w:kern w:val="0"/>
                <w:sz w:val="22"/>
              </w:rPr>
            </w:pPr>
          </w:p>
        </w:tc>
        <w:tc>
          <w:tcPr>
            <w:tcW w:w="257"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21" w:type="dxa"/>
            <w:tcBorders>
              <w:top w:val="nil"/>
              <w:left w:val="nil"/>
              <w:bottom w:val="nil"/>
              <w:right w:val="nil"/>
            </w:tcBorders>
            <w:noWrap w:val="0"/>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wBefore w:w="0" w:type="dxa"/>
          <w:wAfter w:w="0" w:type="dxa"/>
          <w:trHeight w:val="690" w:hRule="atLeast"/>
        </w:trPr>
        <w:tc>
          <w:tcPr>
            <w:tcW w:w="14174" w:type="dxa"/>
            <w:gridSpan w:val="25"/>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2024年部门收入总表</w:t>
            </w:r>
          </w:p>
        </w:tc>
      </w:tr>
      <w:tr>
        <w:tblPrEx>
          <w:tblCellMar>
            <w:top w:w="0" w:type="dxa"/>
            <w:left w:w="108" w:type="dxa"/>
            <w:bottom w:w="0" w:type="dxa"/>
            <w:right w:w="108" w:type="dxa"/>
          </w:tblCellMar>
        </w:tblPrEx>
        <w:trPr>
          <w:wBefore w:w="0" w:type="dxa"/>
          <w:wAfter w:w="0" w:type="dxa"/>
          <w:trHeight w:val="600" w:hRule="atLeast"/>
        </w:trPr>
        <w:tc>
          <w:tcPr>
            <w:tcW w:w="5181" w:type="dxa"/>
            <w:gridSpan w:val="2"/>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部门名称：206-五河县武桥镇人民政府</w:t>
            </w:r>
          </w:p>
        </w:tc>
        <w:tc>
          <w:tcPr>
            <w:tcW w:w="882" w:type="dxa"/>
            <w:gridSpan w:val="2"/>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315" w:type="dxa"/>
            <w:gridSpan w:val="3"/>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748" w:type="dxa"/>
            <w:gridSpan w:val="2"/>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18" w:type="dxa"/>
            <w:gridSpan w:val="2"/>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7"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42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263" w:type="dxa"/>
            <w:gridSpan w:val="3"/>
            <w:tcBorders>
              <w:top w:val="nil"/>
              <w:left w:val="nil"/>
              <w:bottom w:val="single" w:color="000000" w:sz="4" w:space="0"/>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wBefore w:w="0" w:type="dxa"/>
          <w:wAfter w:w="0" w:type="dxa"/>
          <w:trHeight w:val="420" w:hRule="atLeast"/>
        </w:trPr>
        <w:tc>
          <w:tcPr>
            <w:tcW w:w="12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9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882" w:type="dxa"/>
            <w:gridSpan w:val="2"/>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5585" w:type="dxa"/>
            <w:gridSpan w:val="1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2526" w:type="dxa"/>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上年结转结余</w:t>
            </w:r>
          </w:p>
        </w:tc>
      </w:tr>
      <w:tr>
        <w:tblPrEx>
          <w:tblCellMar>
            <w:top w:w="0" w:type="dxa"/>
            <w:left w:w="108" w:type="dxa"/>
            <w:bottom w:w="0" w:type="dxa"/>
            <w:right w:w="108" w:type="dxa"/>
          </w:tblCellMar>
        </w:tblPrEx>
        <w:trPr>
          <w:wBefore w:w="0" w:type="dxa"/>
          <w:wAfter w:w="0" w:type="dxa"/>
          <w:trHeight w:val="420" w:hRule="atLeast"/>
        </w:trPr>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39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82"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83" w:type="dxa"/>
            <w:gridSpan w:val="2"/>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883" w:type="dxa"/>
            <w:gridSpan w:val="2"/>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w:t>
            </w:r>
          </w:p>
        </w:tc>
        <w:tc>
          <w:tcPr>
            <w:tcW w:w="436" w:type="dxa"/>
            <w:gridSpan w:val="2"/>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w:t>
            </w:r>
          </w:p>
        </w:tc>
        <w:tc>
          <w:tcPr>
            <w:tcW w:w="436" w:type="dxa"/>
            <w:gridSpan w:val="2"/>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w:t>
            </w:r>
          </w:p>
        </w:tc>
        <w:tc>
          <w:tcPr>
            <w:tcW w:w="42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财政专户管理资金</w:t>
            </w:r>
          </w:p>
        </w:tc>
        <w:tc>
          <w:tcPr>
            <w:tcW w:w="2526" w:type="dxa"/>
            <w:gridSpan w:val="6"/>
            <w:tcBorders>
              <w:top w:val="nil"/>
              <w:left w:val="nil"/>
              <w:bottom w:val="nil"/>
              <w:right w:val="nil"/>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单位资金</w:t>
            </w:r>
          </w:p>
        </w:tc>
        <w:tc>
          <w:tcPr>
            <w:tcW w:w="42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42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w:t>
            </w:r>
          </w:p>
        </w:tc>
        <w:tc>
          <w:tcPr>
            <w:tcW w:w="42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w:t>
            </w:r>
          </w:p>
        </w:tc>
        <w:tc>
          <w:tcPr>
            <w:tcW w:w="42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w:t>
            </w:r>
          </w:p>
        </w:tc>
        <w:tc>
          <w:tcPr>
            <w:tcW w:w="42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财政专户管理资金</w:t>
            </w:r>
          </w:p>
        </w:tc>
        <w:tc>
          <w:tcPr>
            <w:tcW w:w="421"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单位资金</w:t>
            </w:r>
          </w:p>
        </w:tc>
      </w:tr>
      <w:tr>
        <w:tblPrEx>
          <w:tblCellMar>
            <w:top w:w="0" w:type="dxa"/>
            <w:left w:w="108" w:type="dxa"/>
            <w:bottom w:w="0" w:type="dxa"/>
            <w:right w:w="108" w:type="dxa"/>
          </w:tblCellMar>
        </w:tblPrEx>
        <w:trPr>
          <w:wBefore w:w="0" w:type="dxa"/>
          <w:wAfter w:w="0" w:type="dxa"/>
          <w:trHeight w:val="825" w:hRule="atLeast"/>
        </w:trPr>
        <w:tc>
          <w:tcPr>
            <w:tcW w:w="12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39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82"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83"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883"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3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36"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2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2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42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421"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事业单位经营收入</w:t>
            </w:r>
          </w:p>
        </w:tc>
        <w:tc>
          <w:tcPr>
            <w:tcW w:w="421"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421"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421"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c>
          <w:tcPr>
            <w:tcW w:w="42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2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2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2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2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21"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一般公共服务支出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487.2</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487.2</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487.2</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20103</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政府办公厅（室）及相关机构事务</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2010301</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行政运行</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20113</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商贸事务</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2011308</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招商引资</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社会保障和就业支出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行政事业单位养老支出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2080501</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行政单位离退休</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50.3</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50.3</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50.3</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2080502</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事业单位离退休</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0.7</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0.7</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0.7</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2080505</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机关事业单位基本养老保险缴费支出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77.3</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77.3</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77.3</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2080506</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机关事业单位职业年金缴费支出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53.7</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53.7</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53.7</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卫生健康支出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112.4</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112.4</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112.4</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21007</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计划生育事务</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2100799</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其他计划生育事务支出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21011</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行政事业单位医疗</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2101101</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行政单位医疗</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28.8</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28.8</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28.8</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2101102</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事业单位医疗</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农林水支出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1,020.9</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1,020.9</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1,020.9</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农业农村</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589.9</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589.9</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589.9</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2130104</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事业运行</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2130122</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农业生产发展</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2130199</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其他农业农村支出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226.0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226.0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226.0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21305</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巩固脱贫攻坚成果衔接乡村振兴</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2130599</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其他巩固脱贫攻坚成果衔接乡村振兴支出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21307</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农村综合改革</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2130705</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对村民委员会和村党支部的补助</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住房保障支出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住房改革支出</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2210201</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住房公积金</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74.1</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74.1</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74.1</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2210202</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提租补贴</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227</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预备费</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24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227</w:t>
            </w:r>
          </w:p>
        </w:tc>
        <w:tc>
          <w:tcPr>
            <w:tcW w:w="394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预备费</w:t>
            </w:r>
          </w:p>
        </w:tc>
        <w:tc>
          <w:tcPr>
            <w:tcW w:w="882"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883"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kern w:val="0"/>
          <w:sz w:val="20"/>
          <w:szCs w:val="20"/>
        </w:rPr>
      </w:pPr>
      <w:r>
        <w:fldChar w:fldCharType="begin"/>
      </w:r>
      <w:r>
        <w:instrText xml:space="preserve"> </w:instrText>
      </w:r>
      <w:r>
        <w:rPr>
          <w:rFonts w:hint="eastAsia"/>
        </w:rPr>
        <w:instrText xml:space="preserve">LINK Excel.Sheet.8 "C:\\Users\\WQCZS\\Desktop\\账务\\15部门预算公开表_2024-02-23.xls" "支出汇总!R1C1:R38C6" \a \f 4 \h</w:instrText>
      </w:r>
      <w:r>
        <w:instrText xml:space="preserve"> </w:instrText>
      </w:r>
      <w:bookmarkStart w:id="6" w:name="_1770212449"/>
      <w:bookmarkEnd w:id="6"/>
      <w:bookmarkStart w:id="7" w:name="_1770205961"/>
      <w:bookmarkEnd w:id="7"/>
      <w:bookmarkStart w:id="8" w:name="_1770206069"/>
      <w:bookmarkEnd w:id="8"/>
      <w:r>
        <w:fldChar w:fldCharType="separate"/>
      </w:r>
    </w:p>
    <w:tbl>
      <w:tblPr>
        <w:tblStyle w:val="8"/>
        <w:tblW w:w="0" w:type="auto"/>
        <w:tblInd w:w="108" w:type="dxa"/>
        <w:tblLayout w:type="fixed"/>
        <w:tblCellMar>
          <w:top w:w="0" w:type="dxa"/>
          <w:left w:w="108" w:type="dxa"/>
          <w:bottom w:w="0" w:type="dxa"/>
          <w:right w:w="108" w:type="dxa"/>
        </w:tblCellMar>
      </w:tblPr>
      <w:tblGrid>
        <w:gridCol w:w="1880"/>
        <w:gridCol w:w="4206"/>
        <w:gridCol w:w="2260"/>
        <w:gridCol w:w="2260"/>
        <w:gridCol w:w="2260"/>
        <w:gridCol w:w="2260"/>
      </w:tblGrid>
      <w:tr>
        <w:tblPrEx>
          <w:tblCellMar>
            <w:top w:w="0" w:type="dxa"/>
            <w:left w:w="108" w:type="dxa"/>
            <w:bottom w:w="0" w:type="dxa"/>
            <w:right w:w="108" w:type="dxa"/>
          </w:tblCellMar>
        </w:tblPrEx>
        <w:trPr>
          <w:wBefore w:w="0" w:type="dxa"/>
          <w:wAfter w:w="0" w:type="dxa"/>
          <w:trHeight w:val="420" w:hRule="atLeast"/>
        </w:trPr>
        <w:tc>
          <w:tcPr>
            <w:tcW w:w="1880" w:type="dxa"/>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部门公开表3</w:t>
            </w:r>
          </w:p>
        </w:tc>
        <w:tc>
          <w:tcPr>
            <w:tcW w:w="4206"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2260"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2260"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2260"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2260"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r>
      <w:tr>
        <w:tblPrEx>
          <w:tblCellMar>
            <w:top w:w="0" w:type="dxa"/>
            <w:left w:w="108" w:type="dxa"/>
            <w:bottom w:w="0" w:type="dxa"/>
            <w:right w:w="108" w:type="dxa"/>
          </w:tblCellMar>
        </w:tblPrEx>
        <w:trPr>
          <w:wBefore w:w="0" w:type="dxa"/>
          <w:wAfter w:w="0" w:type="dxa"/>
          <w:trHeight w:val="585" w:hRule="atLeast"/>
        </w:trPr>
        <w:tc>
          <w:tcPr>
            <w:tcW w:w="15126" w:type="dxa"/>
            <w:gridSpan w:val="6"/>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2024年部门支出总表</w:t>
            </w:r>
          </w:p>
        </w:tc>
      </w:tr>
      <w:tr>
        <w:tblPrEx>
          <w:tblCellMar>
            <w:top w:w="0" w:type="dxa"/>
            <w:left w:w="108" w:type="dxa"/>
            <w:bottom w:w="0" w:type="dxa"/>
            <w:right w:w="108" w:type="dxa"/>
          </w:tblCellMar>
        </w:tblPrEx>
        <w:trPr>
          <w:wBefore w:w="0" w:type="dxa"/>
          <w:wAfter w:w="0" w:type="dxa"/>
          <w:trHeight w:val="420" w:hRule="atLeast"/>
        </w:trPr>
        <w:tc>
          <w:tcPr>
            <w:tcW w:w="6086" w:type="dxa"/>
            <w:gridSpan w:val="2"/>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部门名称：206-五河县武桥镇人民政府</w:t>
            </w:r>
          </w:p>
        </w:tc>
        <w:tc>
          <w:tcPr>
            <w:tcW w:w="2260" w:type="dxa"/>
            <w:tcBorders>
              <w:top w:val="nil"/>
              <w:left w:val="nil"/>
              <w:bottom w:val="single" w:color="000000" w:sz="4" w:space="0"/>
              <w:right w:val="nil"/>
            </w:tcBorders>
            <w:noWrap w:val="0"/>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　</w:t>
            </w:r>
          </w:p>
        </w:tc>
        <w:tc>
          <w:tcPr>
            <w:tcW w:w="2260" w:type="dxa"/>
            <w:tcBorders>
              <w:top w:val="nil"/>
              <w:left w:val="nil"/>
              <w:bottom w:val="single" w:color="000000" w:sz="4" w:space="0"/>
              <w:right w:val="nil"/>
            </w:tcBorders>
            <w:noWrap w:val="0"/>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　</w:t>
            </w:r>
          </w:p>
        </w:tc>
        <w:tc>
          <w:tcPr>
            <w:tcW w:w="2260" w:type="dxa"/>
            <w:tcBorders>
              <w:top w:val="nil"/>
              <w:left w:val="nil"/>
              <w:bottom w:val="single" w:color="000000" w:sz="4" w:space="0"/>
              <w:right w:val="nil"/>
            </w:tcBorders>
            <w:noWrap w:val="0"/>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　</w:t>
            </w:r>
          </w:p>
        </w:tc>
        <w:tc>
          <w:tcPr>
            <w:tcW w:w="2260" w:type="dxa"/>
            <w:tcBorders>
              <w:top w:val="nil"/>
              <w:left w:val="nil"/>
              <w:bottom w:val="single" w:color="000000" w:sz="4" w:space="0"/>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wBefore w:w="0" w:type="dxa"/>
          <w:wAfter w:w="0" w:type="dxa"/>
          <w:trHeight w:val="450" w:hRule="atLeast"/>
        </w:trPr>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420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22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22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2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22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备注</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1,163.2</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777.0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一般公共服务支出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487.2</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20103</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政府办公厅（室）及相关机构事务</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2010301</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行政运行</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20113</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商贸事务</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2011308</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招商引资</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社会保障和就业支出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行政事业单位养老支出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2080501</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行政单位离退休</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50.3</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50.3</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2080502</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事业单位离退休</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0.7</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0.7</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2080505</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机关事业单位基本养老保险缴费支出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77.3</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77.3</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2080506</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机关事业单位职业年金缴费支出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53.7</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53.7</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卫生健康支出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112.4</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21007</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计划生育事务</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2100799</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其他计划生育事务支出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21011</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行政事业单位医疗</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2101101</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行政单位医疗</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28.8</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28.8</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2101102</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事业单位医疗</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农林水支出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1,020.9</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677.0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农业农村</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589.9</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246.0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2130104</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事业运行</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2130122</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农业生产发展</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2130199</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其他农业农村支出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226.0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226.0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21305</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巩固脱贫攻坚成果衔接乡村振兴</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2130599</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其他巩固脱贫攻坚成果衔接乡村振兴支出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21307</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农村综合改革</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2130705</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对村民委员会和村党支部的补助</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住房保障支出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住房改革支出</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2210201</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住房公积金</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74.1</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74.1</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2210202</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提租补贴</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227</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预备费</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555" w:hRule="atLeast"/>
        </w:trPr>
        <w:tc>
          <w:tcPr>
            <w:tcW w:w="1880" w:type="dxa"/>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227</w:t>
            </w:r>
          </w:p>
        </w:tc>
        <w:tc>
          <w:tcPr>
            <w:tcW w:w="420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预备费</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226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autoSpaceDE w:val="0"/>
        <w:autoSpaceDN w:val="0"/>
        <w:adjustRightInd w:val="0"/>
        <w:spacing w:line="560" w:lineRule="exact"/>
        <w:rPr>
          <w:rFonts w:hint="eastAsia" w:ascii="方正黑体_GBK" w:hAnsi="方正黑体_GBK" w:eastAsia="方正黑体_GBK" w:cs="方正黑体_GBK"/>
          <w:sz w:val="32"/>
          <w:szCs w:val="32"/>
        </w:rPr>
      </w:pPr>
      <w:r>
        <w:rPr>
          <w:rFonts w:ascii="方正黑体_GBK" w:hAnsi="方正黑体_GBK" w:eastAsia="方正黑体_GBK" w:cs="方正黑体_GBK"/>
          <w:sz w:val="32"/>
          <w:szCs w:val="32"/>
        </w:rPr>
        <w:fldChar w:fldCharType="end"/>
      </w: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tbl>
      <w:tblPr>
        <w:tblStyle w:val="8"/>
        <w:tblW w:w="5000" w:type="pct"/>
        <w:tblInd w:w="0" w:type="dxa"/>
        <w:tblLayout w:type="autofit"/>
        <w:tblCellMar>
          <w:top w:w="0" w:type="dxa"/>
          <w:left w:w="108" w:type="dxa"/>
          <w:bottom w:w="0" w:type="dxa"/>
          <w:right w:w="108" w:type="dxa"/>
        </w:tblCellMar>
      </w:tblPr>
      <w:tblGrid>
        <w:gridCol w:w="91"/>
        <w:gridCol w:w="2602"/>
        <w:gridCol w:w="388"/>
        <w:gridCol w:w="768"/>
        <w:gridCol w:w="2432"/>
        <w:gridCol w:w="111"/>
        <w:gridCol w:w="1375"/>
        <w:gridCol w:w="612"/>
        <w:gridCol w:w="879"/>
        <w:gridCol w:w="567"/>
        <w:gridCol w:w="187"/>
        <w:gridCol w:w="731"/>
        <w:gridCol w:w="686"/>
        <w:gridCol w:w="799"/>
        <w:gridCol w:w="1426"/>
        <w:gridCol w:w="520"/>
      </w:tblGrid>
      <w:tr>
        <w:tblPrEx>
          <w:tblCellMar>
            <w:top w:w="0" w:type="dxa"/>
            <w:left w:w="108" w:type="dxa"/>
            <w:bottom w:w="0" w:type="dxa"/>
            <w:right w:w="108" w:type="dxa"/>
          </w:tblCellMar>
        </w:tblPrEx>
        <w:trPr>
          <w:gridAfter w:val="1"/>
          <w:wBefore w:w="0" w:type="pct"/>
          <w:wAfter w:w="183" w:type="pct"/>
          <w:trHeight w:val="480" w:hRule="atLeast"/>
        </w:trPr>
        <w:tc>
          <w:tcPr>
            <w:tcW w:w="1087" w:type="pct"/>
            <w:gridSpan w:val="3"/>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部门公开表4</w:t>
            </w:r>
          </w:p>
        </w:tc>
        <w:tc>
          <w:tcPr>
            <w:tcW w:w="3730" w:type="pct"/>
            <w:gridSpan w:val="12"/>
            <w:tcBorders>
              <w:top w:val="nil"/>
              <w:left w:val="nil"/>
              <w:bottom w:val="nil"/>
              <w:right w:val="nil"/>
            </w:tcBorders>
            <w:noWrap w:val="0"/>
            <w:vAlign w:val="center"/>
          </w:tcPr>
          <w:p>
            <w:pPr>
              <w:widowControl/>
              <w:rPr>
                <w:rFonts w:ascii="宋体" w:hAnsi="宋体" w:cs="Arial"/>
                <w:b/>
                <w:bCs/>
                <w:color w:val="000000"/>
                <w:kern w:val="0"/>
                <w:sz w:val="32"/>
                <w:szCs w:val="32"/>
              </w:rPr>
            </w:pPr>
          </w:p>
        </w:tc>
      </w:tr>
      <w:tr>
        <w:tblPrEx>
          <w:tblCellMar>
            <w:top w:w="0" w:type="dxa"/>
            <w:left w:w="108" w:type="dxa"/>
            <w:bottom w:w="0" w:type="dxa"/>
            <w:right w:w="108" w:type="dxa"/>
          </w:tblCellMar>
        </w:tblPrEx>
        <w:trPr>
          <w:gridAfter w:val="1"/>
          <w:wBefore w:w="0" w:type="pct"/>
          <w:wAfter w:w="183" w:type="pct"/>
          <w:trHeight w:val="690" w:hRule="atLeast"/>
        </w:trPr>
        <w:tc>
          <w:tcPr>
            <w:tcW w:w="4817" w:type="pct"/>
            <w:gridSpan w:val="15"/>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2024年部门财政拨款收支总表</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部门名称：206-五河县武桥镇人民政府</w:t>
            </w:r>
          </w:p>
        </w:tc>
        <w:tc>
          <w:tcPr>
            <w:tcW w:w="137" w:type="pct"/>
            <w:tcBorders>
              <w:top w:val="nil"/>
              <w:left w:val="nil"/>
              <w:bottom w:val="single" w:color="000000" w:sz="4" w:space="0"/>
              <w:right w:val="nil"/>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271" w:type="pct"/>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382" w:type="pct"/>
            <w:gridSpan w:val="3"/>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16" w:type="pct"/>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10" w:type="pct"/>
            <w:gridSpan w:val="2"/>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66" w:type="pct"/>
            <w:gridSpan w:val="3"/>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gridAfter w:val="1"/>
          <w:wBefore w:w="0" w:type="pct"/>
          <w:wAfter w:w="183" w:type="pct"/>
          <w:trHeight w:val="375" w:hRule="atLeast"/>
        </w:trPr>
        <w:tc>
          <w:tcPr>
            <w:tcW w:w="1358"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收            入             </w:t>
            </w:r>
          </w:p>
        </w:tc>
        <w:tc>
          <w:tcPr>
            <w:tcW w:w="3459" w:type="pct"/>
            <w:gridSpan w:val="11"/>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 xml:space="preserve"> 项目</w:t>
            </w:r>
          </w:p>
        </w:tc>
        <w:tc>
          <w:tcPr>
            <w:tcW w:w="408" w:type="pct"/>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预算数</w:t>
            </w:r>
          </w:p>
        </w:tc>
        <w:tc>
          <w:tcPr>
            <w:tcW w:w="897" w:type="pct"/>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支出功能分类科目</w:t>
            </w:r>
          </w:p>
        </w:tc>
        <w:tc>
          <w:tcPr>
            <w:tcW w:w="701" w:type="pct"/>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576" w:type="pct"/>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一般公共预算拨款</w:t>
            </w:r>
          </w:p>
        </w:tc>
        <w:tc>
          <w:tcPr>
            <w:tcW w:w="500" w:type="pct"/>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政府性基金预算拨款</w:t>
            </w:r>
          </w:p>
        </w:tc>
        <w:tc>
          <w:tcPr>
            <w:tcW w:w="785" w:type="pct"/>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国有资本经营预算拨款</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一、本年收入</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一、本年支出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（一）一般公共预算拨款</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（一）一般公共服务支出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487.2</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487.2</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（二）政府性基金预算拨款</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（二）外交支出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（三）国有资本经营预算拨款</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（三）国防支出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（四）公共安全支出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二、上年结转</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（五）教育支出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（一）一般公共预算拨款</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（六）科学技术支出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（二）政府性基金预算拨款</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（七）文化旅游体育与传媒支出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（三）国有资本经营预算拨款</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（八）社会保障和就业支出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（九）卫生健康支出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112.4</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112.4</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（十）节能环保支出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（十一）城乡社区支出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（十二）农林水支出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1020.9</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1,020.9</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（十三）交通运输支出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（十四）资源勘探信息等事务支出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（十五）商业服务业等事务支出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（十六）金融支出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（十七）援助其他地区支出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（十八）自然资源海洋气象等支出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（十九）住房保障支出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（二十）粮油物资储备支出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（二十一）国有资本经营预算安排的支出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（二十二）灾害防治及应急管理支出</w:t>
            </w:r>
          </w:p>
        </w:tc>
        <w:tc>
          <w:tcPr>
            <w:tcW w:w="701" w:type="pct"/>
            <w:gridSpan w:val="2"/>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（二十三）预备费</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（二十四）其他支出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（二十五）转移性支出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nil"/>
              <w:left w:val="nil"/>
              <w:bottom w:val="nil"/>
              <w:right w:val="nil"/>
            </w:tcBorders>
            <w:noWrap w:val="0"/>
            <w:vAlign w:val="center"/>
          </w:tcPr>
          <w:p>
            <w:pPr>
              <w:widowControl/>
              <w:jc w:val="left"/>
              <w:rPr>
                <w:rFonts w:ascii="宋体" w:hAnsi="宋体" w:cs="Arial"/>
                <w:color w:val="000000"/>
                <w:kern w:val="0"/>
                <w:sz w:val="20"/>
                <w:szCs w:val="20"/>
              </w:rPr>
            </w:pPr>
          </w:p>
        </w:tc>
        <w:tc>
          <w:tcPr>
            <w:tcW w:w="408" w:type="pct"/>
            <w:gridSpan w:val="2"/>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（二十六）债务还本支出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（二十七）债务付息支出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（二十八）债务发行费用支出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shd w:val="clear" w:color="000000" w:fill="FFFFFF"/>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（二十九）抗疫特别国债安排的支出</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　</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897" w:type="pct"/>
            <w:gridSpan w:val="2"/>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二、年终结转结余</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After w:val="1"/>
          <w:wBefore w:w="0" w:type="pct"/>
          <w:wAfter w:w="183" w:type="pct"/>
          <w:trHeight w:val="375" w:hRule="atLeast"/>
        </w:trPr>
        <w:tc>
          <w:tcPr>
            <w:tcW w:w="95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收   入   总   计</w:t>
            </w:r>
          </w:p>
        </w:tc>
        <w:tc>
          <w:tcPr>
            <w:tcW w:w="408"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897" w:type="pct"/>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支　出  总　计</w:t>
            </w:r>
          </w:p>
        </w:tc>
        <w:tc>
          <w:tcPr>
            <w:tcW w:w="701"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576"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500"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785"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315" w:hRule="atLeast"/>
        </w:trPr>
        <w:tc>
          <w:tcPr>
            <w:tcW w:w="4282" w:type="pct"/>
            <w:gridSpan w:val="13"/>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部门公开表5</w:t>
            </w:r>
          </w:p>
        </w:tc>
        <w:tc>
          <w:tcPr>
            <w:tcW w:w="686" w:type="pct"/>
            <w:gridSpan w:val="2"/>
            <w:tcBorders>
              <w:top w:val="nil"/>
              <w:left w:val="nil"/>
              <w:bottom w:val="nil"/>
              <w:right w:val="nil"/>
            </w:tcBorders>
            <w:noWrap w:val="0"/>
            <w:vAlign w:val="center"/>
          </w:tcPr>
          <w:p>
            <w:pPr>
              <w:widowControl/>
              <w:jc w:val="right"/>
              <w:rPr>
                <w:rFonts w:ascii="宋体" w:hAnsi="宋体" w:cs="Arial"/>
                <w:color w:val="000000"/>
                <w:kern w:val="0"/>
                <w:sz w:val="22"/>
              </w:rPr>
            </w:pPr>
          </w:p>
        </w:tc>
      </w:tr>
      <w:tr>
        <w:tblPrEx>
          <w:tblCellMar>
            <w:top w:w="0" w:type="dxa"/>
            <w:left w:w="108" w:type="dxa"/>
            <w:bottom w:w="0" w:type="dxa"/>
            <w:right w:w="108" w:type="dxa"/>
          </w:tblCellMar>
        </w:tblPrEx>
        <w:trPr>
          <w:gridBefore w:val="1"/>
          <w:wBefore w:w="32" w:type="pct"/>
          <w:wAfter w:w="0" w:type="pct"/>
          <w:trHeight w:val="525" w:hRule="atLeast"/>
        </w:trPr>
        <w:tc>
          <w:tcPr>
            <w:tcW w:w="4968" w:type="pct"/>
            <w:gridSpan w:val="15"/>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2024年部门一般公共预算支出表</w:t>
            </w:r>
          </w:p>
        </w:tc>
      </w:tr>
      <w:tr>
        <w:tblPrEx>
          <w:tblCellMar>
            <w:top w:w="0" w:type="dxa"/>
            <w:left w:w="108" w:type="dxa"/>
            <w:bottom w:w="0" w:type="dxa"/>
            <w:right w:w="108" w:type="dxa"/>
          </w:tblCellMar>
        </w:tblPrEx>
        <w:trPr>
          <w:gridBefore w:val="1"/>
          <w:wBefore w:w="32" w:type="pct"/>
          <w:wAfter w:w="0" w:type="pct"/>
          <w:trHeight w:val="360" w:hRule="atLeast"/>
        </w:trPr>
        <w:tc>
          <w:tcPr>
            <w:tcW w:w="2184" w:type="pct"/>
            <w:gridSpan w:val="4"/>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部门名称：206-五河县武桥镇人民政府</w:t>
            </w:r>
          </w:p>
        </w:tc>
        <w:tc>
          <w:tcPr>
            <w:tcW w:w="524" w:type="pct"/>
            <w:gridSpan w:val="2"/>
            <w:tcBorders>
              <w:top w:val="nil"/>
              <w:left w:val="nil"/>
              <w:bottom w:val="nil"/>
              <w:right w:val="nil"/>
            </w:tcBorders>
            <w:noWrap w:val="0"/>
            <w:vAlign w:val="center"/>
          </w:tcPr>
          <w:p>
            <w:pPr>
              <w:widowControl/>
              <w:jc w:val="left"/>
              <w:rPr>
                <w:rFonts w:ascii="宋体" w:hAnsi="宋体" w:cs="Arial"/>
                <w:color w:val="000000"/>
                <w:kern w:val="0"/>
                <w:sz w:val="22"/>
              </w:rPr>
            </w:pPr>
          </w:p>
        </w:tc>
        <w:tc>
          <w:tcPr>
            <w:tcW w:w="526" w:type="pct"/>
            <w:gridSpan w:val="2"/>
            <w:tcBorders>
              <w:top w:val="nil"/>
              <w:left w:val="nil"/>
              <w:bottom w:val="nil"/>
              <w:right w:val="nil"/>
            </w:tcBorders>
            <w:noWrap w:val="0"/>
            <w:vAlign w:val="center"/>
          </w:tcPr>
          <w:p>
            <w:pPr>
              <w:widowControl/>
              <w:jc w:val="left"/>
              <w:rPr>
                <w:rFonts w:ascii="宋体" w:hAnsi="宋体" w:cs="Arial"/>
                <w:color w:val="000000"/>
                <w:kern w:val="0"/>
                <w:sz w:val="22"/>
              </w:rPr>
            </w:pPr>
          </w:p>
        </w:tc>
        <w:tc>
          <w:tcPr>
            <w:tcW w:w="524" w:type="pct"/>
            <w:gridSpan w:val="3"/>
            <w:tcBorders>
              <w:top w:val="nil"/>
              <w:left w:val="nil"/>
              <w:bottom w:val="nil"/>
              <w:right w:val="nil"/>
            </w:tcBorders>
            <w:noWrap w:val="0"/>
            <w:vAlign w:val="center"/>
          </w:tcPr>
          <w:p>
            <w:pPr>
              <w:widowControl/>
              <w:jc w:val="left"/>
              <w:rPr>
                <w:rFonts w:ascii="宋体" w:hAnsi="宋体" w:cs="Arial"/>
                <w:color w:val="000000"/>
                <w:kern w:val="0"/>
                <w:sz w:val="22"/>
              </w:rPr>
            </w:pPr>
          </w:p>
        </w:tc>
        <w:tc>
          <w:tcPr>
            <w:tcW w:w="524" w:type="pct"/>
            <w:gridSpan w:val="2"/>
            <w:tcBorders>
              <w:top w:val="nil"/>
              <w:left w:val="nil"/>
              <w:bottom w:val="nil"/>
              <w:right w:val="nil"/>
            </w:tcBorders>
            <w:noWrap w:val="0"/>
            <w:vAlign w:val="center"/>
          </w:tcPr>
          <w:p>
            <w:pPr>
              <w:widowControl/>
              <w:jc w:val="left"/>
              <w:rPr>
                <w:rFonts w:ascii="宋体" w:hAnsi="宋体" w:cs="Arial"/>
                <w:color w:val="000000"/>
                <w:kern w:val="0"/>
                <w:sz w:val="22"/>
              </w:rPr>
            </w:pPr>
          </w:p>
        </w:tc>
        <w:tc>
          <w:tcPr>
            <w:tcW w:w="686" w:type="pct"/>
            <w:gridSpan w:val="2"/>
            <w:tcBorders>
              <w:top w:val="nil"/>
              <w:left w:val="nil"/>
              <w:bottom w:val="nil"/>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gridBefore w:val="1"/>
          <w:wBefore w:w="32" w:type="pct"/>
          <w:wAfter w:w="0" w:type="pct"/>
          <w:trHeight w:val="375" w:hRule="atLeast"/>
        </w:trPr>
        <w:tc>
          <w:tcPr>
            <w:tcW w:w="918" w:type="pct"/>
            <w:vMerge w:val="restart"/>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1266" w:type="pct"/>
            <w:gridSpan w:val="3"/>
            <w:vMerge w:val="restart"/>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52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574" w:type="pct"/>
            <w:gridSpan w:val="7"/>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686" w:type="pct"/>
            <w:gridSpan w:val="2"/>
            <w:vMerge w:val="restart"/>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gridBefore w:val="1"/>
          <w:wBefore w:w="32" w:type="pct"/>
          <w:wAfter w:w="0" w:type="pct"/>
          <w:trHeight w:val="375" w:hRule="atLeast"/>
        </w:trPr>
        <w:tc>
          <w:tcPr>
            <w:tcW w:w="918" w:type="pct"/>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Arial"/>
                <w:color w:val="000000"/>
                <w:kern w:val="0"/>
                <w:sz w:val="22"/>
              </w:rPr>
            </w:pPr>
          </w:p>
        </w:tc>
        <w:tc>
          <w:tcPr>
            <w:tcW w:w="1266" w:type="pct"/>
            <w:gridSpan w:val="3"/>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Arial"/>
                <w:color w:val="000000"/>
                <w:kern w:val="0"/>
                <w:sz w:val="22"/>
              </w:rPr>
            </w:pPr>
          </w:p>
        </w:tc>
        <w:tc>
          <w:tcPr>
            <w:tcW w:w="52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26" w:type="pct"/>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524" w:type="pct"/>
            <w:gridSpan w:val="3"/>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524" w:type="pct"/>
            <w:gridSpan w:val="2"/>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c>
          <w:tcPr>
            <w:tcW w:w="686" w:type="pct"/>
            <w:gridSpan w:val="2"/>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266"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1,940.2</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1,163.2</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1,021.7</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141.5</w:t>
            </w:r>
          </w:p>
        </w:tc>
        <w:tc>
          <w:tcPr>
            <w:tcW w:w="686" w:type="pct"/>
            <w:gridSpan w:val="2"/>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777.0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201</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一般公共服务支出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487.2</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325.7</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141.5</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20103</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政府办公厅（室）及相关机构事务</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325.7</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141.5</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2010301</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行政运行</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467.2</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325.7</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141.5</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20113</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商贸事务</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2011308</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招商引资</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208</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社会保障和就业支出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行政事业单位养老支出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182.0</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2080501</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行政单位离退休</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50.3</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50.3</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50.3</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2080502</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事业单位离退休</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0.7</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0.7</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0.7</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2080505</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机关事业单位基本养老保险缴费支出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77.3</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77.3</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77.3</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2080506</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机关事业单位职业年金缴费支出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53.7</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53.7</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53.7</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210</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卫生健康支出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112.4</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21007</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计划生育事务</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2100799</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其他计划生育事务支出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21011</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行政事业单位医疗</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52.4</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2101101</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行政单位医疗</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28.8</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28.8</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28.8</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2101102</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事业单位医疗</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23.6</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213</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农林水支出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1,020.9</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677.0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农业农村</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589.9</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246.0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2130104</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事业运行</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343.9</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2130122</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农业生产发展</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2130199</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其他农业农村支出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226.0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226.0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21305</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巩固脱贫攻坚成果衔接乡村振兴</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2130599</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其他巩固脱贫攻坚成果衔接乡村振兴支出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21307</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农村综合改革</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2130705</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对村民委员会和村党支部的补助</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221</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住房保障支出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住房改革支出</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117.7</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2210201</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住房公积金</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74.1</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74.1</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74.1</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2210202</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提租补贴</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43.6</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227</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预备费</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r>
      <w:tr>
        <w:tblPrEx>
          <w:tblCellMar>
            <w:top w:w="0" w:type="dxa"/>
            <w:left w:w="108" w:type="dxa"/>
            <w:bottom w:w="0" w:type="dxa"/>
            <w:right w:w="108" w:type="dxa"/>
          </w:tblCellMar>
        </w:tblPrEx>
        <w:trPr>
          <w:gridBefore w:val="1"/>
          <w:wBefore w:w="32" w:type="pct"/>
          <w:wAfter w:w="0" w:type="pct"/>
          <w:trHeight w:val="540" w:hRule="atLeast"/>
        </w:trPr>
        <w:tc>
          <w:tcPr>
            <w:tcW w:w="918" w:type="pct"/>
            <w:tcBorders>
              <w:top w:val="nil"/>
              <w:left w:val="single" w:color="000000" w:sz="4" w:space="0"/>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227</w:t>
            </w:r>
          </w:p>
        </w:tc>
        <w:tc>
          <w:tcPr>
            <w:tcW w:w="1266" w:type="pct"/>
            <w:gridSpan w:val="3"/>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预备费</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52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3"/>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4"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6" w:type="pct"/>
            <w:gridSpan w:val="2"/>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r>
    </w:tbl>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tbl>
      <w:tblPr>
        <w:tblStyle w:val="8"/>
        <w:tblW w:w="0" w:type="auto"/>
        <w:tblInd w:w="0" w:type="dxa"/>
        <w:tblLayout w:type="fixed"/>
        <w:tblCellMar>
          <w:top w:w="0" w:type="dxa"/>
          <w:left w:w="108" w:type="dxa"/>
          <w:bottom w:w="0" w:type="dxa"/>
          <w:right w:w="108" w:type="dxa"/>
        </w:tblCellMar>
      </w:tblPr>
      <w:tblGrid>
        <w:gridCol w:w="1950"/>
        <w:gridCol w:w="4451"/>
        <w:gridCol w:w="2591"/>
        <w:gridCol w:w="2591"/>
        <w:gridCol w:w="2591"/>
      </w:tblGrid>
      <w:tr>
        <w:tblPrEx>
          <w:tblCellMar>
            <w:top w:w="0" w:type="dxa"/>
            <w:left w:w="108" w:type="dxa"/>
            <w:bottom w:w="0" w:type="dxa"/>
            <w:right w:w="108" w:type="dxa"/>
          </w:tblCellMar>
        </w:tblPrEx>
        <w:trPr>
          <w:wBefore w:w="0" w:type="dxa"/>
          <w:wAfter w:w="0" w:type="dxa"/>
          <w:trHeight w:val="270" w:hRule="atLeast"/>
        </w:trPr>
        <w:tc>
          <w:tcPr>
            <w:tcW w:w="1950" w:type="dxa"/>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部门公开表6</w:t>
            </w:r>
          </w:p>
        </w:tc>
        <w:tc>
          <w:tcPr>
            <w:tcW w:w="4451"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2591"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2591"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2591" w:type="dxa"/>
            <w:tcBorders>
              <w:top w:val="nil"/>
              <w:left w:val="nil"/>
              <w:bottom w:val="nil"/>
              <w:right w:val="nil"/>
            </w:tcBorders>
            <w:noWrap w:val="0"/>
            <w:vAlign w:val="center"/>
          </w:tcPr>
          <w:p>
            <w:pPr>
              <w:widowControl/>
              <w:jc w:val="right"/>
              <w:rPr>
                <w:rFonts w:ascii="宋体" w:hAnsi="宋体" w:cs="Arial"/>
                <w:color w:val="000000"/>
                <w:kern w:val="0"/>
                <w:sz w:val="22"/>
              </w:rPr>
            </w:pPr>
          </w:p>
        </w:tc>
      </w:tr>
      <w:tr>
        <w:tblPrEx>
          <w:tblCellMar>
            <w:top w:w="0" w:type="dxa"/>
            <w:left w:w="108" w:type="dxa"/>
            <w:bottom w:w="0" w:type="dxa"/>
            <w:right w:w="108" w:type="dxa"/>
          </w:tblCellMar>
        </w:tblPrEx>
        <w:trPr>
          <w:wBefore w:w="0" w:type="dxa"/>
          <w:wAfter w:w="0" w:type="dxa"/>
          <w:trHeight w:val="645" w:hRule="atLeast"/>
        </w:trPr>
        <w:tc>
          <w:tcPr>
            <w:tcW w:w="14174" w:type="dxa"/>
            <w:gridSpan w:val="5"/>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2024年部门一般公共预算基本支出表</w:t>
            </w:r>
          </w:p>
        </w:tc>
      </w:tr>
      <w:tr>
        <w:tblPrEx>
          <w:tblCellMar>
            <w:top w:w="0" w:type="dxa"/>
            <w:left w:w="108" w:type="dxa"/>
            <w:bottom w:w="0" w:type="dxa"/>
            <w:right w:w="108" w:type="dxa"/>
          </w:tblCellMar>
        </w:tblPrEx>
        <w:trPr>
          <w:wBefore w:w="0" w:type="dxa"/>
          <w:wAfter w:w="0" w:type="dxa"/>
          <w:trHeight w:val="360" w:hRule="atLeast"/>
        </w:trPr>
        <w:tc>
          <w:tcPr>
            <w:tcW w:w="6401" w:type="dxa"/>
            <w:gridSpan w:val="2"/>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部门名称：206-五河县武桥镇人民政府</w:t>
            </w:r>
          </w:p>
        </w:tc>
        <w:tc>
          <w:tcPr>
            <w:tcW w:w="259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91"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91" w:type="dxa"/>
            <w:tcBorders>
              <w:top w:val="nil"/>
              <w:left w:val="nil"/>
              <w:bottom w:val="nil"/>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wBefore w:w="0" w:type="dxa"/>
          <w:wAfter w:w="0" w:type="dxa"/>
          <w:trHeight w:val="420" w:hRule="atLeast"/>
        </w:trPr>
        <w:tc>
          <w:tcPr>
            <w:tcW w:w="64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单位预算支出经济分类科目</w:t>
            </w:r>
          </w:p>
        </w:tc>
        <w:tc>
          <w:tcPr>
            <w:tcW w:w="7773"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本年一般公共预算基本支出</w:t>
            </w:r>
          </w:p>
        </w:tc>
      </w:tr>
      <w:tr>
        <w:tblPrEx>
          <w:tblCellMar>
            <w:top w:w="0" w:type="dxa"/>
            <w:left w:w="108" w:type="dxa"/>
            <w:bottom w:w="0" w:type="dxa"/>
            <w:right w:w="108" w:type="dxa"/>
          </w:tblCellMar>
        </w:tblPrEx>
        <w:trPr>
          <w:wBefore w:w="0" w:type="dxa"/>
          <w:wAfter w:w="0" w:type="dxa"/>
          <w:trHeight w:val="420"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445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259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259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259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1,163.2</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1,021.7</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141.5</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301</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工资福利支出</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1,000.6</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1,000.6</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30101</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基本工资</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215.7</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215.7</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30102</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津贴补贴</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352.3</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352.3</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30103</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奖金</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9.2</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9.2</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30107</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绩效工资</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54.0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54.0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30108</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机关事业单位基本养老保险缴费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77.3</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77.3</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30109</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职业年金缴费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53.7</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53.7</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30110</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职工基本医疗保险缴费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40.6</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40.6</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30111</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公务员医疗补助缴费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9.7</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9.7</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30112</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其他社会保障缴费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30113</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住房公积金</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74.1</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74.1</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30199</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其他工资福利支出</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112.0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302</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商品和服务支出</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151.1</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9.6</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141.5</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30201</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办公费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30202</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印刷费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30203</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咨询费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30205</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水费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30206</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电费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30207</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邮电费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30211</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差旅费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30213</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维修（护）费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30215</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会议费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3.0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30216</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培训费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30217</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公务接待费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30228</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工会经费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20.3</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2.3</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30229</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福利费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7.3</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7.3</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30231</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公务用车运行维护费</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30239</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其他交通费用</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29.5</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29.5</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30240</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税金及附加费用</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303</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对个人和家庭的补助</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11.5</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11.5</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30305</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生活补助</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9.3</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9.3</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30307</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医疗费补助</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2.1</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95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30399</w:t>
            </w:r>
          </w:p>
        </w:tc>
        <w:tc>
          <w:tcPr>
            <w:tcW w:w="4451"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其他对个人和家庭的补助</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w:t>
            </w:r>
          </w:p>
        </w:tc>
        <w:tc>
          <w:tcPr>
            <w:tcW w:w="259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kern w:val="0"/>
          <w:sz w:val="20"/>
          <w:szCs w:val="20"/>
        </w:rPr>
      </w:pPr>
      <w:r>
        <w:fldChar w:fldCharType="begin"/>
      </w:r>
      <w:r>
        <w:instrText xml:space="preserve"> </w:instrText>
      </w:r>
      <w:r>
        <w:rPr>
          <w:rFonts w:hint="eastAsia"/>
        </w:rPr>
        <w:instrText xml:space="preserve">LINK Excel.Sheet.8 "C:\\Users\\WQCZS\\Desktop\\账务\\15部门预算公开表_2024-02-23.xls" "政府性基金!R1C1:R7C5" \a \f 4 \h</w:instrText>
      </w:r>
      <w:r>
        <w:instrText xml:space="preserve"> </w:instrText>
      </w:r>
      <w:bookmarkStart w:id="9" w:name="_1770206380"/>
      <w:bookmarkEnd w:id="9"/>
      <w:bookmarkStart w:id="10" w:name="_1770206735"/>
      <w:bookmarkEnd w:id="10"/>
      <w:bookmarkStart w:id="11" w:name="_1770212451"/>
      <w:bookmarkEnd w:id="11"/>
      <w:r>
        <w:fldChar w:fldCharType="separate"/>
      </w:r>
    </w:p>
    <w:tbl>
      <w:tblPr>
        <w:tblStyle w:val="8"/>
        <w:tblW w:w="0" w:type="auto"/>
        <w:tblInd w:w="108" w:type="dxa"/>
        <w:tblLayout w:type="fixed"/>
        <w:tblCellMar>
          <w:top w:w="0" w:type="dxa"/>
          <w:left w:w="108" w:type="dxa"/>
          <w:bottom w:w="0" w:type="dxa"/>
          <w:right w:w="108" w:type="dxa"/>
        </w:tblCellMar>
      </w:tblPr>
      <w:tblGrid>
        <w:gridCol w:w="1480"/>
        <w:gridCol w:w="4720"/>
        <w:gridCol w:w="2520"/>
        <w:gridCol w:w="2440"/>
        <w:gridCol w:w="2440"/>
      </w:tblGrid>
      <w:tr>
        <w:tblPrEx>
          <w:tblCellMar>
            <w:top w:w="0" w:type="dxa"/>
            <w:left w:w="108" w:type="dxa"/>
            <w:bottom w:w="0" w:type="dxa"/>
            <w:right w:w="108" w:type="dxa"/>
          </w:tblCellMar>
        </w:tblPrEx>
        <w:trPr>
          <w:wBefore w:w="0" w:type="dxa"/>
          <w:wAfter w:w="0" w:type="dxa"/>
          <w:trHeight w:val="315" w:hRule="atLeast"/>
        </w:trPr>
        <w:tc>
          <w:tcPr>
            <w:tcW w:w="11160" w:type="dxa"/>
            <w:gridSpan w:val="4"/>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部门公开表7</w:t>
            </w:r>
          </w:p>
        </w:tc>
        <w:tc>
          <w:tcPr>
            <w:tcW w:w="2440" w:type="dxa"/>
            <w:tcBorders>
              <w:top w:val="nil"/>
              <w:left w:val="nil"/>
              <w:bottom w:val="nil"/>
              <w:right w:val="nil"/>
            </w:tcBorders>
            <w:noWrap w:val="0"/>
            <w:vAlign w:val="center"/>
          </w:tcPr>
          <w:p>
            <w:pPr>
              <w:widowControl/>
              <w:jc w:val="right"/>
              <w:rPr>
                <w:rFonts w:ascii="宋体" w:hAnsi="宋体" w:cs="Arial"/>
                <w:color w:val="000000"/>
                <w:kern w:val="0"/>
                <w:sz w:val="22"/>
              </w:rPr>
            </w:pPr>
          </w:p>
        </w:tc>
      </w:tr>
      <w:tr>
        <w:tblPrEx>
          <w:tblCellMar>
            <w:top w:w="0" w:type="dxa"/>
            <w:left w:w="108" w:type="dxa"/>
            <w:bottom w:w="0" w:type="dxa"/>
            <w:right w:w="108" w:type="dxa"/>
          </w:tblCellMar>
        </w:tblPrEx>
        <w:trPr>
          <w:wBefore w:w="0" w:type="dxa"/>
          <w:wAfter w:w="0" w:type="dxa"/>
          <w:trHeight w:val="795" w:hRule="atLeast"/>
        </w:trPr>
        <w:tc>
          <w:tcPr>
            <w:tcW w:w="13600" w:type="dxa"/>
            <w:gridSpan w:val="5"/>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2024年部门政府性基金预算支出表</w:t>
            </w:r>
          </w:p>
        </w:tc>
      </w:tr>
      <w:tr>
        <w:tblPrEx>
          <w:tblCellMar>
            <w:top w:w="0" w:type="dxa"/>
            <w:left w:w="108" w:type="dxa"/>
            <w:bottom w:w="0" w:type="dxa"/>
            <w:right w:w="108" w:type="dxa"/>
          </w:tblCellMar>
        </w:tblPrEx>
        <w:trPr>
          <w:wBefore w:w="0" w:type="dxa"/>
          <w:wAfter w:w="0" w:type="dxa"/>
          <w:trHeight w:val="360" w:hRule="atLeast"/>
        </w:trPr>
        <w:tc>
          <w:tcPr>
            <w:tcW w:w="6200" w:type="dxa"/>
            <w:gridSpan w:val="2"/>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部门名称:206-五河县武桥镇人民政府</w:t>
            </w:r>
          </w:p>
        </w:tc>
        <w:tc>
          <w:tcPr>
            <w:tcW w:w="2520"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440"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440" w:type="dxa"/>
            <w:tcBorders>
              <w:top w:val="nil"/>
              <w:left w:val="nil"/>
              <w:bottom w:val="nil"/>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wBefore w:w="0" w:type="dxa"/>
          <w:wAfter w:w="0" w:type="dxa"/>
          <w:trHeight w:val="525" w:hRule="atLeast"/>
        </w:trPr>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47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740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本年政府性基金预算支出</w:t>
            </w:r>
          </w:p>
        </w:tc>
      </w:tr>
      <w:tr>
        <w:tblPrEx>
          <w:tblCellMar>
            <w:top w:w="0" w:type="dxa"/>
            <w:left w:w="108" w:type="dxa"/>
            <w:bottom w:w="0" w:type="dxa"/>
            <w:right w:w="108" w:type="dxa"/>
          </w:tblCellMar>
        </w:tblPrEx>
        <w:trPr>
          <w:wBefore w:w="0" w:type="dxa"/>
          <w:wAfter w:w="0" w:type="dxa"/>
          <w:trHeight w:val="525" w:hRule="atLeast"/>
        </w:trPr>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47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2520" w:type="dxa"/>
            <w:tcBorders>
              <w:top w:val="nil"/>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2440" w:type="dxa"/>
            <w:tcBorders>
              <w:top w:val="nil"/>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440" w:type="dxa"/>
            <w:tcBorders>
              <w:top w:val="nil"/>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wBefore w:w="0" w:type="dxa"/>
          <w:wAfter w:w="0" w:type="dxa"/>
          <w:trHeight w:val="510" w:hRule="atLeast"/>
        </w:trPr>
        <w:tc>
          <w:tcPr>
            <w:tcW w:w="1480"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4720" w:type="dxa"/>
            <w:tcBorders>
              <w:top w:val="single" w:color="auto" w:sz="4" w:space="0"/>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2520" w:type="dxa"/>
            <w:tcBorders>
              <w:top w:val="single" w:color="auto" w:sz="4" w:space="0"/>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2440" w:type="dxa"/>
            <w:tcBorders>
              <w:top w:val="single" w:color="auto" w:sz="4" w:space="0"/>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2440" w:type="dxa"/>
            <w:tcBorders>
              <w:top w:val="single" w:color="auto" w:sz="4" w:space="0"/>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r>
      <w:tr>
        <w:tblPrEx>
          <w:tblCellMar>
            <w:top w:w="0" w:type="dxa"/>
            <w:left w:w="108" w:type="dxa"/>
            <w:bottom w:w="0" w:type="dxa"/>
            <w:right w:w="108" w:type="dxa"/>
          </w:tblCellMar>
        </w:tblPrEx>
        <w:trPr>
          <w:wBefore w:w="0" w:type="dxa"/>
          <w:wAfter w:w="0" w:type="dxa"/>
          <w:trHeight w:val="540" w:hRule="atLeast"/>
        </w:trPr>
        <w:tc>
          <w:tcPr>
            <w:tcW w:w="11160" w:type="dxa"/>
            <w:gridSpan w:val="4"/>
            <w:tcBorders>
              <w:top w:val="nil"/>
              <w:left w:val="nil"/>
              <w:bottom w:val="nil"/>
              <w:right w:val="nil"/>
            </w:tcBorders>
            <w:noWrap w:val="0"/>
            <w:vAlign w:val="bottom"/>
          </w:tcPr>
          <w:p>
            <w:pPr>
              <w:widowControl/>
              <w:jc w:val="left"/>
              <w:rPr>
                <w:rFonts w:ascii="楷体_GB2312" w:hAnsi="Arial" w:eastAsia="楷体_GB2312" w:cs="Arial"/>
                <w:color w:val="000000"/>
                <w:kern w:val="0"/>
                <w:sz w:val="24"/>
                <w:szCs w:val="24"/>
              </w:rPr>
            </w:pPr>
            <w:r>
              <w:rPr>
                <w:rFonts w:hint="eastAsia" w:ascii="楷体_GB2312" w:hAnsi="Arial" w:eastAsia="楷体_GB2312" w:cs="Arial"/>
                <w:color w:val="000000"/>
                <w:kern w:val="0"/>
                <w:sz w:val="24"/>
                <w:szCs w:val="24"/>
              </w:rPr>
              <w:t>五河</w:t>
            </w:r>
            <w:r>
              <w:rPr>
                <w:rFonts w:hint="eastAsia" w:ascii="宋体" w:hAnsi="宋体" w:cs="Arial"/>
                <w:color w:val="000000"/>
                <w:kern w:val="0"/>
                <w:sz w:val="24"/>
                <w:szCs w:val="24"/>
              </w:rPr>
              <w:t>县</w:t>
            </w:r>
            <w:r>
              <w:rPr>
                <w:rFonts w:hint="eastAsia" w:ascii="楷体_GB2312" w:hAnsi="Arial" w:eastAsia="楷体_GB2312" w:cs="Arial"/>
                <w:color w:val="000000"/>
                <w:kern w:val="0"/>
                <w:sz w:val="24"/>
                <w:szCs w:val="24"/>
              </w:rPr>
              <w:t>武</w:t>
            </w:r>
            <w:r>
              <w:rPr>
                <w:rFonts w:hint="eastAsia" w:ascii="宋体" w:hAnsi="宋体" w:cs="Arial"/>
                <w:color w:val="000000"/>
                <w:kern w:val="0"/>
                <w:sz w:val="24"/>
                <w:szCs w:val="24"/>
              </w:rPr>
              <w:t>桥镇</w:t>
            </w:r>
            <w:r>
              <w:rPr>
                <w:rFonts w:hint="eastAsia" w:ascii="楷体_GB2312" w:hAnsi="Arial" w:eastAsia="楷体_GB2312" w:cs="Arial"/>
                <w:color w:val="000000"/>
                <w:kern w:val="0"/>
                <w:sz w:val="24"/>
                <w:szCs w:val="24"/>
              </w:rPr>
              <w:t>人民政府部</w:t>
            </w:r>
            <w:r>
              <w:rPr>
                <w:rFonts w:hint="eastAsia" w:ascii="宋体" w:hAnsi="宋体" w:cs="Arial"/>
                <w:color w:val="000000"/>
                <w:kern w:val="0"/>
                <w:sz w:val="24"/>
                <w:szCs w:val="24"/>
              </w:rPr>
              <w:t>门没</w:t>
            </w:r>
            <w:r>
              <w:rPr>
                <w:rFonts w:hint="eastAsia" w:ascii="楷体_GB2312" w:hAnsi="Arial" w:eastAsia="楷体_GB2312" w:cs="Arial"/>
                <w:color w:val="000000"/>
                <w:kern w:val="0"/>
                <w:sz w:val="24"/>
                <w:szCs w:val="24"/>
              </w:rPr>
              <w:t>有政府性基金</w:t>
            </w:r>
            <w:r>
              <w:rPr>
                <w:rFonts w:hint="eastAsia" w:ascii="宋体" w:hAnsi="宋体" w:cs="Arial"/>
                <w:color w:val="000000"/>
                <w:kern w:val="0"/>
                <w:sz w:val="24"/>
                <w:szCs w:val="24"/>
              </w:rPr>
              <w:t>预</w:t>
            </w:r>
            <w:r>
              <w:rPr>
                <w:rFonts w:hint="eastAsia" w:ascii="楷体_GB2312" w:hAnsi="Arial" w:eastAsia="楷体_GB2312" w:cs="Arial"/>
                <w:color w:val="000000"/>
                <w:kern w:val="0"/>
                <w:sz w:val="24"/>
                <w:szCs w:val="24"/>
              </w:rPr>
              <w:t>算</w:t>
            </w:r>
            <w:r>
              <w:rPr>
                <w:rFonts w:hint="eastAsia" w:ascii="宋体" w:hAnsi="宋体" w:cs="Arial"/>
                <w:color w:val="000000"/>
                <w:kern w:val="0"/>
                <w:sz w:val="24"/>
                <w:szCs w:val="24"/>
              </w:rPr>
              <w:t>拨</w:t>
            </w:r>
            <w:r>
              <w:rPr>
                <w:rFonts w:hint="eastAsia" w:ascii="楷体_GB2312" w:hAnsi="Arial" w:eastAsia="楷体_GB2312" w:cs="Arial"/>
                <w:color w:val="000000"/>
                <w:kern w:val="0"/>
                <w:sz w:val="24"/>
                <w:szCs w:val="24"/>
              </w:rPr>
              <w:t>款收入，也</w:t>
            </w:r>
            <w:r>
              <w:rPr>
                <w:rFonts w:hint="eastAsia" w:ascii="宋体" w:hAnsi="宋体" w:cs="Arial"/>
                <w:color w:val="000000"/>
                <w:kern w:val="0"/>
                <w:sz w:val="24"/>
                <w:szCs w:val="24"/>
              </w:rPr>
              <w:t>没</w:t>
            </w:r>
            <w:r>
              <w:rPr>
                <w:rFonts w:hint="eastAsia" w:ascii="楷体_GB2312" w:hAnsi="Arial" w:eastAsia="楷体_GB2312" w:cs="Arial"/>
                <w:color w:val="000000"/>
                <w:kern w:val="0"/>
                <w:sz w:val="24"/>
                <w:szCs w:val="24"/>
              </w:rPr>
              <w:t>有政府性基金</w:t>
            </w:r>
            <w:r>
              <w:rPr>
                <w:rFonts w:hint="eastAsia" w:ascii="宋体" w:hAnsi="宋体" w:cs="Arial"/>
                <w:color w:val="000000"/>
                <w:kern w:val="0"/>
                <w:sz w:val="24"/>
                <w:szCs w:val="24"/>
              </w:rPr>
              <w:t>预</w:t>
            </w:r>
            <w:r>
              <w:rPr>
                <w:rFonts w:hint="eastAsia" w:ascii="楷体_GB2312" w:hAnsi="Arial" w:eastAsia="楷体_GB2312" w:cs="Arial"/>
                <w:color w:val="000000"/>
                <w:kern w:val="0"/>
                <w:sz w:val="24"/>
                <w:szCs w:val="24"/>
              </w:rPr>
              <w:t>算支出，故本表</w:t>
            </w:r>
            <w:r>
              <w:rPr>
                <w:rFonts w:hint="eastAsia" w:ascii="宋体" w:hAnsi="宋体" w:cs="Arial"/>
                <w:color w:val="000000"/>
                <w:kern w:val="0"/>
                <w:sz w:val="24"/>
                <w:szCs w:val="24"/>
              </w:rPr>
              <w:t>无数</w:t>
            </w:r>
            <w:r>
              <w:rPr>
                <w:rFonts w:hint="eastAsia" w:ascii="楷体_GB2312" w:hAnsi="Arial" w:eastAsia="楷体_GB2312" w:cs="Arial"/>
                <w:color w:val="000000"/>
                <w:kern w:val="0"/>
                <w:sz w:val="24"/>
                <w:szCs w:val="24"/>
              </w:rPr>
              <w:t>据</w:t>
            </w:r>
          </w:p>
        </w:tc>
        <w:tc>
          <w:tcPr>
            <w:tcW w:w="2440" w:type="dxa"/>
            <w:tcBorders>
              <w:top w:val="nil"/>
              <w:left w:val="nil"/>
              <w:bottom w:val="nil"/>
              <w:right w:val="nil"/>
            </w:tcBorders>
            <w:noWrap w:val="0"/>
            <w:vAlign w:val="bottom"/>
          </w:tcPr>
          <w:p>
            <w:pPr>
              <w:widowControl/>
              <w:jc w:val="left"/>
              <w:rPr>
                <w:rFonts w:ascii="Calibri" w:hAnsi="Calibri" w:cs="Calibri"/>
                <w:color w:val="000000"/>
                <w:kern w:val="0"/>
                <w:sz w:val="22"/>
              </w:rPr>
            </w:pPr>
          </w:p>
        </w:tc>
      </w:tr>
    </w:tbl>
    <w:p>
      <w:pPr>
        <w:autoSpaceDE w:val="0"/>
        <w:autoSpaceDN w:val="0"/>
        <w:adjustRightInd w:val="0"/>
        <w:spacing w:line="560" w:lineRule="exact"/>
        <w:rPr>
          <w:rFonts w:hint="eastAsia" w:ascii="方正黑体_GBK" w:hAnsi="方正黑体_GBK" w:eastAsia="方正黑体_GBK" w:cs="方正黑体_GBK"/>
          <w:sz w:val="32"/>
          <w:szCs w:val="32"/>
        </w:rPr>
      </w:pPr>
      <w:r>
        <w:rPr>
          <w:rFonts w:ascii="方正黑体_GBK" w:hAnsi="方正黑体_GBK" w:eastAsia="方正黑体_GBK" w:cs="方正黑体_GBK"/>
          <w:sz w:val="32"/>
          <w:szCs w:val="32"/>
        </w:rPr>
        <w:fldChar w:fldCharType="end"/>
      </w: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tbl>
      <w:tblPr>
        <w:tblStyle w:val="8"/>
        <w:tblW w:w="0" w:type="auto"/>
        <w:tblInd w:w="0" w:type="dxa"/>
        <w:tblLayout w:type="fixed"/>
        <w:tblCellMar>
          <w:top w:w="0" w:type="dxa"/>
          <w:left w:w="108" w:type="dxa"/>
          <w:bottom w:w="0" w:type="dxa"/>
          <w:right w:w="108" w:type="dxa"/>
        </w:tblCellMar>
      </w:tblPr>
      <w:tblGrid>
        <w:gridCol w:w="4016"/>
        <w:gridCol w:w="1443"/>
        <w:gridCol w:w="2529"/>
        <w:gridCol w:w="1174"/>
        <w:gridCol w:w="2506"/>
        <w:gridCol w:w="2506"/>
      </w:tblGrid>
      <w:tr>
        <w:tblPrEx>
          <w:tblCellMar>
            <w:top w:w="0" w:type="dxa"/>
            <w:left w:w="108" w:type="dxa"/>
            <w:bottom w:w="0" w:type="dxa"/>
            <w:right w:w="108" w:type="dxa"/>
          </w:tblCellMar>
        </w:tblPrEx>
        <w:trPr>
          <w:wBefore w:w="0" w:type="dxa"/>
          <w:wAfter w:w="0" w:type="dxa"/>
          <w:trHeight w:val="345" w:hRule="atLeast"/>
        </w:trPr>
        <w:tc>
          <w:tcPr>
            <w:tcW w:w="9162" w:type="dxa"/>
            <w:gridSpan w:val="4"/>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部门公开表8</w:t>
            </w:r>
          </w:p>
        </w:tc>
        <w:tc>
          <w:tcPr>
            <w:tcW w:w="2506"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2506" w:type="dxa"/>
            <w:tcBorders>
              <w:top w:val="nil"/>
              <w:left w:val="nil"/>
              <w:bottom w:val="nil"/>
              <w:right w:val="nil"/>
            </w:tcBorders>
            <w:noWrap w:val="0"/>
            <w:vAlign w:val="bottom"/>
          </w:tcPr>
          <w:p>
            <w:pPr>
              <w:widowControl/>
              <w:jc w:val="left"/>
              <w:rPr>
                <w:rFonts w:ascii="Calibri" w:hAnsi="Calibri" w:cs="Calibri"/>
                <w:color w:val="000000"/>
                <w:kern w:val="0"/>
                <w:sz w:val="22"/>
              </w:rPr>
            </w:pPr>
          </w:p>
        </w:tc>
      </w:tr>
      <w:tr>
        <w:tblPrEx>
          <w:tblCellMar>
            <w:top w:w="0" w:type="dxa"/>
            <w:left w:w="108" w:type="dxa"/>
            <w:bottom w:w="0" w:type="dxa"/>
            <w:right w:w="108" w:type="dxa"/>
          </w:tblCellMar>
        </w:tblPrEx>
        <w:trPr>
          <w:wBefore w:w="0" w:type="dxa"/>
          <w:wAfter w:w="0" w:type="dxa"/>
          <w:trHeight w:val="900" w:hRule="atLeast"/>
        </w:trPr>
        <w:tc>
          <w:tcPr>
            <w:tcW w:w="14174" w:type="dxa"/>
            <w:gridSpan w:val="6"/>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2024年部门国有资本经营预算支出预算表</w:t>
            </w:r>
          </w:p>
        </w:tc>
      </w:tr>
      <w:tr>
        <w:tblPrEx>
          <w:tblCellMar>
            <w:top w:w="0" w:type="dxa"/>
            <w:left w:w="108" w:type="dxa"/>
            <w:bottom w:w="0" w:type="dxa"/>
            <w:right w:w="108" w:type="dxa"/>
          </w:tblCellMar>
        </w:tblPrEx>
        <w:trPr>
          <w:wBefore w:w="0" w:type="dxa"/>
          <w:wAfter w:w="0" w:type="dxa"/>
          <w:trHeight w:val="390" w:hRule="atLeast"/>
        </w:trPr>
        <w:tc>
          <w:tcPr>
            <w:tcW w:w="4016" w:type="dxa"/>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部门名称：206-五河县武桥镇人民政府</w:t>
            </w:r>
          </w:p>
        </w:tc>
        <w:tc>
          <w:tcPr>
            <w:tcW w:w="1443"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29"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3680" w:type="dxa"/>
            <w:gridSpan w:val="2"/>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06" w:type="dxa"/>
            <w:tcBorders>
              <w:top w:val="nil"/>
              <w:left w:val="nil"/>
              <w:bottom w:val="single" w:color="000000" w:sz="4" w:space="0"/>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wBefore w:w="0" w:type="dxa"/>
          <w:wAfter w:w="0" w:type="dxa"/>
          <w:trHeight w:val="525" w:hRule="atLeast"/>
        </w:trPr>
        <w:tc>
          <w:tcPr>
            <w:tcW w:w="54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529"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618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本年国有资本经营预算拨款支出</w:t>
            </w:r>
          </w:p>
        </w:tc>
      </w:tr>
      <w:tr>
        <w:tblPrEx>
          <w:tblCellMar>
            <w:top w:w="0" w:type="dxa"/>
            <w:left w:w="108" w:type="dxa"/>
            <w:bottom w:w="0" w:type="dxa"/>
            <w:right w:w="108" w:type="dxa"/>
          </w:tblCellMar>
        </w:tblPrEx>
        <w:trPr>
          <w:wBefore w:w="0" w:type="dxa"/>
          <w:wAfter w:w="0" w:type="dxa"/>
          <w:trHeight w:val="630" w:hRule="atLeast"/>
        </w:trPr>
        <w:tc>
          <w:tcPr>
            <w:tcW w:w="545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252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1174"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250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50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wBefore w:w="0" w:type="dxa"/>
          <w:wAfter w:w="0" w:type="dxa"/>
          <w:trHeight w:val="465" w:hRule="atLeast"/>
        </w:trPr>
        <w:tc>
          <w:tcPr>
            <w:tcW w:w="54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2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c>
          <w:tcPr>
            <w:tcW w:w="1174"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　</w:t>
            </w:r>
          </w:p>
        </w:tc>
        <w:tc>
          <w:tcPr>
            <w:tcW w:w="250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　</w:t>
            </w:r>
          </w:p>
        </w:tc>
        <w:tc>
          <w:tcPr>
            <w:tcW w:w="2506"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　</w:t>
            </w:r>
          </w:p>
        </w:tc>
      </w:tr>
      <w:tr>
        <w:tblPrEx>
          <w:tblCellMar>
            <w:top w:w="0" w:type="dxa"/>
            <w:left w:w="108" w:type="dxa"/>
            <w:bottom w:w="0" w:type="dxa"/>
            <w:right w:w="108" w:type="dxa"/>
          </w:tblCellMar>
        </w:tblPrEx>
        <w:trPr>
          <w:wBefore w:w="0" w:type="dxa"/>
          <w:wAfter w:w="0" w:type="dxa"/>
          <w:trHeight w:val="465" w:hRule="atLeast"/>
        </w:trPr>
        <w:tc>
          <w:tcPr>
            <w:tcW w:w="54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2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74"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0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50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465" w:hRule="atLeast"/>
        </w:trPr>
        <w:tc>
          <w:tcPr>
            <w:tcW w:w="54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2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74"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c>
          <w:tcPr>
            <w:tcW w:w="250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c>
          <w:tcPr>
            <w:tcW w:w="250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r>
      <w:tr>
        <w:tblPrEx>
          <w:tblCellMar>
            <w:top w:w="0" w:type="dxa"/>
            <w:left w:w="108" w:type="dxa"/>
            <w:bottom w:w="0" w:type="dxa"/>
            <w:right w:w="108" w:type="dxa"/>
          </w:tblCellMar>
        </w:tblPrEx>
        <w:trPr>
          <w:wBefore w:w="0" w:type="dxa"/>
          <w:wAfter w:w="0" w:type="dxa"/>
          <w:trHeight w:val="465" w:hRule="atLeast"/>
        </w:trPr>
        <w:tc>
          <w:tcPr>
            <w:tcW w:w="54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2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74"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c>
          <w:tcPr>
            <w:tcW w:w="250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c>
          <w:tcPr>
            <w:tcW w:w="250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r>
      <w:tr>
        <w:tblPrEx>
          <w:tblCellMar>
            <w:top w:w="0" w:type="dxa"/>
            <w:left w:w="108" w:type="dxa"/>
            <w:bottom w:w="0" w:type="dxa"/>
            <w:right w:w="108" w:type="dxa"/>
          </w:tblCellMar>
        </w:tblPrEx>
        <w:trPr>
          <w:wBefore w:w="0" w:type="dxa"/>
          <w:wAfter w:w="0" w:type="dxa"/>
          <w:trHeight w:val="465" w:hRule="atLeast"/>
        </w:trPr>
        <w:tc>
          <w:tcPr>
            <w:tcW w:w="54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2529"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74"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c>
          <w:tcPr>
            <w:tcW w:w="250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c>
          <w:tcPr>
            <w:tcW w:w="250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r>
      <w:tr>
        <w:tblPrEx>
          <w:tblCellMar>
            <w:top w:w="0" w:type="dxa"/>
            <w:left w:w="108" w:type="dxa"/>
            <w:bottom w:w="0" w:type="dxa"/>
            <w:right w:w="108" w:type="dxa"/>
          </w:tblCellMar>
        </w:tblPrEx>
        <w:trPr>
          <w:wBefore w:w="0" w:type="dxa"/>
          <w:wAfter w:w="0" w:type="dxa"/>
          <w:trHeight w:val="465" w:hRule="atLeast"/>
        </w:trPr>
        <w:tc>
          <w:tcPr>
            <w:tcW w:w="5459" w:type="dxa"/>
            <w:gridSpan w:val="2"/>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Arial"/>
                <w:color w:val="000000"/>
                <w:kern w:val="0"/>
                <w:sz w:val="24"/>
                <w:szCs w:val="24"/>
              </w:rPr>
            </w:pPr>
            <w:r>
              <w:rPr>
                <w:rFonts w:hint="eastAsia" w:ascii="宋体" w:hAnsi="宋体" w:cs="Arial"/>
                <w:color w:val="000000"/>
                <w:kern w:val="0"/>
                <w:sz w:val="24"/>
                <w:szCs w:val="24"/>
              </w:rPr>
              <w:t>　</w:t>
            </w:r>
          </w:p>
        </w:tc>
        <w:tc>
          <w:tcPr>
            <w:tcW w:w="2529" w:type="dxa"/>
            <w:tcBorders>
              <w:top w:val="nil"/>
              <w:left w:val="nil"/>
              <w:bottom w:val="nil"/>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c>
          <w:tcPr>
            <w:tcW w:w="1174" w:type="dxa"/>
            <w:tcBorders>
              <w:top w:val="nil"/>
              <w:left w:val="nil"/>
              <w:bottom w:val="nil"/>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c>
          <w:tcPr>
            <w:tcW w:w="2506" w:type="dxa"/>
            <w:tcBorders>
              <w:top w:val="nil"/>
              <w:left w:val="nil"/>
              <w:bottom w:val="nil"/>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c>
          <w:tcPr>
            <w:tcW w:w="2506" w:type="dxa"/>
            <w:tcBorders>
              <w:top w:val="nil"/>
              <w:left w:val="nil"/>
              <w:bottom w:val="nil"/>
              <w:right w:val="single" w:color="000000" w:sz="4" w:space="0"/>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　</w:t>
            </w:r>
          </w:p>
        </w:tc>
      </w:tr>
      <w:tr>
        <w:tblPrEx>
          <w:tblCellMar>
            <w:top w:w="0" w:type="dxa"/>
            <w:left w:w="108" w:type="dxa"/>
            <w:bottom w:w="0" w:type="dxa"/>
            <w:right w:w="108" w:type="dxa"/>
          </w:tblCellMar>
        </w:tblPrEx>
        <w:trPr>
          <w:wBefore w:w="0" w:type="dxa"/>
          <w:wAfter w:w="0" w:type="dxa"/>
          <w:trHeight w:val="750" w:hRule="atLeast"/>
        </w:trPr>
        <w:tc>
          <w:tcPr>
            <w:tcW w:w="14174" w:type="dxa"/>
            <w:gridSpan w:val="6"/>
            <w:tcBorders>
              <w:top w:val="single" w:color="000000" w:sz="4" w:space="0"/>
              <w:left w:val="nil"/>
              <w:bottom w:val="nil"/>
              <w:right w:val="nil"/>
            </w:tcBorders>
            <w:noWrap w:val="0"/>
            <w:vAlign w:val="center"/>
          </w:tcPr>
          <w:p>
            <w:pPr>
              <w:widowControl/>
              <w:jc w:val="left"/>
              <w:rPr>
                <w:rFonts w:ascii="宋体" w:hAnsi="宋体" w:cs="Arial"/>
                <w:color w:val="000000"/>
                <w:kern w:val="0"/>
                <w:sz w:val="24"/>
                <w:szCs w:val="24"/>
              </w:rPr>
            </w:pPr>
            <w:r>
              <w:rPr>
                <w:rFonts w:hint="eastAsia" w:ascii="宋体" w:hAnsi="宋体" w:cs="Arial"/>
                <w:color w:val="000000"/>
                <w:kern w:val="0"/>
                <w:sz w:val="24"/>
                <w:szCs w:val="24"/>
              </w:rPr>
              <w:t>注：五河县武桥镇人民政府部门没有国有资本经营预算拨款收入，也没有国有资本经营预算支出，故本表无数据</w:t>
            </w:r>
          </w:p>
        </w:tc>
      </w:tr>
    </w:tbl>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tbl>
      <w:tblPr>
        <w:tblStyle w:val="8"/>
        <w:tblW w:w="0" w:type="auto"/>
        <w:tblInd w:w="0" w:type="dxa"/>
        <w:tblLayout w:type="fixed"/>
        <w:tblCellMar>
          <w:top w:w="0" w:type="dxa"/>
          <w:left w:w="108" w:type="dxa"/>
          <w:bottom w:w="0" w:type="dxa"/>
          <w:right w:w="108" w:type="dxa"/>
        </w:tblCellMar>
      </w:tblPr>
      <w:tblGrid>
        <w:gridCol w:w="1366"/>
        <w:gridCol w:w="5416"/>
        <w:gridCol w:w="2216"/>
        <w:gridCol w:w="716"/>
        <w:gridCol w:w="716"/>
        <w:gridCol w:w="519"/>
        <w:gridCol w:w="436"/>
        <w:gridCol w:w="436"/>
        <w:gridCol w:w="509"/>
        <w:gridCol w:w="628"/>
        <w:gridCol w:w="527"/>
        <w:gridCol w:w="689"/>
      </w:tblGrid>
      <w:tr>
        <w:tblPrEx>
          <w:tblCellMar>
            <w:top w:w="0" w:type="dxa"/>
            <w:left w:w="108" w:type="dxa"/>
            <w:bottom w:w="0" w:type="dxa"/>
            <w:right w:w="108" w:type="dxa"/>
          </w:tblCellMar>
        </w:tblPrEx>
        <w:trPr>
          <w:wBefore w:w="0" w:type="dxa"/>
          <w:wAfter w:w="0" w:type="dxa"/>
          <w:trHeight w:val="315" w:hRule="atLeast"/>
        </w:trPr>
        <w:tc>
          <w:tcPr>
            <w:tcW w:w="1366" w:type="dxa"/>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部门公开表9</w:t>
            </w:r>
          </w:p>
        </w:tc>
        <w:tc>
          <w:tcPr>
            <w:tcW w:w="5416"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2216"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716"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716"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519"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36"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436"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509"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628"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527"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689" w:type="dxa"/>
            <w:tcBorders>
              <w:top w:val="nil"/>
              <w:left w:val="nil"/>
              <w:bottom w:val="nil"/>
              <w:right w:val="nil"/>
            </w:tcBorders>
            <w:noWrap w:val="0"/>
            <w:vAlign w:val="center"/>
          </w:tcPr>
          <w:p>
            <w:pPr>
              <w:widowControl/>
              <w:jc w:val="right"/>
              <w:rPr>
                <w:rFonts w:ascii="宋体" w:hAnsi="宋体" w:cs="Arial"/>
                <w:color w:val="000000"/>
                <w:kern w:val="0"/>
                <w:sz w:val="22"/>
              </w:rPr>
            </w:pPr>
          </w:p>
        </w:tc>
      </w:tr>
      <w:tr>
        <w:tblPrEx>
          <w:tblCellMar>
            <w:top w:w="0" w:type="dxa"/>
            <w:left w:w="108" w:type="dxa"/>
            <w:bottom w:w="0" w:type="dxa"/>
            <w:right w:w="108" w:type="dxa"/>
          </w:tblCellMar>
        </w:tblPrEx>
        <w:trPr>
          <w:wBefore w:w="0" w:type="dxa"/>
          <w:wAfter w:w="0" w:type="dxa"/>
          <w:trHeight w:val="675" w:hRule="atLeast"/>
        </w:trPr>
        <w:tc>
          <w:tcPr>
            <w:tcW w:w="14174" w:type="dxa"/>
            <w:gridSpan w:val="12"/>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2024年部门项目支出表</w:t>
            </w:r>
          </w:p>
        </w:tc>
      </w:tr>
      <w:tr>
        <w:tblPrEx>
          <w:tblCellMar>
            <w:top w:w="0" w:type="dxa"/>
            <w:left w:w="108" w:type="dxa"/>
            <w:bottom w:w="0" w:type="dxa"/>
            <w:right w:w="108" w:type="dxa"/>
          </w:tblCellMar>
        </w:tblPrEx>
        <w:trPr>
          <w:wBefore w:w="0" w:type="dxa"/>
          <w:wAfter w:w="0" w:type="dxa"/>
          <w:trHeight w:val="360" w:hRule="atLeast"/>
        </w:trPr>
        <w:tc>
          <w:tcPr>
            <w:tcW w:w="6782" w:type="dxa"/>
            <w:gridSpan w:val="2"/>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部门名称：206-五河县武桥镇人民政府</w:t>
            </w:r>
          </w:p>
        </w:tc>
        <w:tc>
          <w:tcPr>
            <w:tcW w:w="2216"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16"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716"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19"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216" w:type="dxa"/>
            <w:gridSpan w:val="2"/>
            <w:tcBorders>
              <w:top w:val="nil"/>
              <w:left w:val="nil"/>
              <w:bottom w:val="single" w:color="000000" w:sz="4" w:space="0"/>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wBefore w:w="0" w:type="dxa"/>
          <w:wAfter w:w="0" w:type="dxa"/>
          <w:trHeight w:val="375" w:hRule="atLeast"/>
        </w:trPr>
        <w:tc>
          <w:tcPr>
            <w:tcW w:w="13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类型</w:t>
            </w:r>
          </w:p>
        </w:tc>
        <w:tc>
          <w:tcPr>
            <w:tcW w:w="5416" w:type="dxa"/>
            <w:vMerge w:val="restart"/>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项目名称</w:t>
            </w:r>
          </w:p>
        </w:tc>
        <w:tc>
          <w:tcPr>
            <w:tcW w:w="2216"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项目单位</w:t>
            </w:r>
          </w:p>
        </w:tc>
        <w:tc>
          <w:tcPr>
            <w:tcW w:w="716"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671"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本年财政拨款</w:t>
            </w:r>
          </w:p>
        </w:tc>
        <w:tc>
          <w:tcPr>
            <w:tcW w:w="1573"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财政拨款结转结余</w:t>
            </w:r>
          </w:p>
        </w:tc>
        <w:tc>
          <w:tcPr>
            <w:tcW w:w="527"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财政专户管理资金</w:t>
            </w:r>
          </w:p>
        </w:tc>
        <w:tc>
          <w:tcPr>
            <w:tcW w:w="689"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单位资金</w:t>
            </w:r>
          </w:p>
        </w:tc>
      </w:tr>
      <w:tr>
        <w:tblPrEx>
          <w:tblCellMar>
            <w:top w:w="0" w:type="dxa"/>
            <w:left w:w="108" w:type="dxa"/>
            <w:bottom w:w="0" w:type="dxa"/>
            <w:right w:w="108" w:type="dxa"/>
          </w:tblCellMar>
        </w:tblPrEx>
        <w:trPr>
          <w:wBefore w:w="0" w:type="dxa"/>
          <w:wAfter w:w="0" w:type="dxa"/>
          <w:trHeight w:val="750" w:hRule="atLeast"/>
        </w:trPr>
        <w:tc>
          <w:tcPr>
            <w:tcW w:w="13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5416" w:type="dxa"/>
            <w:vMerge w:val="continue"/>
            <w:tcBorders>
              <w:top w:val="single" w:color="000000" w:sz="4" w:space="0"/>
              <w:left w:val="single" w:color="000000" w:sz="4" w:space="0"/>
              <w:bottom w:val="nil"/>
              <w:right w:val="single" w:color="000000" w:sz="4" w:space="0"/>
            </w:tcBorders>
            <w:noWrap w:val="0"/>
            <w:vAlign w:val="center"/>
          </w:tcPr>
          <w:p>
            <w:pPr>
              <w:widowControl/>
              <w:jc w:val="left"/>
              <w:rPr>
                <w:rFonts w:ascii="宋体" w:hAnsi="宋体" w:cs="Arial"/>
                <w:color w:val="000000"/>
                <w:kern w:val="0"/>
                <w:sz w:val="22"/>
              </w:rPr>
            </w:pPr>
          </w:p>
        </w:tc>
        <w:tc>
          <w:tcPr>
            <w:tcW w:w="221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71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716" w:type="dxa"/>
            <w:tcBorders>
              <w:top w:val="nil"/>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w:t>
            </w:r>
          </w:p>
        </w:tc>
        <w:tc>
          <w:tcPr>
            <w:tcW w:w="519" w:type="dxa"/>
            <w:tcBorders>
              <w:top w:val="nil"/>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w:t>
            </w:r>
          </w:p>
        </w:tc>
        <w:tc>
          <w:tcPr>
            <w:tcW w:w="436" w:type="dxa"/>
            <w:tcBorders>
              <w:top w:val="nil"/>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w:t>
            </w:r>
          </w:p>
        </w:tc>
        <w:tc>
          <w:tcPr>
            <w:tcW w:w="436" w:type="dxa"/>
            <w:tcBorders>
              <w:top w:val="nil"/>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w:t>
            </w:r>
          </w:p>
        </w:tc>
        <w:tc>
          <w:tcPr>
            <w:tcW w:w="509" w:type="dxa"/>
            <w:tcBorders>
              <w:top w:val="nil"/>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w:t>
            </w:r>
          </w:p>
        </w:tc>
        <w:tc>
          <w:tcPr>
            <w:tcW w:w="628" w:type="dxa"/>
            <w:tcBorders>
              <w:top w:val="nil"/>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w:t>
            </w:r>
          </w:p>
        </w:tc>
        <w:tc>
          <w:tcPr>
            <w:tcW w:w="527"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c>
          <w:tcPr>
            <w:tcW w:w="68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416"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777.0</w:t>
            </w:r>
          </w:p>
        </w:tc>
        <w:tc>
          <w:tcPr>
            <w:tcW w:w="716"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777.0</w:t>
            </w:r>
          </w:p>
        </w:tc>
        <w:tc>
          <w:tcPr>
            <w:tcW w:w="519"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特定目标类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2024_村级支出</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417.0</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安全生产</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办公设备购置房屋修缮</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54.0</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54.0</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兵役征集经费</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8.4</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8.4</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扶贫乡村振兴项目</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14.0</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计生服务经费</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60.0</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科普经费</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5.3</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农田水利维修维护</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普通教育</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7.0</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7.0</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人居环境美丽乡村</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19.9</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19.9</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信访人、乡村振兴专干、六一师范生、镇招聘人员生活补助</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92.5</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92.5</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招商引资</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综治经费(法制建设)</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29.0</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29.0</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375" w:hRule="atLeast"/>
        </w:trPr>
        <w:tc>
          <w:tcPr>
            <w:tcW w:w="1366"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其他运转类</w:t>
            </w:r>
          </w:p>
        </w:tc>
        <w:tc>
          <w:tcPr>
            <w:tcW w:w="54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总预备费</w:t>
            </w:r>
          </w:p>
        </w:tc>
        <w:tc>
          <w:tcPr>
            <w:tcW w:w="2216" w:type="dxa"/>
            <w:tcBorders>
              <w:top w:val="nil"/>
              <w:left w:val="nil"/>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71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w:t>
            </w:r>
          </w:p>
        </w:tc>
        <w:tc>
          <w:tcPr>
            <w:tcW w:w="51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36"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0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28"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527"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689"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tbl>
      <w:tblPr>
        <w:tblStyle w:val="8"/>
        <w:tblW w:w="0" w:type="auto"/>
        <w:tblInd w:w="0" w:type="dxa"/>
        <w:tblLayout w:type="fixed"/>
        <w:tblCellMar>
          <w:top w:w="0" w:type="dxa"/>
          <w:left w:w="108" w:type="dxa"/>
          <w:bottom w:w="0" w:type="dxa"/>
          <w:right w:w="108" w:type="dxa"/>
        </w:tblCellMar>
      </w:tblPr>
      <w:tblGrid>
        <w:gridCol w:w="4619"/>
        <w:gridCol w:w="1593"/>
        <w:gridCol w:w="1593"/>
        <w:gridCol w:w="1593"/>
        <w:gridCol w:w="1593"/>
        <w:gridCol w:w="1593"/>
        <w:gridCol w:w="1590"/>
      </w:tblGrid>
      <w:tr>
        <w:tblPrEx>
          <w:tblCellMar>
            <w:top w:w="0" w:type="dxa"/>
            <w:left w:w="108" w:type="dxa"/>
            <w:bottom w:w="0" w:type="dxa"/>
            <w:right w:w="108" w:type="dxa"/>
          </w:tblCellMar>
        </w:tblPrEx>
        <w:trPr>
          <w:wBefore w:w="0" w:type="dxa"/>
          <w:wAfter w:w="0" w:type="dxa"/>
          <w:trHeight w:val="315" w:hRule="atLeast"/>
        </w:trPr>
        <w:tc>
          <w:tcPr>
            <w:tcW w:w="4619" w:type="dxa"/>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部门公开表10</w:t>
            </w:r>
          </w:p>
        </w:tc>
        <w:tc>
          <w:tcPr>
            <w:tcW w:w="1593"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1593"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1593"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1593"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1593" w:type="dxa"/>
            <w:tcBorders>
              <w:top w:val="nil"/>
              <w:left w:val="nil"/>
              <w:bottom w:val="nil"/>
              <w:right w:val="nil"/>
            </w:tcBorders>
            <w:noWrap w:val="0"/>
            <w:vAlign w:val="center"/>
          </w:tcPr>
          <w:p>
            <w:pPr>
              <w:widowControl/>
              <w:jc w:val="left"/>
              <w:rPr>
                <w:rFonts w:ascii="宋体" w:hAnsi="宋体" w:cs="Arial"/>
                <w:color w:val="000000"/>
                <w:kern w:val="0"/>
                <w:sz w:val="22"/>
              </w:rPr>
            </w:pPr>
          </w:p>
        </w:tc>
        <w:tc>
          <w:tcPr>
            <w:tcW w:w="1590" w:type="dxa"/>
            <w:tcBorders>
              <w:top w:val="nil"/>
              <w:left w:val="nil"/>
              <w:bottom w:val="nil"/>
              <w:right w:val="nil"/>
            </w:tcBorders>
            <w:noWrap w:val="0"/>
            <w:vAlign w:val="bottom"/>
          </w:tcPr>
          <w:p>
            <w:pPr>
              <w:widowControl/>
              <w:jc w:val="left"/>
              <w:rPr>
                <w:rFonts w:ascii="Calibri" w:hAnsi="Calibri" w:cs="Calibri"/>
                <w:color w:val="000000"/>
                <w:kern w:val="0"/>
                <w:sz w:val="22"/>
              </w:rPr>
            </w:pPr>
          </w:p>
        </w:tc>
      </w:tr>
      <w:tr>
        <w:tblPrEx>
          <w:tblCellMar>
            <w:top w:w="0" w:type="dxa"/>
            <w:left w:w="108" w:type="dxa"/>
            <w:bottom w:w="0" w:type="dxa"/>
            <w:right w:w="108" w:type="dxa"/>
          </w:tblCellMar>
        </w:tblPrEx>
        <w:trPr>
          <w:wBefore w:w="0" w:type="dxa"/>
          <w:wAfter w:w="0" w:type="dxa"/>
          <w:trHeight w:val="525" w:hRule="atLeast"/>
        </w:trPr>
        <w:tc>
          <w:tcPr>
            <w:tcW w:w="14174" w:type="dxa"/>
            <w:gridSpan w:val="7"/>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2024年部门政府采购支出表</w:t>
            </w:r>
          </w:p>
        </w:tc>
      </w:tr>
      <w:tr>
        <w:tblPrEx>
          <w:tblCellMar>
            <w:top w:w="0" w:type="dxa"/>
            <w:left w:w="108" w:type="dxa"/>
            <w:bottom w:w="0" w:type="dxa"/>
            <w:right w:w="108" w:type="dxa"/>
          </w:tblCellMar>
        </w:tblPrEx>
        <w:trPr>
          <w:wBefore w:w="0" w:type="dxa"/>
          <w:wAfter w:w="0" w:type="dxa"/>
          <w:trHeight w:val="360" w:hRule="atLeast"/>
        </w:trPr>
        <w:tc>
          <w:tcPr>
            <w:tcW w:w="4619" w:type="dxa"/>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部门名称：206-五河县武桥镇人民政府</w:t>
            </w:r>
          </w:p>
        </w:tc>
        <w:tc>
          <w:tcPr>
            <w:tcW w:w="1593"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593" w:type="dxa"/>
            <w:tcBorders>
              <w:top w:val="nil"/>
              <w:left w:val="nil"/>
              <w:bottom w:val="nil"/>
              <w:right w:val="nil"/>
            </w:tcBorders>
            <w:noWrap w:val="0"/>
            <w:vAlign w:val="center"/>
          </w:tcPr>
          <w:p>
            <w:pPr>
              <w:widowControl/>
              <w:jc w:val="center"/>
              <w:rPr>
                <w:rFonts w:ascii="宋体" w:hAnsi="宋体" w:cs="Arial"/>
                <w:b/>
                <w:bCs/>
                <w:color w:val="000000"/>
                <w:kern w:val="0"/>
                <w:sz w:val="36"/>
                <w:szCs w:val="36"/>
              </w:rPr>
            </w:pPr>
          </w:p>
        </w:tc>
        <w:tc>
          <w:tcPr>
            <w:tcW w:w="1593" w:type="dxa"/>
            <w:tcBorders>
              <w:top w:val="nil"/>
              <w:left w:val="nil"/>
              <w:bottom w:val="nil"/>
              <w:right w:val="nil"/>
            </w:tcBorders>
            <w:noWrap w:val="0"/>
            <w:vAlign w:val="center"/>
          </w:tcPr>
          <w:p>
            <w:pPr>
              <w:widowControl/>
              <w:jc w:val="center"/>
              <w:rPr>
                <w:rFonts w:ascii="宋体" w:hAnsi="宋体" w:cs="Arial"/>
                <w:b/>
                <w:bCs/>
                <w:color w:val="000000"/>
                <w:kern w:val="0"/>
                <w:sz w:val="36"/>
                <w:szCs w:val="36"/>
              </w:rPr>
            </w:pPr>
          </w:p>
        </w:tc>
        <w:tc>
          <w:tcPr>
            <w:tcW w:w="1593" w:type="dxa"/>
            <w:tcBorders>
              <w:top w:val="nil"/>
              <w:left w:val="nil"/>
              <w:bottom w:val="nil"/>
              <w:right w:val="nil"/>
            </w:tcBorders>
            <w:noWrap w:val="0"/>
            <w:vAlign w:val="center"/>
          </w:tcPr>
          <w:p>
            <w:pPr>
              <w:widowControl/>
              <w:jc w:val="center"/>
              <w:rPr>
                <w:rFonts w:ascii="宋体" w:hAnsi="宋体" w:cs="Arial"/>
                <w:b/>
                <w:bCs/>
                <w:color w:val="000000"/>
                <w:kern w:val="0"/>
                <w:sz w:val="36"/>
                <w:szCs w:val="36"/>
              </w:rPr>
            </w:pPr>
          </w:p>
        </w:tc>
        <w:tc>
          <w:tcPr>
            <w:tcW w:w="1593" w:type="dxa"/>
            <w:tcBorders>
              <w:top w:val="nil"/>
              <w:left w:val="nil"/>
              <w:bottom w:val="nil"/>
              <w:right w:val="nil"/>
            </w:tcBorders>
            <w:noWrap w:val="0"/>
            <w:vAlign w:val="center"/>
          </w:tcPr>
          <w:p>
            <w:pPr>
              <w:widowControl/>
              <w:jc w:val="right"/>
              <w:rPr>
                <w:rFonts w:ascii="宋体" w:hAnsi="宋体" w:cs="Arial"/>
                <w:color w:val="000000"/>
                <w:kern w:val="0"/>
                <w:sz w:val="20"/>
                <w:szCs w:val="20"/>
              </w:rPr>
            </w:pPr>
          </w:p>
        </w:tc>
        <w:tc>
          <w:tcPr>
            <w:tcW w:w="1590" w:type="dxa"/>
            <w:tcBorders>
              <w:top w:val="nil"/>
              <w:left w:val="nil"/>
              <w:bottom w:val="nil"/>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wBefore w:w="0" w:type="dxa"/>
          <w:wAfter w:w="0" w:type="dxa"/>
          <w:trHeight w:val="810" w:hRule="atLeast"/>
        </w:trPr>
        <w:tc>
          <w:tcPr>
            <w:tcW w:w="4619" w:type="dxa"/>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单位名称/支出项目/政府采购品目</w:t>
            </w:r>
          </w:p>
        </w:tc>
        <w:tc>
          <w:tcPr>
            <w:tcW w:w="159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59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w:t>
            </w:r>
          </w:p>
        </w:tc>
        <w:tc>
          <w:tcPr>
            <w:tcW w:w="159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w:t>
            </w:r>
          </w:p>
        </w:tc>
        <w:tc>
          <w:tcPr>
            <w:tcW w:w="159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w:t>
            </w:r>
          </w:p>
        </w:tc>
        <w:tc>
          <w:tcPr>
            <w:tcW w:w="159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财政专户管理资金</w:t>
            </w:r>
          </w:p>
        </w:tc>
        <w:tc>
          <w:tcPr>
            <w:tcW w:w="159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单位资金</w:t>
            </w:r>
          </w:p>
        </w:tc>
      </w:tr>
      <w:tr>
        <w:tblPrEx>
          <w:tblCellMar>
            <w:top w:w="0" w:type="dxa"/>
            <w:left w:w="108" w:type="dxa"/>
            <w:bottom w:w="0" w:type="dxa"/>
            <w:right w:w="108" w:type="dxa"/>
          </w:tblCellMar>
        </w:tblPrEx>
        <w:trPr>
          <w:wBefore w:w="0" w:type="dxa"/>
          <w:wAfter w:w="0" w:type="dxa"/>
          <w:trHeight w:val="465" w:hRule="atLeast"/>
        </w:trPr>
        <w:tc>
          <w:tcPr>
            <w:tcW w:w="461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465" w:hRule="atLeast"/>
        </w:trPr>
        <w:tc>
          <w:tcPr>
            <w:tcW w:w="4619"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五河县武桥镇人民政府</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465" w:hRule="atLeast"/>
        </w:trPr>
        <w:tc>
          <w:tcPr>
            <w:tcW w:w="4619"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办公设备购置房屋修缮</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24.0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465" w:hRule="atLeast"/>
        </w:trPr>
        <w:tc>
          <w:tcPr>
            <w:tcW w:w="4619"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台式计算机</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12.0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465" w:hRule="atLeast"/>
        </w:trPr>
        <w:tc>
          <w:tcPr>
            <w:tcW w:w="4619"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A4 黑白打印机</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4.0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wBefore w:w="0" w:type="dxa"/>
          <w:wAfter w:w="0" w:type="dxa"/>
          <w:trHeight w:val="465" w:hRule="atLeast"/>
        </w:trPr>
        <w:tc>
          <w:tcPr>
            <w:tcW w:w="4619"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空调机</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8.0</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3"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90"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bl>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tbl>
      <w:tblPr>
        <w:tblStyle w:val="8"/>
        <w:tblW w:w="0" w:type="auto"/>
        <w:tblInd w:w="0" w:type="dxa"/>
        <w:tblLayout w:type="fixed"/>
        <w:tblCellMar>
          <w:top w:w="0" w:type="dxa"/>
          <w:left w:w="108" w:type="dxa"/>
          <w:bottom w:w="0" w:type="dxa"/>
          <w:right w:w="108" w:type="dxa"/>
        </w:tblCellMar>
      </w:tblPr>
      <w:tblGrid>
        <w:gridCol w:w="2937"/>
        <w:gridCol w:w="1365"/>
        <w:gridCol w:w="1689"/>
        <w:gridCol w:w="664"/>
        <w:gridCol w:w="1404"/>
        <w:gridCol w:w="604"/>
        <w:gridCol w:w="1463"/>
        <w:gridCol w:w="1816"/>
        <w:gridCol w:w="1016"/>
        <w:gridCol w:w="1216"/>
      </w:tblGrid>
      <w:tr>
        <w:tblPrEx>
          <w:tblCellMar>
            <w:top w:w="0" w:type="dxa"/>
            <w:left w:w="108" w:type="dxa"/>
            <w:bottom w:w="0" w:type="dxa"/>
            <w:right w:w="108" w:type="dxa"/>
          </w:tblCellMar>
        </w:tblPrEx>
        <w:trPr>
          <w:wBefore w:w="0" w:type="dxa"/>
          <w:wAfter w:w="0" w:type="dxa"/>
          <w:trHeight w:val="645" w:hRule="atLeast"/>
        </w:trPr>
        <w:tc>
          <w:tcPr>
            <w:tcW w:w="2937" w:type="dxa"/>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部门公开表11</w:t>
            </w:r>
          </w:p>
        </w:tc>
        <w:tc>
          <w:tcPr>
            <w:tcW w:w="1365"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689"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664"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404"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604"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463"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816"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016"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216" w:type="dxa"/>
            <w:tcBorders>
              <w:top w:val="nil"/>
              <w:left w:val="nil"/>
              <w:bottom w:val="nil"/>
              <w:right w:val="nil"/>
            </w:tcBorders>
            <w:noWrap w:val="0"/>
            <w:vAlign w:val="bottom"/>
          </w:tcPr>
          <w:p>
            <w:pPr>
              <w:widowControl/>
              <w:jc w:val="left"/>
              <w:rPr>
                <w:rFonts w:ascii="Calibri" w:hAnsi="Calibri" w:cs="Calibri"/>
                <w:color w:val="000000"/>
                <w:kern w:val="0"/>
                <w:sz w:val="22"/>
              </w:rPr>
            </w:pPr>
          </w:p>
        </w:tc>
      </w:tr>
      <w:tr>
        <w:tblPrEx>
          <w:tblCellMar>
            <w:top w:w="0" w:type="dxa"/>
            <w:left w:w="108" w:type="dxa"/>
            <w:bottom w:w="0" w:type="dxa"/>
            <w:right w:w="108" w:type="dxa"/>
          </w:tblCellMar>
        </w:tblPrEx>
        <w:trPr>
          <w:wBefore w:w="0" w:type="dxa"/>
          <w:wAfter w:w="0" w:type="dxa"/>
          <w:trHeight w:val="600" w:hRule="atLeast"/>
        </w:trPr>
        <w:tc>
          <w:tcPr>
            <w:tcW w:w="14174" w:type="dxa"/>
            <w:gridSpan w:val="10"/>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2024年部门政府购买服务支出表</w:t>
            </w:r>
          </w:p>
        </w:tc>
      </w:tr>
      <w:tr>
        <w:tblPrEx>
          <w:tblCellMar>
            <w:top w:w="0" w:type="dxa"/>
            <w:left w:w="108" w:type="dxa"/>
            <w:bottom w:w="0" w:type="dxa"/>
            <w:right w:w="108" w:type="dxa"/>
          </w:tblCellMar>
        </w:tblPrEx>
        <w:trPr>
          <w:wBefore w:w="0" w:type="dxa"/>
          <w:wAfter w:w="0" w:type="dxa"/>
          <w:trHeight w:val="495" w:hRule="atLeast"/>
        </w:trPr>
        <w:tc>
          <w:tcPr>
            <w:tcW w:w="2937" w:type="dxa"/>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206-五河县武桥镇人民政府</w:t>
            </w:r>
          </w:p>
        </w:tc>
        <w:tc>
          <w:tcPr>
            <w:tcW w:w="1365"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1689"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664"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1404"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604"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1463"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1816"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1016" w:type="dxa"/>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p>
        </w:tc>
        <w:tc>
          <w:tcPr>
            <w:tcW w:w="1216" w:type="dxa"/>
            <w:tcBorders>
              <w:top w:val="nil"/>
              <w:left w:val="nil"/>
              <w:bottom w:val="nil"/>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wBefore w:w="0" w:type="dxa"/>
          <w:wAfter w:w="0" w:type="dxa"/>
          <w:trHeight w:val="720" w:hRule="atLeast"/>
        </w:trPr>
        <w:tc>
          <w:tcPr>
            <w:tcW w:w="2937" w:type="dxa"/>
            <w:tcBorders>
              <w:top w:val="single" w:color="000000" w:sz="4" w:space="0"/>
              <w:left w:val="single" w:color="000000" w:sz="4" w:space="0"/>
              <w:bottom w:val="nil"/>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项目名称</w:t>
            </w:r>
          </w:p>
        </w:tc>
        <w:tc>
          <w:tcPr>
            <w:tcW w:w="1365"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一级目录代码</w:t>
            </w:r>
          </w:p>
        </w:tc>
        <w:tc>
          <w:tcPr>
            <w:tcW w:w="1689"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一级目录名称</w:t>
            </w:r>
          </w:p>
        </w:tc>
        <w:tc>
          <w:tcPr>
            <w:tcW w:w="664"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二级目录代码</w:t>
            </w:r>
          </w:p>
        </w:tc>
        <w:tc>
          <w:tcPr>
            <w:tcW w:w="1404"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二级目录名称</w:t>
            </w:r>
          </w:p>
        </w:tc>
        <w:tc>
          <w:tcPr>
            <w:tcW w:w="604"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三级目录代码</w:t>
            </w:r>
          </w:p>
        </w:tc>
        <w:tc>
          <w:tcPr>
            <w:tcW w:w="1463"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三级目录名称</w:t>
            </w:r>
          </w:p>
        </w:tc>
        <w:tc>
          <w:tcPr>
            <w:tcW w:w="1816"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政府购买服务内容</w:t>
            </w:r>
          </w:p>
        </w:tc>
        <w:tc>
          <w:tcPr>
            <w:tcW w:w="1016"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购买数量</w:t>
            </w:r>
          </w:p>
        </w:tc>
        <w:tc>
          <w:tcPr>
            <w:tcW w:w="1216"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购买金额</w:t>
            </w:r>
          </w:p>
        </w:tc>
      </w:tr>
      <w:tr>
        <w:tblPrEx>
          <w:tblCellMar>
            <w:top w:w="0" w:type="dxa"/>
            <w:left w:w="108" w:type="dxa"/>
            <w:bottom w:w="0" w:type="dxa"/>
            <w:right w:w="108" w:type="dxa"/>
          </w:tblCellMar>
        </w:tblPrEx>
        <w:trPr>
          <w:wBefore w:w="0" w:type="dxa"/>
          <w:wAfter w:w="0" w:type="dxa"/>
          <w:trHeight w:val="555" w:hRule="atLeast"/>
        </w:trPr>
        <w:tc>
          <w:tcPr>
            <w:tcW w:w="293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6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8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404" w:type="dxa"/>
            <w:tcBorders>
              <w:top w:val="single" w:color="auto" w:sz="4" w:space="0"/>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604" w:type="dxa"/>
            <w:tcBorders>
              <w:top w:val="single" w:color="auto" w:sz="4" w:space="0"/>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1463" w:type="dxa"/>
            <w:tcBorders>
              <w:top w:val="single" w:color="auto" w:sz="4" w:space="0"/>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1816" w:type="dxa"/>
            <w:tcBorders>
              <w:top w:val="single" w:color="auto" w:sz="4" w:space="0"/>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1016" w:type="dxa"/>
            <w:tcBorders>
              <w:top w:val="single" w:color="auto" w:sz="4" w:space="0"/>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1216" w:type="dxa"/>
            <w:tcBorders>
              <w:top w:val="single" w:color="auto" w:sz="4" w:space="0"/>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r>
      <w:tr>
        <w:tblPrEx>
          <w:tblCellMar>
            <w:top w:w="0" w:type="dxa"/>
            <w:left w:w="108" w:type="dxa"/>
            <w:bottom w:w="0" w:type="dxa"/>
            <w:right w:w="108" w:type="dxa"/>
          </w:tblCellMar>
        </w:tblPrEx>
        <w:trPr>
          <w:wBefore w:w="0" w:type="dxa"/>
          <w:wAfter w:w="0" w:type="dxa"/>
          <w:trHeight w:val="570" w:hRule="atLeast"/>
        </w:trPr>
        <w:tc>
          <w:tcPr>
            <w:tcW w:w="2937" w:type="dxa"/>
            <w:tcBorders>
              <w:top w:val="nil"/>
              <w:left w:val="single" w:color="auto" w:sz="4" w:space="0"/>
              <w:bottom w:val="single" w:color="auto" w:sz="4" w:space="0"/>
              <w:right w:val="single" w:color="auto" w:sz="4" w:space="0"/>
            </w:tcBorders>
            <w:noWrap w:val="0"/>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365"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1689" w:type="dxa"/>
            <w:tcBorders>
              <w:top w:val="nil"/>
              <w:left w:val="nil"/>
              <w:bottom w:val="single" w:color="auto" w:sz="4" w:space="0"/>
              <w:right w:val="single" w:color="auto" w:sz="4" w:space="0"/>
            </w:tcBorders>
            <w:noWrap w:val="0"/>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4" w:type="dxa"/>
            <w:tcBorders>
              <w:top w:val="nil"/>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1404" w:type="dxa"/>
            <w:tcBorders>
              <w:top w:val="nil"/>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604" w:type="dxa"/>
            <w:tcBorders>
              <w:top w:val="nil"/>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1463" w:type="dxa"/>
            <w:tcBorders>
              <w:top w:val="nil"/>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1816" w:type="dxa"/>
            <w:tcBorders>
              <w:top w:val="nil"/>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1016" w:type="dxa"/>
            <w:tcBorders>
              <w:top w:val="nil"/>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c>
          <w:tcPr>
            <w:tcW w:w="1216" w:type="dxa"/>
            <w:tcBorders>
              <w:top w:val="nil"/>
              <w:left w:val="nil"/>
              <w:bottom w:val="single" w:color="auto" w:sz="4" w:space="0"/>
              <w:right w:val="single" w:color="auto" w:sz="4" w:space="0"/>
            </w:tcBorders>
            <w:noWrap w:val="0"/>
            <w:vAlign w:val="bottom"/>
          </w:tcPr>
          <w:p>
            <w:pPr>
              <w:widowControl/>
              <w:jc w:val="left"/>
              <w:rPr>
                <w:rFonts w:ascii="Calibri" w:hAnsi="Calibri" w:cs="Calibri"/>
                <w:color w:val="000000"/>
                <w:kern w:val="0"/>
                <w:sz w:val="22"/>
              </w:rPr>
            </w:pPr>
            <w:r>
              <w:rPr>
                <w:rFonts w:ascii="Calibri" w:hAnsi="Calibri" w:cs="Calibri"/>
                <w:color w:val="000000"/>
                <w:kern w:val="0"/>
                <w:sz w:val="22"/>
              </w:rPr>
              <w:t>　</w:t>
            </w:r>
          </w:p>
        </w:tc>
      </w:tr>
      <w:tr>
        <w:tblPrEx>
          <w:tblCellMar>
            <w:top w:w="0" w:type="dxa"/>
            <w:left w:w="108" w:type="dxa"/>
            <w:bottom w:w="0" w:type="dxa"/>
            <w:right w:w="108" w:type="dxa"/>
          </w:tblCellMar>
        </w:tblPrEx>
        <w:trPr>
          <w:wBefore w:w="0" w:type="dxa"/>
          <w:wAfter w:w="0" w:type="dxa"/>
          <w:trHeight w:val="525" w:hRule="atLeast"/>
        </w:trPr>
        <w:tc>
          <w:tcPr>
            <w:tcW w:w="5991" w:type="dxa"/>
            <w:gridSpan w:val="3"/>
            <w:tcBorders>
              <w:top w:val="nil"/>
              <w:left w:val="nil"/>
              <w:bottom w:val="nil"/>
              <w:right w:val="nil"/>
            </w:tcBorders>
            <w:noWrap w:val="0"/>
            <w:vAlign w:val="bottom"/>
          </w:tcPr>
          <w:p>
            <w:pPr>
              <w:widowControl/>
              <w:jc w:val="left"/>
              <w:rPr>
                <w:rFonts w:ascii="仿宋_GB2312" w:hAnsi="Arial" w:eastAsia="仿宋_GB2312" w:cs="Arial"/>
                <w:kern w:val="0"/>
                <w:szCs w:val="21"/>
              </w:rPr>
            </w:pPr>
            <w:r>
              <w:rPr>
                <w:rFonts w:hint="eastAsia" w:ascii="仿宋_GB2312" w:hAnsi="Arial" w:eastAsia="仿宋_GB2312" w:cs="Arial"/>
                <w:kern w:val="0"/>
                <w:szCs w:val="21"/>
              </w:rPr>
              <w:t>五河县武桥镇人民政府部门2024年没有安排政府购买服务支出</w:t>
            </w:r>
          </w:p>
        </w:tc>
        <w:tc>
          <w:tcPr>
            <w:tcW w:w="664"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404"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604"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463"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816"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016"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1216" w:type="dxa"/>
            <w:tcBorders>
              <w:top w:val="nil"/>
              <w:left w:val="nil"/>
              <w:bottom w:val="nil"/>
              <w:right w:val="nil"/>
            </w:tcBorders>
            <w:noWrap w:val="0"/>
            <w:vAlign w:val="bottom"/>
          </w:tcPr>
          <w:p>
            <w:pPr>
              <w:widowControl/>
              <w:jc w:val="left"/>
              <w:rPr>
                <w:rFonts w:ascii="Calibri" w:hAnsi="Calibri" w:cs="Calibri"/>
                <w:color w:val="000000"/>
                <w:kern w:val="0"/>
                <w:sz w:val="22"/>
              </w:rPr>
            </w:pPr>
          </w:p>
        </w:tc>
      </w:tr>
    </w:tbl>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p>
      <w:pPr>
        <w:autoSpaceDE w:val="0"/>
        <w:autoSpaceDN w:val="0"/>
        <w:adjustRightInd w:val="0"/>
        <w:spacing w:line="560" w:lineRule="exact"/>
        <w:rPr>
          <w:rFonts w:hint="eastAsia" w:ascii="方正黑体_GBK" w:hAnsi="方正黑体_GBK" w:eastAsia="方正黑体_GBK" w:cs="方正黑体_GBK"/>
          <w:sz w:val="32"/>
          <w:szCs w:val="32"/>
        </w:rPr>
      </w:pPr>
    </w:p>
    <w:tbl>
      <w:tblPr>
        <w:tblStyle w:val="8"/>
        <w:tblW w:w="0" w:type="auto"/>
        <w:tblInd w:w="0" w:type="dxa"/>
        <w:tblLayout w:type="fixed"/>
        <w:tblCellMar>
          <w:top w:w="0" w:type="dxa"/>
          <w:left w:w="108" w:type="dxa"/>
          <w:bottom w:w="0" w:type="dxa"/>
          <w:right w:w="108" w:type="dxa"/>
        </w:tblCellMar>
      </w:tblPr>
      <w:tblGrid>
        <w:gridCol w:w="5258"/>
        <w:gridCol w:w="2974"/>
        <w:gridCol w:w="2971"/>
        <w:gridCol w:w="2971"/>
      </w:tblGrid>
      <w:tr>
        <w:tblPrEx>
          <w:tblCellMar>
            <w:top w:w="0" w:type="dxa"/>
            <w:left w:w="108" w:type="dxa"/>
            <w:bottom w:w="0" w:type="dxa"/>
            <w:right w:w="108" w:type="dxa"/>
          </w:tblCellMar>
        </w:tblPrEx>
        <w:trPr>
          <w:wBefore w:w="0" w:type="dxa"/>
          <w:wAfter w:w="0" w:type="dxa"/>
          <w:trHeight w:val="375" w:hRule="atLeast"/>
        </w:trPr>
        <w:tc>
          <w:tcPr>
            <w:tcW w:w="5258" w:type="dxa"/>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部门公开表12</w:t>
            </w:r>
          </w:p>
        </w:tc>
        <w:tc>
          <w:tcPr>
            <w:tcW w:w="2974" w:type="dxa"/>
            <w:tcBorders>
              <w:top w:val="nil"/>
              <w:left w:val="nil"/>
              <w:bottom w:val="nil"/>
              <w:right w:val="nil"/>
            </w:tcBorders>
            <w:noWrap w:val="0"/>
            <w:vAlign w:val="center"/>
          </w:tcPr>
          <w:p>
            <w:pPr>
              <w:widowControl/>
              <w:jc w:val="left"/>
              <w:rPr>
                <w:rFonts w:ascii="宋体" w:hAnsi="宋体" w:cs="Arial"/>
                <w:color w:val="000000"/>
                <w:kern w:val="0"/>
                <w:sz w:val="20"/>
                <w:szCs w:val="20"/>
              </w:rPr>
            </w:pPr>
          </w:p>
        </w:tc>
        <w:tc>
          <w:tcPr>
            <w:tcW w:w="2971" w:type="dxa"/>
            <w:tcBorders>
              <w:top w:val="nil"/>
              <w:left w:val="nil"/>
              <w:bottom w:val="nil"/>
              <w:right w:val="nil"/>
            </w:tcBorders>
            <w:noWrap w:val="0"/>
            <w:vAlign w:val="bottom"/>
          </w:tcPr>
          <w:p>
            <w:pPr>
              <w:widowControl/>
              <w:jc w:val="left"/>
              <w:rPr>
                <w:rFonts w:ascii="Calibri" w:hAnsi="Calibri" w:cs="Calibri"/>
                <w:color w:val="000000"/>
                <w:kern w:val="0"/>
                <w:sz w:val="22"/>
              </w:rPr>
            </w:pPr>
          </w:p>
        </w:tc>
        <w:tc>
          <w:tcPr>
            <w:tcW w:w="2971" w:type="dxa"/>
            <w:tcBorders>
              <w:top w:val="nil"/>
              <w:left w:val="nil"/>
              <w:bottom w:val="nil"/>
              <w:right w:val="nil"/>
            </w:tcBorders>
            <w:noWrap w:val="0"/>
            <w:vAlign w:val="bottom"/>
          </w:tcPr>
          <w:p>
            <w:pPr>
              <w:widowControl/>
              <w:jc w:val="left"/>
              <w:rPr>
                <w:rFonts w:ascii="Calibri" w:hAnsi="Calibri" w:cs="Calibri"/>
                <w:color w:val="000000"/>
                <w:kern w:val="0"/>
                <w:sz w:val="22"/>
              </w:rPr>
            </w:pPr>
          </w:p>
        </w:tc>
      </w:tr>
      <w:tr>
        <w:tblPrEx>
          <w:tblCellMar>
            <w:top w:w="0" w:type="dxa"/>
            <w:left w:w="108" w:type="dxa"/>
            <w:bottom w:w="0" w:type="dxa"/>
            <w:right w:w="108" w:type="dxa"/>
          </w:tblCellMar>
        </w:tblPrEx>
        <w:trPr>
          <w:wBefore w:w="0" w:type="dxa"/>
          <w:wAfter w:w="0" w:type="dxa"/>
          <w:trHeight w:val="795" w:hRule="atLeast"/>
        </w:trPr>
        <w:tc>
          <w:tcPr>
            <w:tcW w:w="14174" w:type="dxa"/>
            <w:gridSpan w:val="4"/>
            <w:tcBorders>
              <w:top w:val="nil"/>
              <w:left w:val="nil"/>
              <w:bottom w:val="nil"/>
              <w:right w:val="nil"/>
            </w:tcBorders>
            <w:noWrap w:val="0"/>
            <w:vAlign w:val="center"/>
          </w:tcPr>
          <w:p>
            <w:pPr>
              <w:widowControl/>
              <w:jc w:val="center"/>
              <w:rPr>
                <w:rFonts w:ascii="黑体" w:hAnsi="黑体" w:eastAsia="黑体" w:cs="Arial"/>
                <w:color w:val="000000"/>
                <w:kern w:val="0"/>
                <w:sz w:val="32"/>
                <w:szCs w:val="32"/>
              </w:rPr>
            </w:pPr>
            <w:r>
              <w:rPr>
                <w:rFonts w:hint="eastAsia" w:ascii="黑体" w:hAnsi="黑体" w:eastAsia="黑体" w:cs="Arial"/>
                <w:color w:val="000000"/>
                <w:kern w:val="0"/>
                <w:sz w:val="32"/>
                <w:szCs w:val="32"/>
              </w:rPr>
              <w:t>2024年部门财政拨款安排“三公”经费预算支出表</w:t>
            </w:r>
          </w:p>
        </w:tc>
      </w:tr>
      <w:tr>
        <w:tblPrEx>
          <w:tblCellMar>
            <w:top w:w="0" w:type="dxa"/>
            <w:left w:w="108" w:type="dxa"/>
            <w:bottom w:w="0" w:type="dxa"/>
            <w:right w:w="108" w:type="dxa"/>
          </w:tblCellMar>
        </w:tblPrEx>
        <w:trPr>
          <w:wBefore w:w="0" w:type="dxa"/>
          <w:wAfter w:w="0" w:type="dxa"/>
          <w:trHeight w:val="375" w:hRule="atLeast"/>
        </w:trPr>
        <w:tc>
          <w:tcPr>
            <w:tcW w:w="8232" w:type="dxa"/>
            <w:gridSpan w:val="2"/>
            <w:tcBorders>
              <w:top w:val="nil"/>
              <w:left w:val="nil"/>
              <w:bottom w:val="nil"/>
              <w:right w:val="nil"/>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部门名称：206-五河县武桥镇人民政府</w:t>
            </w:r>
          </w:p>
        </w:tc>
        <w:tc>
          <w:tcPr>
            <w:tcW w:w="2971" w:type="dxa"/>
            <w:tcBorders>
              <w:top w:val="nil"/>
              <w:left w:val="nil"/>
              <w:bottom w:val="nil"/>
              <w:right w:val="nil"/>
            </w:tcBorders>
            <w:noWrap w:val="0"/>
            <w:vAlign w:val="center"/>
          </w:tcPr>
          <w:p>
            <w:pPr>
              <w:widowControl/>
              <w:jc w:val="left"/>
              <w:rPr>
                <w:rFonts w:ascii="宋体" w:hAnsi="宋体" w:cs="Arial"/>
                <w:color w:val="000000"/>
                <w:kern w:val="0"/>
                <w:sz w:val="20"/>
                <w:szCs w:val="20"/>
              </w:rPr>
            </w:pPr>
          </w:p>
        </w:tc>
        <w:tc>
          <w:tcPr>
            <w:tcW w:w="2971" w:type="dxa"/>
            <w:tcBorders>
              <w:top w:val="nil"/>
              <w:left w:val="nil"/>
              <w:bottom w:val="nil"/>
              <w:right w:val="nil"/>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单位:万元</w:t>
            </w:r>
          </w:p>
        </w:tc>
      </w:tr>
      <w:tr>
        <w:tblPrEx>
          <w:tblCellMar>
            <w:top w:w="0" w:type="dxa"/>
            <w:left w:w="108" w:type="dxa"/>
            <w:bottom w:w="0" w:type="dxa"/>
            <w:right w:w="108" w:type="dxa"/>
          </w:tblCellMar>
        </w:tblPrEx>
        <w:trPr>
          <w:wBefore w:w="0" w:type="dxa"/>
          <w:wAfter w:w="0" w:type="dxa"/>
          <w:trHeight w:val="840" w:hRule="atLeast"/>
        </w:trPr>
        <w:tc>
          <w:tcPr>
            <w:tcW w:w="52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项目名称</w:t>
            </w:r>
          </w:p>
        </w:tc>
        <w:tc>
          <w:tcPr>
            <w:tcW w:w="2974"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本年预算数</w:t>
            </w:r>
          </w:p>
        </w:tc>
        <w:tc>
          <w:tcPr>
            <w:tcW w:w="2971"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上年预算数</w:t>
            </w:r>
          </w:p>
        </w:tc>
        <w:tc>
          <w:tcPr>
            <w:tcW w:w="2971" w:type="dxa"/>
            <w:tcBorders>
              <w:top w:val="single" w:color="000000" w:sz="4" w:space="0"/>
              <w:left w:val="nil"/>
              <w:bottom w:val="nil"/>
              <w:right w:val="single" w:color="000000" w:sz="4" w:space="0"/>
            </w:tcBorders>
            <w:noWrap w:val="0"/>
            <w:vAlign w:val="center"/>
          </w:tcPr>
          <w:p>
            <w:pPr>
              <w:widowControl/>
              <w:jc w:val="center"/>
              <w:rPr>
                <w:rFonts w:ascii="宋体" w:hAnsi="宋体" w:cs="Arial"/>
                <w:color w:val="000000"/>
                <w:kern w:val="0"/>
                <w:sz w:val="22"/>
              </w:rPr>
            </w:pPr>
            <w:r>
              <w:rPr>
                <w:rFonts w:hint="eastAsia" w:ascii="宋体" w:hAnsi="宋体" w:cs="Arial"/>
                <w:color w:val="000000"/>
                <w:kern w:val="0"/>
                <w:sz w:val="22"/>
              </w:rPr>
              <w:t>增幅</w:t>
            </w:r>
          </w:p>
        </w:tc>
      </w:tr>
      <w:tr>
        <w:tblPrEx>
          <w:tblCellMar>
            <w:top w:w="0" w:type="dxa"/>
            <w:left w:w="108" w:type="dxa"/>
            <w:bottom w:w="0" w:type="dxa"/>
            <w:right w:w="108" w:type="dxa"/>
          </w:tblCellMar>
        </w:tblPrEx>
        <w:trPr>
          <w:wBefore w:w="0" w:type="dxa"/>
          <w:wAfter w:w="0" w:type="dxa"/>
          <w:trHeight w:val="840" w:hRule="atLeast"/>
        </w:trPr>
        <w:tc>
          <w:tcPr>
            <w:tcW w:w="5258"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2974"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20.00</w:t>
            </w:r>
          </w:p>
        </w:tc>
        <w:tc>
          <w:tcPr>
            <w:tcW w:w="2971" w:type="dxa"/>
            <w:tcBorders>
              <w:top w:val="single" w:color="000000" w:sz="4" w:space="0"/>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27.00</w:t>
            </w:r>
          </w:p>
        </w:tc>
        <w:tc>
          <w:tcPr>
            <w:tcW w:w="297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-25.9%</w:t>
            </w:r>
          </w:p>
        </w:tc>
      </w:tr>
      <w:tr>
        <w:tblPrEx>
          <w:tblCellMar>
            <w:top w:w="0" w:type="dxa"/>
            <w:left w:w="108" w:type="dxa"/>
            <w:bottom w:w="0" w:type="dxa"/>
            <w:right w:w="108" w:type="dxa"/>
          </w:tblCellMar>
        </w:tblPrEx>
        <w:trPr>
          <w:wBefore w:w="0" w:type="dxa"/>
          <w:wAfter w:w="0" w:type="dxa"/>
          <w:trHeight w:val="840" w:hRule="atLeast"/>
        </w:trPr>
        <w:tc>
          <w:tcPr>
            <w:tcW w:w="5258"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1、因公出国(境)费</w:t>
            </w:r>
          </w:p>
        </w:tc>
        <w:tc>
          <w:tcPr>
            <w:tcW w:w="2974"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97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97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0.00</w:t>
            </w:r>
          </w:p>
        </w:tc>
      </w:tr>
      <w:tr>
        <w:tblPrEx>
          <w:tblCellMar>
            <w:top w:w="0" w:type="dxa"/>
            <w:left w:w="108" w:type="dxa"/>
            <w:bottom w:w="0" w:type="dxa"/>
            <w:right w:w="108" w:type="dxa"/>
          </w:tblCellMar>
        </w:tblPrEx>
        <w:trPr>
          <w:wBefore w:w="0" w:type="dxa"/>
          <w:wAfter w:w="0" w:type="dxa"/>
          <w:trHeight w:val="840" w:hRule="atLeast"/>
        </w:trPr>
        <w:tc>
          <w:tcPr>
            <w:tcW w:w="5258"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2、公务接待费</w:t>
            </w:r>
          </w:p>
        </w:tc>
        <w:tc>
          <w:tcPr>
            <w:tcW w:w="2974"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w:t>
            </w:r>
          </w:p>
        </w:tc>
        <w:tc>
          <w:tcPr>
            <w:tcW w:w="297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10.40</w:t>
            </w:r>
          </w:p>
        </w:tc>
        <w:tc>
          <w:tcPr>
            <w:tcW w:w="297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-3.8%</w:t>
            </w:r>
          </w:p>
        </w:tc>
      </w:tr>
      <w:tr>
        <w:tblPrEx>
          <w:tblCellMar>
            <w:top w:w="0" w:type="dxa"/>
            <w:left w:w="108" w:type="dxa"/>
            <w:bottom w:w="0" w:type="dxa"/>
            <w:right w:w="108" w:type="dxa"/>
          </w:tblCellMar>
        </w:tblPrEx>
        <w:trPr>
          <w:wBefore w:w="0" w:type="dxa"/>
          <w:wAfter w:w="0" w:type="dxa"/>
          <w:trHeight w:val="840" w:hRule="atLeast"/>
        </w:trPr>
        <w:tc>
          <w:tcPr>
            <w:tcW w:w="5258"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3、公务用车费</w:t>
            </w:r>
          </w:p>
        </w:tc>
        <w:tc>
          <w:tcPr>
            <w:tcW w:w="2974"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w:t>
            </w:r>
          </w:p>
        </w:tc>
        <w:tc>
          <w:tcPr>
            <w:tcW w:w="297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17.00</w:t>
            </w:r>
          </w:p>
        </w:tc>
        <w:tc>
          <w:tcPr>
            <w:tcW w:w="297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-41%</w:t>
            </w:r>
          </w:p>
        </w:tc>
      </w:tr>
      <w:tr>
        <w:tblPrEx>
          <w:tblCellMar>
            <w:top w:w="0" w:type="dxa"/>
            <w:left w:w="108" w:type="dxa"/>
            <w:bottom w:w="0" w:type="dxa"/>
            <w:right w:w="108" w:type="dxa"/>
          </w:tblCellMar>
        </w:tblPrEx>
        <w:trPr>
          <w:wBefore w:w="0" w:type="dxa"/>
          <w:wAfter w:w="0" w:type="dxa"/>
          <w:trHeight w:val="840" w:hRule="atLeast"/>
        </w:trPr>
        <w:tc>
          <w:tcPr>
            <w:tcW w:w="5258"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其中：（1）公务用车运行维护费</w:t>
            </w:r>
          </w:p>
        </w:tc>
        <w:tc>
          <w:tcPr>
            <w:tcW w:w="2974"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10.00</w:t>
            </w:r>
          </w:p>
        </w:tc>
        <w:tc>
          <w:tcPr>
            <w:tcW w:w="297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17.00</w:t>
            </w:r>
          </w:p>
        </w:tc>
        <w:tc>
          <w:tcPr>
            <w:tcW w:w="2971"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-41%</w:t>
            </w:r>
          </w:p>
        </w:tc>
      </w:tr>
      <w:tr>
        <w:tblPrEx>
          <w:tblCellMar>
            <w:top w:w="0" w:type="dxa"/>
            <w:left w:w="108" w:type="dxa"/>
            <w:bottom w:w="0" w:type="dxa"/>
            <w:right w:w="108" w:type="dxa"/>
          </w:tblCellMar>
        </w:tblPrEx>
        <w:trPr>
          <w:wBefore w:w="0" w:type="dxa"/>
          <w:wAfter w:w="0" w:type="dxa"/>
          <w:trHeight w:val="840" w:hRule="atLeast"/>
        </w:trPr>
        <w:tc>
          <w:tcPr>
            <w:tcW w:w="5258"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（2）公务用车购置费</w:t>
            </w:r>
          </w:p>
        </w:tc>
        <w:tc>
          <w:tcPr>
            <w:tcW w:w="2974"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97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c>
          <w:tcPr>
            <w:tcW w:w="2971" w:type="dxa"/>
            <w:tcBorders>
              <w:top w:val="nil"/>
              <w:left w:val="nil"/>
              <w:bottom w:val="single" w:color="000000" w:sz="4" w:space="0"/>
              <w:right w:val="single" w:color="000000" w:sz="4" w:space="0"/>
            </w:tcBorders>
            <w:noWrap w:val="0"/>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0.00</w:t>
            </w:r>
          </w:p>
        </w:tc>
      </w:tr>
    </w:tbl>
    <w:p>
      <w:pPr>
        <w:autoSpaceDE w:val="0"/>
        <w:autoSpaceDN w:val="0"/>
        <w:adjustRightInd w:val="0"/>
        <w:spacing w:line="560" w:lineRule="exact"/>
        <w:rPr>
          <w:rFonts w:hint="eastAsia" w:ascii="方正黑体_GBK" w:hAnsi="方正黑体_GBK" w:eastAsia="方正黑体_GBK" w:cs="方正黑体_GBK"/>
          <w:sz w:val="32"/>
          <w:szCs w:val="32"/>
        </w:rPr>
      </w:pPr>
    </w:p>
    <w:p>
      <w:pPr>
        <w:pStyle w:val="7"/>
        <w:widowControl w:val="0"/>
        <w:adjustRightInd w:val="0"/>
        <w:snapToGrid w:val="0"/>
        <w:spacing w:line="560" w:lineRule="exact"/>
        <w:rPr>
          <w:rFonts w:ascii="方正黑体_GBK" w:hAnsi="方正黑体_GBK" w:eastAsia="方正黑体_GBK" w:cs="方正黑体_GBK"/>
          <w:sz w:val="32"/>
          <w:szCs w:val="32"/>
        </w:rPr>
      </w:pPr>
      <w:r>
        <w:rPr>
          <w:rFonts w:ascii="TimesNewRoman" w:hAnsi="TimesNewRoman" w:eastAsia="楷体_GB2312" w:cs="TimesNewRoman"/>
          <w:bCs/>
          <w:color w:val="FF0000"/>
          <w:sz w:val="32"/>
          <w:szCs w:val="32"/>
        </w:rPr>
        <w:br w:type="page"/>
      </w:r>
      <w:r>
        <w:rPr>
          <w:rFonts w:hint="eastAsia" w:ascii="方正黑体_GBK" w:hAnsi="方正黑体_GBK" w:eastAsia="方正黑体_GBK" w:cs="方正黑体_GBK"/>
          <w:sz w:val="32"/>
          <w:szCs w:val="32"/>
        </w:rPr>
        <w:t>附件2：</w:t>
      </w:r>
    </w:p>
    <w:p>
      <w:pPr>
        <w:spacing w:line="560" w:lineRule="exact"/>
        <w:jc w:val="center"/>
        <w:rPr>
          <w:rFonts w:ascii="TimesNewRoman" w:hAnsi="TimesNewRoman" w:eastAsia="华文中宋" w:cs="TimesNewRoman"/>
          <w:b/>
          <w:sz w:val="36"/>
          <w:szCs w:val="36"/>
        </w:rPr>
      </w:pPr>
      <w:r>
        <w:rPr>
          <w:rFonts w:hint="eastAsia" w:ascii="TimesNewRoman" w:hAnsi="TimesNewRoman" w:eastAsia="华文中宋" w:cs="TimesNewRoman"/>
          <w:b/>
          <w:sz w:val="36"/>
          <w:szCs w:val="36"/>
        </w:rPr>
        <w:t>五河县武桥镇人民政府</w:t>
      </w:r>
      <w:r>
        <w:rPr>
          <w:rFonts w:ascii="TimesNewRoman" w:hAnsi="TimesNewRoman" w:eastAsia="华文中宋" w:cs="TimesNewRoman"/>
          <w:b/>
          <w:sz w:val="36"/>
          <w:szCs w:val="36"/>
        </w:rPr>
        <w:t>2024年度项目支出绩效目标</w:t>
      </w:r>
    </w:p>
    <w:p>
      <w:pPr>
        <w:adjustRightInd w:val="0"/>
        <w:snapToGrid w:val="0"/>
        <w:spacing w:line="560" w:lineRule="exact"/>
        <w:outlineLvl w:val="0"/>
        <w:rPr>
          <w:rFonts w:ascii="TimesNewRoman" w:hAnsi="TimesNewRoman" w:eastAsia="仿宋_GB2312" w:cs="TimesNewRoman"/>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379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5" w:type="dxa"/>
            <w:gridSpan w:val="3"/>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项目支出绩效目标公开清单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序号</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项目名称</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预算金额（单位：万元）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1</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村级支出</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2</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安全生产</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3</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办公设备购置与房屋修缮</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4</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兵役征集经费</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5</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扶贫乡</w:t>
            </w:r>
            <w:r>
              <w:rPr>
                <w:rFonts w:hint="eastAsia" w:ascii="TimesNewRoman" w:hAnsi="TimesNewRoman" w:eastAsia="仿宋_GB2312" w:cs="TimesNewRoman"/>
                <w:sz w:val="32"/>
                <w:szCs w:val="32"/>
                <w:lang w:val="en-US" w:eastAsia="zh-CN"/>
              </w:rPr>
              <w:t>村</w:t>
            </w:r>
            <w:bookmarkStart w:id="12" w:name="_GoBack"/>
            <w:bookmarkEnd w:id="12"/>
            <w:r>
              <w:rPr>
                <w:rFonts w:hint="eastAsia" w:ascii="TimesNewRoman" w:hAnsi="TimesNewRoman" w:eastAsia="仿宋_GB2312" w:cs="TimesNewRoman"/>
                <w:sz w:val="32"/>
                <w:szCs w:val="32"/>
              </w:rPr>
              <w:t>振兴项目</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6</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计生服务经费</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jc w:val="center"/>
              <w:outlineLvl w:val="0"/>
              <w:rPr>
                <w:rFonts w:ascii="TimesNewRoman" w:hAnsi="TimesNewRoman" w:eastAsia="仿宋_GB2312" w:cs="TimesNewRoman"/>
                <w:sz w:val="22"/>
              </w:rPr>
            </w:pPr>
            <w:r>
              <w:rPr>
                <w:rFonts w:ascii="TimesNewRoman" w:hAnsi="TimesNewRoman" w:eastAsia="仿宋_GB2312" w:cs="TimesNewRoman"/>
                <w:sz w:val="22"/>
              </w:rPr>
              <w:t>7</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科普经费</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b/>
                <w:sz w:val="32"/>
                <w:szCs w:val="32"/>
              </w:rPr>
            </w:pPr>
            <w:r>
              <w:rPr>
                <w:rFonts w:ascii="TimesNewRoman" w:hAnsi="TimesNewRoman" w:eastAsia="仿宋_GB2312" w:cs="TimesNewRoman"/>
                <w:b/>
                <w:sz w:val="32"/>
                <w:szCs w:val="32"/>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8</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农田水利维修维护</w:t>
            </w:r>
          </w:p>
        </w:tc>
        <w:tc>
          <w:tcPr>
            <w:tcW w:w="3600" w:type="dxa"/>
            <w:noWrap w:val="0"/>
            <w:vAlign w:val="center"/>
          </w:tcPr>
          <w:p>
            <w:pPr>
              <w:adjustRightInd w:val="0"/>
              <w:snapToGrid w:val="0"/>
              <w:spacing w:line="560" w:lineRule="exact"/>
              <w:jc w:val="center"/>
              <w:outlineLvl w:val="0"/>
              <w:rPr>
                <w:rFonts w:hint="eastAsia" w:ascii="仿宋_GB2312" w:hAnsi="TimesNewRoman" w:eastAsia="仿宋_GB2312" w:cs="TimesNewRoman"/>
                <w:b/>
                <w:sz w:val="32"/>
                <w:szCs w:val="32"/>
              </w:rPr>
            </w:pPr>
            <w:r>
              <w:rPr>
                <w:rFonts w:hint="eastAsia" w:ascii="仿宋_GB2312" w:hAnsi="TimesNewRoman" w:eastAsia="仿宋_GB2312" w:cs="TimesNewRoman"/>
                <w:b/>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outlineLvl w:val="0"/>
              <w:rPr>
                <w:rFonts w:ascii="TimesNewRoman" w:hAnsi="TimesNewRoman" w:eastAsia="仿宋_GB2312" w:cs="TimesNewRoman"/>
                <w:sz w:val="32"/>
                <w:szCs w:val="32"/>
              </w:rPr>
            </w:pPr>
            <w:r>
              <w:rPr>
                <w:rFonts w:ascii="TimesNewRoman" w:hAnsi="TimesNewRoman" w:eastAsia="仿宋_GB2312" w:cs="TimesNewRoman"/>
                <w:sz w:val="32"/>
                <w:szCs w:val="32"/>
              </w:rPr>
              <w:t>9</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普通教育</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outlineLvl w:val="0"/>
              <w:rPr>
                <w:rFonts w:ascii="TimesNewRoman" w:hAnsi="TimesNewRoman" w:eastAsia="仿宋_GB2312" w:cs="TimesNewRoman"/>
                <w:sz w:val="32"/>
                <w:szCs w:val="32"/>
              </w:rPr>
            </w:pPr>
            <w:r>
              <w:rPr>
                <w:rFonts w:ascii="TimesNewRoman" w:hAnsi="TimesNewRoman" w:eastAsia="仿宋_GB2312" w:cs="TimesNewRoman"/>
                <w:sz w:val="32"/>
                <w:szCs w:val="32"/>
              </w:rPr>
              <w:t>10</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人居环境美丽乡村</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outlineLvl w:val="0"/>
              <w:rPr>
                <w:rFonts w:ascii="TimesNewRoman" w:hAnsi="TimesNewRoman" w:eastAsia="仿宋_GB2312" w:cs="TimesNewRoman"/>
                <w:sz w:val="32"/>
                <w:szCs w:val="32"/>
              </w:rPr>
            </w:pPr>
            <w:r>
              <w:rPr>
                <w:rFonts w:ascii="TimesNewRoman" w:hAnsi="TimesNewRoman" w:eastAsia="仿宋_GB2312" w:cs="TimesNewRoman"/>
                <w:sz w:val="32"/>
                <w:szCs w:val="32"/>
              </w:rPr>
              <w:t>11</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信访人、乡村振兴专干、六一师范生、镇招聘人员生活补助</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outlineLvl w:val="0"/>
              <w:rPr>
                <w:rFonts w:ascii="TimesNewRoman" w:hAnsi="TimesNewRoman" w:eastAsia="仿宋_GB2312" w:cs="TimesNewRoman"/>
                <w:sz w:val="32"/>
                <w:szCs w:val="32"/>
              </w:rPr>
            </w:pPr>
            <w:r>
              <w:rPr>
                <w:rFonts w:ascii="TimesNewRoman" w:hAnsi="TimesNewRoman" w:eastAsia="仿宋_GB2312" w:cs="TimesNewRoman"/>
                <w:sz w:val="32"/>
                <w:szCs w:val="32"/>
              </w:rPr>
              <w:t>12</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招商引资</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outlineLvl w:val="0"/>
              <w:rPr>
                <w:rFonts w:ascii="TimesNewRoman" w:hAnsi="TimesNewRoman" w:eastAsia="仿宋_GB2312" w:cs="TimesNewRoman"/>
                <w:sz w:val="32"/>
                <w:szCs w:val="32"/>
              </w:rPr>
            </w:pPr>
            <w:r>
              <w:rPr>
                <w:rFonts w:ascii="TimesNewRoman" w:hAnsi="TimesNewRoman" w:eastAsia="仿宋_GB2312" w:cs="TimesNewRoman"/>
                <w:sz w:val="32"/>
                <w:szCs w:val="32"/>
              </w:rPr>
              <w:t>13</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综治经费(法制建设)</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outlineLvl w:val="0"/>
              <w:rPr>
                <w:rFonts w:ascii="TimesNewRoman" w:hAnsi="TimesNewRoman" w:eastAsia="仿宋_GB2312" w:cs="TimesNewRoman"/>
                <w:sz w:val="32"/>
                <w:szCs w:val="32"/>
              </w:rPr>
            </w:pPr>
            <w:r>
              <w:rPr>
                <w:rFonts w:ascii="TimesNewRoman" w:hAnsi="TimesNewRoman" w:eastAsia="仿宋_GB2312" w:cs="TimesNewRoman"/>
                <w:sz w:val="32"/>
                <w:szCs w:val="32"/>
              </w:rPr>
              <w:t>14</w:t>
            </w: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总预备费</w:t>
            </w: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r>
              <w:rPr>
                <w:rFonts w:ascii="TimesNewRoman" w:hAnsi="TimesNewRoman" w:eastAsia="仿宋_GB2312" w:cs="TimesNewRoman"/>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noWrap w:val="0"/>
            <w:vAlign w:val="center"/>
          </w:tcPr>
          <w:p>
            <w:pPr>
              <w:adjustRightInd w:val="0"/>
              <w:snapToGrid w:val="0"/>
              <w:spacing w:line="560" w:lineRule="exact"/>
              <w:outlineLvl w:val="0"/>
              <w:rPr>
                <w:rFonts w:ascii="TimesNewRoman" w:hAnsi="TimesNewRoman" w:eastAsia="仿宋_GB2312" w:cs="TimesNewRoman"/>
                <w:sz w:val="32"/>
                <w:szCs w:val="32"/>
              </w:rPr>
            </w:pPr>
          </w:p>
        </w:tc>
        <w:tc>
          <w:tcPr>
            <w:tcW w:w="3795"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p>
        </w:tc>
        <w:tc>
          <w:tcPr>
            <w:tcW w:w="3600" w:type="dxa"/>
            <w:noWrap w:val="0"/>
            <w:vAlign w:val="center"/>
          </w:tcPr>
          <w:p>
            <w:pPr>
              <w:adjustRightInd w:val="0"/>
              <w:snapToGrid w:val="0"/>
              <w:spacing w:line="560" w:lineRule="exact"/>
              <w:jc w:val="center"/>
              <w:outlineLvl w:val="0"/>
              <w:rPr>
                <w:rFonts w:ascii="TimesNewRoman" w:hAnsi="TimesNewRoman" w:eastAsia="仿宋_GB2312" w:cs="TimesNewRoman"/>
                <w:sz w:val="32"/>
                <w:szCs w:val="32"/>
              </w:rPr>
            </w:pPr>
          </w:p>
        </w:tc>
      </w:tr>
    </w:tbl>
    <w:p>
      <w:pPr>
        <w:tabs>
          <w:tab w:val="left" w:pos="3316"/>
        </w:tabs>
        <w:adjustRightInd w:val="0"/>
        <w:snapToGrid w:val="0"/>
        <w:spacing w:line="560" w:lineRule="exact"/>
        <w:ind w:firstLine="2880" w:firstLineChars="900"/>
        <w:outlineLvl w:val="0"/>
        <w:rPr>
          <w:rFonts w:ascii="TimesNewRoman" w:hAnsi="TimesNewRoman" w:eastAsia="黑体" w:cs="TimesNewRoman"/>
          <w:sz w:val="36"/>
          <w:szCs w:val="36"/>
        </w:rPr>
      </w:pPr>
      <w:r>
        <w:rPr>
          <w:rFonts w:eastAsia="仿宋_GB2312"/>
          <w:sz w:val="32"/>
          <w:szCs w:val="32"/>
        </w:rPr>
        <w:t>注：本部门</w:t>
      </w:r>
      <w:r>
        <w:rPr>
          <w:rFonts w:hint="eastAsia" w:eastAsia="仿宋_GB2312"/>
          <w:sz w:val="32"/>
          <w:szCs w:val="32"/>
        </w:rPr>
        <w:t>无</w:t>
      </w:r>
      <w:r>
        <w:rPr>
          <w:rFonts w:eastAsia="仿宋_GB2312"/>
          <w:sz w:val="32"/>
          <w:szCs w:val="32"/>
        </w:rPr>
        <w:t>涉密项目。</w:t>
      </w:r>
    </w:p>
    <w:p>
      <w:pPr>
        <w:tabs>
          <w:tab w:val="left" w:pos="3316"/>
        </w:tabs>
        <w:adjustRightInd w:val="0"/>
        <w:snapToGrid w:val="0"/>
        <w:spacing w:line="560" w:lineRule="exact"/>
        <w:outlineLvl w:val="0"/>
        <w:rPr>
          <w:rFonts w:hint="eastAsia" w:ascii="楷体_GB2312" w:eastAsia="楷体_GB2312"/>
          <w:sz w:val="32"/>
          <w:szCs w:val="32"/>
        </w:rPr>
      </w:pPr>
      <w:r>
        <w:rPr>
          <w:rFonts w:ascii="TimesNewRoman" w:hAnsi="TimesNewRoman" w:eastAsia="黑体" w:cs="TimesNewRoman"/>
          <w:sz w:val="36"/>
          <w:szCs w:val="36"/>
        </w:rPr>
        <w:br w:type="page"/>
      </w: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1228"/>
        <w:gridCol w:w="1797"/>
        <w:gridCol w:w="1012"/>
        <w:gridCol w:w="729"/>
        <w:gridCol w:w="2815"/>
        <w:gridCol w:w="2548"/>
        <w:gridCol w:w="2282"/>
        <w:gridCol w:w="1763"/>
      </w:tblGrid>
      <w:tr>
        <w:tblPrEx>
          <w:tblCellMar>
            <w:top w:w="0" w:type="dxa"/>
            <w:left w:w="108" w:type="dxa"/>
            <w:bottom w:w="0" w:type="dxa"/>
            <w:right w:w="108" w:type="dxa"/>
          </w:tblCellMar>
        </w:tblPrEx>
        <w:trPr>
          <w:wBefore w:w="0" w:type="dxa"/>
          <w:wAfter w:w="0" w:type="dxa"/>
          <w:trHeight w:val="402" w:hRule="atLeast"/>
        </w:trPr>
        <w:tc>
          <w:tcPr>
            <w:tcW w:w="14174" w:type="dxa"/>
            <w:gridSpan w:val="8"/>
            <w:tcBorders>
              <w:top w:val="nil"/>
              <w:left w:val="nil"/>
              <w:bottom w:val="nil"/>
              <w:right w:val="nil"/>
            </w:tcBorders>
            <w:noWrap w:val="0"/>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部门（单位）整体支出绩效目标申报表</w:t>
            </w:r>
          </w:p>
        </w:tc>
      </w:tr>
      <w:tr>
        <w:tblPrEx>
          <w:tblCellMar>
            <w:top w:w="0" w:type="dxa"/>
            <w:left w:w="108" w:type="dxa"/>
            <w:bottom w:w="0" w:type="dxa"/>
            <w:right w:w="108" w:type="dxa"/>
          </w:tblCellMar>
        </w:tblPrEx>
        <w:trPr>
          <w:wBefore w:w="0" w:type="dxa"/>
          <w:wAfter w:w="0" w:type="dxa"/>
          <w:trHeight w:val="402" w:hRule="atLeast"/>
        </w:trPr>
        <w:tc>
          <w:tcPr>
            <w:tcW w:w="14174" w:type="dxa"/>
            <w:gridSpan w:val="8"/>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（2024 年度）</w:t>
            </w:r>
          </w:p>
        </w:tc>
      </w:tr>
      <w:tr>
        <w:tblPrEx>
          <w:tblCellMar>
            <w:top w:w="0" w:type="dxa"/>
            <w:left w:w="108" w:type="dxa"/>
            <w:bottom w:w="0" w:type="dxa"/>
            <w:right w:w="108" w:type="dxa"/>
          </w:tblCellMar>
        </w:tblPrEx>
        <w:trPr>
          <w:wBefore w:w="0" w:type="dxa"/>
          <w:wAfter w:w="0" w:type="dxa"/>
          <w:trHeight w:val="402" w:hRule="atLeast"/>
        </w:trPr>
        <w:tc>
          <w:tcPr>
            <w:tcW w:w="10129" w:type="dxa"/>
            <w:gridSpan w:val="6"/>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部门（单位）主要负责人（签字）：</w:t>
            </w:r>
          </w:p>
        </w:tc>
        <w:tc>
          <w:tcPr>
            <w:tcW w:w="4045" w:type="dxa"/>
            <w:gridSpan w:val="2"/>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部门（单位）盖章：</w:t>
            </w:r>
          </w:p>
        </w:tc>
      </w:tr>
      <w:tr>
        <w:tblPrEx>
          <w:tblCellMar>
            <w:top w:w="0" w:type="dxa"/>
            <w:left w:w="108" w:type="dxa"/>
            <w:bottom w:w="0" w:type="dxa"/>
            <w:right w:w="108" w:type="dxa"/>
          </w:tblCellMar>
        </w:tblPrEx>
        <w:trPr>
          <w:wBefore w:w="0" w:type="dxa"/>
          <w:wAfter w:w="0" w:type="dxa"/>
          <w:trHeight w:val="402" w:hRule="atLeast"/>
        </w:trPr>
        <w:tc>
          <w:tcPr>
            <w:tcW w:w="4037"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部门（单位）名称</w:t>
            </w:r>
          </w:p>
        </w:tc>
        <w:tc>
          <w:tcPr>
            <w:tcW w:w="1013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五河县武桥镇人民政府</w:t>
            </w:r>
          </w:p>
        </w:tc>
      </w:tr>
      <w:tr>
        <w:tblPrEx>
          <w:tblCellMar>
            <w:top w:w="0" w:type="dxa"/>
            <w:left w:w="108" w:type="dxa"/>
            <w:bottom w:w="0" w:type="dxa"/>
            <w:right w:w="108" w:type="dxa"/>
          </w:tblCellMar>
        </w:tblPrEx>
        <w:trPr>
          <w:wBefore w:w="0" w:type="dxa"/>
          <w:wAfter w:w="0" w:type="dxa"/>
          <w:trHeight w:val="402" w:hRule="atLeast"/>
        </w:trPr>
        <w:tc>
          <w:tcPr>
            <w:tcW w:w="122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年度主要任务</w:t>
            </w:r>
          </w:p>
        </w:tc>
        <w:tc>
          <w:tcPr>
            <w:tcW w:w="2809" w:type="dxa"/>
            <w:gridSpan w:val="2"/>
            <w:vMerge w:val="restart"/>
            <w:tcBorders>
              <w:top w:val="single" w:color="000000" w:sz="4" w:space="0"/>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任务名称</w:t>
            </w:r>
          </w:p>
        </w:tc>
        <w:tc>
          <w:tcPr>
            <w:tcW w:w="3544" w:type="dxa"/>
            <w:gridSpan w:val="2"/>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主要内容</w:t>
            </w:r>
          </w:p>
        </w:tc>
        <w:tc>
          <w:tcPr>
            <w:tcW w:w="659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预算金额（万元）</w:t>
            </w:r>
          </w:p>
        </w:tc>
      </w:tr>
      <w:tr>
        <w:tblPrEx>
          <w:tblCellMar>
            <w:top w:w="0" w:type="dxa"/>
            <w:left w:w="108" w:type="dxa"/>
            <w:bottom w:w="0" w:type="dxa"/>
            <w:right w:w="108" w:type="dxa"/>
          </w:tblCellMar>
        </w:tblPrEx>
        <w:trPr>
          <w:wBefore w:w="0" w:type="dxa"/>
          <w:wAfter w:w="0" w:type="dxa"/>
          <w:trHeight w:val="402"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vMerge w:val="continue"/>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20"/>
                <w:szCs w:val="20"/>
              </w:rPr>
            </w:pPr>
          </w:p>
        </w:tc>
        <w:tc>
          <w:tcPr>
            <w:tcW w:w="3544" w:type="dxa"/>
            <w:gridSpan w:val="2"/>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254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总额</w:t>
            </w:r>
          </w:p>
        </w:tc>
        <w:tc>
          <w:tcPr>
            <w:tcW w:w="2282"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财政拨款</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基本支出</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人员经费</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1163.23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1163.23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安全生产</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食品安全生产安全</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10.00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10.00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招商引资</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招商差旅费</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村组干部工资</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村组干部生活补贴</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345.00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345.00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村办公及体检费</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村级办公费</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72.00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72.00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信访人、乡村振兴专干、六一师范生、镇招聘人员生活补助</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信访人、乡村振兴专干、六一师范生、镇招聘人员生活补助</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92.45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92.45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办公设备购置房屋修缮</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办公设备购置及房屋维修等</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54.00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54.00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扶贫乡村振兴项目</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乡村振兴</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14.00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14.00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计生服务经费</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计生两女户代缴居民医疗保险</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60.00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60.00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人居环境美丽乡村</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和美乡村建设，环境整治</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19.90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19.90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综治经费(法制建设)</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信访维稳、综合治理</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29.00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29.00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兵役征集经费</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兵役征集经费</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8.40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8.40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农田水利维修维护</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农田水利维修维护</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科普经费</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科技普及</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5.25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5.25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普通教育</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教师节经费</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7.00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7.00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960"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809"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总预备费</w:t>
            </w:r>
          </w:p>
        </w:tc>
        <w:tc>
          <w:tcPr>
            <w:tcW w:w="3544"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预备费</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402"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353" w:type="dxa"/>
            <w:gridSpan w:val="4"/>
            <w:tcBorders>
              <w:top w:val="single" w:color="000000" w:sz="4" w:space="0"/>
              <w:left w:val="nil"/>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金额合计</w:t>
            </w:r>
          </w:p>
        </w:tc>
        <w:tc>
          <w:tcPr>
            <w:tcW w:w="2548"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1940.23 </w:t>
            </w:r>
          </w:p>
        </w:tc>
        <w:tc>
          <w:tcPr>
            <w:tcW w:w="2282" w:type="dxa"/>
            <w:tcBorders>
              <w:top w:val="nil"/>
              <w:left w:val="single" w:color="000000" w:sz="4" w:space="0"/>
              <w:bottom w:val="single" w:color="000000" w:sz="4" w:space="0"/>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1940.23 </w:t>
            </w:r>
          </w:p>
        </w:tc>
        <w:tc>
          <w:tcPr>
            <w:tcW w:w="1763" w:type="dxa"/>
            <w:tcBorders>
              <w:top w:val="nil"/>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3199" w:hRule="atLeast"/>
        </w:trPr>
        <w:tc>
          <w:tcPr>
            <w:tcW w:w="1228"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年度总体目标</w:t>
            </w:r>
          </w:p>
        </w:tc>
        <w:tc>
          <w:tcPr>
            <w:tcW w:w="12946" w:type="dxa"/>
            <w:gridSpan w:val="7"/>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宣传贯彻执行党的路线、方针、政策和上级党组织及本级组织决议，负责镇、村党总（支）两级党组织的思想、组织、作风总体建设，特别是党委班子的自身建设，做好本镇党员干部的思想政治工作，实施社会综合治理规划，促进社会主义精神文明、物质文明和政治文明的建设，处理本镇的重大问题，组织实施本镇各项中心工作，完成上级党委交给的其他工作；政府人员工资及正常运转，乡村振兴、建设和美乡村、安全生产、信访维稳、党建、文化宣传人居环境、村级人员生活补助、农田水利维修维护及办公等</w:t>
            </w:r>
          </w:p>
        </w:tc>
      </w:tr>
      <w:tr>
        <w:tblPrEx>
          <w:tblCellMar>
            <w:top w:w="0" w:type="dxa"/>
            <w:left w:w="108" w:type="dxa"/>
            <w:bottom w:w="0" w:type="dxa"/>
            <w:right w:w="108" w:type="dxa"/>
          </w:tblCellMar>
        </w:tblPrEx>
        <w:trPr>
          <w:wBefore w:w="0" w:type="dxa"/>
          <w:wAfter w:w="0" w:type="dxa"/>
          <w:trHeight w:val="402" w:hRule="atLeast"/>
        </w:trPr>
        <w:tc>
          <w:tcPr>
            <w:tcW w:w="122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年度绩效指标</w:t>
            </w:r>
          </w:p>
        </w:tc>
        <w:tc>
          <w:tcPr>
            <w:tcW w:w="17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74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5363"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产出指标</w:t>
            </w:r>
          </w:p>
        </w:tc>
        <w:tc>
          <w:tcPr>
            <w:tcW w:w="1741" w:type="dxa"/>
            <w:gridSpan w:val="2"/>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补贴村组干部人数</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≥171人</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计生服务经费补贴人</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≥460户</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农田水利维修数量</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≥20个</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养护维修合格率</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≥98%</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服务经费补助合规性</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严格执行财经法规</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补贴支出合规性</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严格执行财经法规</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村组干部补贴兑现及时性</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按月发放</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维修费用支付时效性</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根据维修工程进度付款</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计生服务经费兑现</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按时间节点</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农田水利维修费用</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≤20万元</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村组干部补贴总额</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≤345万元</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计生服务经费总额</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≤60万元</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1741" w:type="dxa"/>
            <w:gridSpan w:val="2"/>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减少财政投入成本</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明显改善</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两女户经济负担改</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改善明显</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减轻村组干部经济负</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经济负担明显改善</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提高群众生活水平促</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提高明显</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提高村组干部生活</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提高明显</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村组干部生态效益</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不适用</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乡村振兴</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环境保护</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两女户生态效益</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不适用</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后续运维管理机制</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建立制度并落实</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健全补贴政策，为</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建立健全相关制度并予以落实</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补贴政策为人民利益</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影响程度较高</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41" w:type="dxa"/>
            <w:gridSpan w:val="2"/>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补贴对象满意度</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≥98%</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≥96%</w:t>
            </w:r>
          </w:p>
        </w:tc>
      </w:tr>
      <w:tr>
        <w:tblPrEx>
          <w:tblCellMar>
            <w:top w:w="0" w:type="dxa"/>
            <w:left w:w="108" w:type="dxa"/>
            <w:bottom w:w="0" w:type="dxa"/>
            <w:right w:w="108" w:type="dxa"/>
          </w:tblCellMar>
        </w:tblPrEx>
        <w:trPr>
          <w:wBefore w:w="0" w:type="dxa"/>
          <w:wAfter w:w="0" w:type="dxa"/>
          <w:trHeight w:val="499" w:hRule="atLeast"/>
        </w:trPr>
        <w:tc>
          <w:tcPr>
            <w:tcW w:w="122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79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741" w:type="dxa"/>
            <w:gridSpan w:val="2"/>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5363" w:type="dxa"/>
            <w:gridSpan w:val="2"/>
            <w:tcBorders>
              <w:top w:val="single" w:color="000000" w:sz="4" w:space="0"/>
              <w:left w:val="nil"/>
              <w:bottom w:val="single" w:color="000000" w:sz="4" w:space="0"/>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职工满意度</w:t>
            </w:r>
          </w:p>
        </w:tc>
        <w:tc>
          <w:tcPr>
            <w:tcW w:w="40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2024_村级支出</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417.00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417.00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维持24年乡镇村组干部报酬及各项工作正常开展并圆满完成任务所需的正常运转经费</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项目覆盖村数10个</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≥10个</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生活质量</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严格执行相关财经法规</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资金拨付</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按计划及时拨付发放</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项目总成本</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≤440万元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社会发展</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提高明显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发展明显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补贴对象满意度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安全生产</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10.00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10.00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安全生产，保障地方经济发展。</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检查监督单位数量</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≥30家</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经费支出合规性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严格执行计划相关财务规定</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经费支出的及时性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按计划及时拨款</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服务对象经济负担</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减轻明显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提高公众知晓率、保障人民群众安全</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影响较高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美化环境保护资源</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宣传、普及工作可持续保障</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公众满意度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≥96百分比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办公设备购置房屋修缮</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54.00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54.00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购空调、电脑、打印机、桌椅、文件柜等，维修办公设备维修房屋等。</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设备采购房屋维修维护数量</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≥30台、套、件</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设备购置验收合格率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≥98百分比</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采购计划完成时间</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按需求计划支付</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设备购置总成本</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≤54万元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单位业务管理水平</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提升程度明显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对单位履职事业发展提升程度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提升较高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减少污染排放量</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建立科学资产配置制度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服务对象满意度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≥98百分比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兵役征集经费</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8.40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8.40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用于兵役征集，保障武装工作正常开展。</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印刷册数、份数</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≥1000份</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经费支出合规性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严格执行财经法规、制度</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经费支出时效性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经费计划支出时间</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对减轻补贴对象经济负担的改善程度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对提高公众政策、知识、制度宣传知晓率、普及率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影响程度较高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美化环境、保护资源改善程度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对宣传、普及工作提供可持续保障</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服务对象满意度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≥97百分比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扶贫乡村振兴项目</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14.00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14.00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经费保障武桥镇扶贫乡村振兴工作目标实现。</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扶贫乡村振兴的村数</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10个</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经费支出合规性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严格执行相关财经法规</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经费支出时效性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按工作计划及时拨付</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≤94万元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补贴对象经济负担</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美化环境保护资源</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影响较高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对扶贫乡村振兴工作促进</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促进程度明显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对扶贫乡村振兴工作促进持续</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影响较高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群满意度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≥98百分比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计生服务经费</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60.00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60.00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保障计生两女户医疗保险缴存及其他计生补助等</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政策补贴对象数量</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≥460户</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补贴资金支出合规性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严格执行相关财经法规</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资金支出时效性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经费计划支出时间</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计生服务费总额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≤60万元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对减轻补贴对象经济负担的改善程度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对提高群众生活水平、促进和谐社会建设的改善</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影响程度较高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美化环境、保护资源改善程度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健全补贴制度，为政策执行提供可持续保障</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建立健全相关制度并予以落实</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服务对象满意度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≥97百分比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科普经费</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5.25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5.25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科技创新，造福武桥人民。</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补贴对象</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≥10个</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资金支出合规性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严格执行相关规定</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资金支出时效性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经费计划支出时间</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≤5.6万元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补贴对象负担改善</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提高群众生活水平、促进社会和谐</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影响程度较高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美化环境保护资源</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为公共服务、保障人民利益提供长期保障</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影响程度较高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服务对象满意度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≥97百分比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农田水利维修维护</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用于农田水利维护，增加农民收入。</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维修数量</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≥20个</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养护维修合格率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≥98百分比</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经费支出时效</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经费计划支出时间</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维修总成本</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≤99.1万元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对减少财政投资成本的改善程度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对降低故障发生率、大修几率的影响程度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对保障各项业务工作正常开展的影响</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后续运维管理机制建立及落实</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建立健全相关制度予以落实</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项目受益人满意程度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≥97百分比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普通教育</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7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7</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教育均衡发展，升学率提高明显。</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受益学生数量</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≥2600人</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学科评估B以上增长率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＞89百分比</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经费支出时效性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经费支出计划时间拨付</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教育经费总投入</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减轻补贴对象经济负担</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对服务支持经济发展能力影响</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影响程度显著</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美化环境保护资源改善程度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影响较高</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对促进人才培养实力、核心竞争力提升程度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提升较高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学生满意度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≥98百分比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人居环境美丽乡村</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19.90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19.90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建设村庄美、百姓富、环境宜居的大武桥，乡村振兴。</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经费覆盖的村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≥10个</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经费支出合规性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严格执行相关财经法规</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经费支出的及时性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按计划及时拨付</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经费总数</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≤201.9万元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对人居环境的影响</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对人居环境宜居影响程度高</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生活环境美丽程度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保持人居环境美丽庭院持续</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改善较好</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群众满意程度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≥97百分比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信访人、乡村振兴专干、六一师范生、镇招聘人员生活补助</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92.45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92.45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882"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信访人员张宜国750元每月，执法队人员每人每月3000元、乡村振兴专干每人每月3044元，镇招人员每月每人2500元、食堂人员每月每人2170元、意外险社保等总计162.6万元。</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招商引资</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与客商签订合作项目、引进资金，增加本地税收收入及就业。</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外出招商次数</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≥10次</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经费支出合规性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严格执行财经法规、制度</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经费支出及时性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序时进度按需拨付</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招商考察总成本</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≤30万元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与客商签订合作项目引进资金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增加农民收入</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促进我镇经济发展，增加就业</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效果增加明显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招商项目要环保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保护环境良好</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成功引进客商增加本地收入</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效果明显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企业满意度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≥95百分比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综治经费(法制建设)</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29.00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29.00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确保武桥辖区内社会稳定、治安良好、经济顺利发展。</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惠及主体人数</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≥20000人</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印刷合格率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≥97百分比</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经费支出时效性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按经费计划支出</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项目总经费</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≤29万元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提高群众生活水平</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影响程度较高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提高公众政策制度知晓率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影响程度较高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美化环境保护资源</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对宣传工作提供可持续保障</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保障程度明显提高</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服务群众满意度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≥97百分比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tbl>
      <w:tblPr>
        <w:tblStyle w:val="8"/>
        <w:tblW w:w="0" w:type="auto"/>
        <w:tblInd w:w="0" w:type="dxa"/>
        <w:tblLayout w:type="fixed"/>
        <w:tblCellMar>
          <w:top w:w="0" w:type="dxa"/>
          <w:left w:w="108" w:type="dxa"/>
          <w:bottom w:w="0" w:type="dxa"/>
          <w:right w:w="108" w:type="dxa"/>
        </w:tblCellMar>
      </w:tblPr>
      <w:tblGrid>
        <w:gridCol w:w="698"/>
        <w:gridCol w:w="697"/>
        <w:gridCol w:w="887"/>
        <w:gridCol w:w="1057"/>
        <w:gridCol w:w="4204"/>
        <w:gridCol w:w="2906"/>
        <w:gridCol w:w="3725"/>
      </w:tblGrid>
      <w:tr>
        <w:tblPrEx>
          <w:tblCellMar>
            <w:top w:w="0" w:type="dxa"/>
            <w:left w:w="108" w:type="dxa"/>
            <w:bottom w:w="0" w:type="dxa"/>
            <w:right w:w="108" w:type="dxa"/>
          </w:tblCellMar>
        </w:tblPrEx>
        <w:trPr>
          <w:wBefore w:w="0" w:type="dxa"/>
          <w:wAfter w:w="0" w:type="dxa"/>
          <w:trHeight w:val="679" w:hRule="atLeast"/>
        </w:trPr>
        <w:tc>
          <w:tcPr>
            <w:tcW w:w="14174" w:type="dxa"/>
            <w:gridSpan w:val="7"/>
            <w:tcBorders>
              <w:top w:val="nil"/>
              <w:left w:val="nil"/>
              <w:bottom w:val="nil"/>
              <w:right w:val="nil"/>
            </w:tcBorders>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项目支出绩效目标表</w:t>
            </w:r>
          </w:p>
        </w:tc>
      </w:tr>
      <w:tr>
        <w:tblPrEx>
          <w:tblCellMar>
            <w:top w:w="0" w:type="dxa"/>
            <w:left w:w="108" w:type="dxa"/>
            <w:bottom w:w="0" w:type="dxa"/>
            <w:right w:w="108" w:type="dxa"/>
          </w:tblCellMar>
        </w:tblPrEx>
        <w:trPr>
          <w:wBefore w:w="0" w:type="dxa"/>
          <w:wAfter w:w="0" w:type="dxa"/>
          <w:trHeight w:val="282" w:hRule="atLeast"/>
        </w:trPr>
        <w:tc>
          <w:tcPr>
            <w:tcW w:w="14174" w:type="dxa"/>
            <w:gridSpan w:val="7"/>
            <w:tcBorders>
              <w:top w:val="nil"/>
              <w:left w:val="nil"/>
              <w:bottom w:val="nil"/>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（2024年度）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项目责任人：</w:t>
            </w:r>
          </w:p>
        </w:tc>
        <w:tc>
          <w:tcPr>
            <w:tcW w:w="5261" w:type="dxa"/>
            <w:gridSpan w:val="2"/>
            <w:tcBorders>
              <w:top w:val="nil"/>
              <w:left w:val="nil"/>
              <w:bottom w:val="nil"/>
              <w:right w:val="nil"/>
            </w:tcBorders>
            <w:noWrap w:val="0"/>
            <w:vAlign w:val="center"/>
          </w:tcPr>
          <w:p>
            <w:pPr>
              <w:widowControl/>
              <w:jc w:val="center"/>
              <w:rPr>
                <w:rFonts w:ascii="宋体" w:hAnsi="宋体" w:cs="宋体"/>
                <w:kern w:val="0"/>
                <w:sz w:val="18"/>
                <w:szCs w:val="18"/>
              </w:rPr>
            </w:pPr>
          </w:p>
        </w:tc>
        <w:tc>
          <w:tcPr>
            <w:tcW w:w="2906"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单位（盖章）：</w:t>
            </w:r>
          </w:p>
        </w:tc>
        <w:tc>
          <w:tcPr>
            <w:tcW w:w="3725" w:type="dxa"/>
            <w:tcBorders>
              <w:top w:val="nil"/>
              <w:left w:val="nil"/>
              <w:bottom w:val="nil"/>
              <w:right w:val="nil"/>
            </w:tcBorders>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892"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总预备费</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主管部门及代码</w:t>
            </w:r>
          </w:p>
        </w:tc>
        <w:tc>
          <w:tcPr>
            <w:tcW w:w="5261" w:type="dxa"/>
            <w:gridSpan w:val="2"/>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[206]五河县武桥镇人民政府</w:t>
            </w:r>
          </w:p>
        </w:tc>
        <w:tc>
          <w:tcPr>
            <w:tcW w:w="2906"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725"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五河县武桥镇人民政府</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项目来源</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906"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项目期</w:t>
            </w:r>
          </w:p>
        </w:tc>
        <w:tc>
          <w:tcPr>
            <w:tcW w:w="3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3年</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restart"/>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项目资金</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年度资金总额：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其中：财政拨款</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20.00 </w:t>
            </w:r>
          </w:p>
        </w:tc>
      </w:tr>
      <w:tr>
        <w:tblPrEx>
          <w:tblCellMar>
            <w:top w:w="0" w:type="dxa"/>
            <w:left w:w="108" w:type="dxa"/>
            <w:bottom w:w="0" w:type="dxa"/>
            <w:right w:w="108" w:type="dxa"/>
          </w:tblCellMar>
        </w:tblPrEx>
        <w:trPr>
          <w:wBefore w:w="0" w:type="dxa"/>
          <w:wAfter w:w="0" w:type="dxa"/>
          <w:trHeight w:val="439" w:hRule="atLeast"/>
        </w:trPr>
        <w:tc>
          <w:tcPr>
            <w:tcW w:w="2282" w:type="dxa"/>
            <w:gridSpan w:val="3"/>
            <w:vMerge w:val="continue"/>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p>
        </w:tc>
        <w:tc>
          <w:tcPr>
            <w:tcW w:w="5261" w:type="dxa"/>
            <w:gridSpan w:val="2"/>
            <w:tcBorders>
              <w:top w:val="single" w:color="000000" w:sz="4" w:space="0"/>
              <w:left w:val="single" w:color="000000" w:sz="4" w:space="0"/>
              <w:bottom w:val="single" w:color="000000" w:sz="4" w:space="0"/>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其他资金</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      0.00 </w:t>
            </w:r>
          </w:p>
        </w:tc>
      </w:tr>
      <w:tr>
        <w:tblPrEx>
          <w:tblCellMar>
            <w:top w:w="0" w:type="dxa"/>
            <w:left w:w="108" w:type="dxa"/>
            <w:bottom w:w="0" w:type="dxa"/>
            <w:right w:w="108" w:type="dxa"/>
          </w:tblCellMar>
        </w:tblPrEx>
        <w:trPr>
          <w:wBefore w:w="0" w:type="dxa"/>
          <w:wAfter w:w="0" w:type="dxa"/>
          <w:trHeight w:val="660" w:hRule="atLeast"/>
        </w:trPr>
        <w:tc>
          <w:tcPr>
            <w:tcW w:w="698" w:type="dxa"/>
            <w:tcBorders>
              <w:top w:val="nil"/>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p>
        </w:tc>
        <w:tc>
          <w:tcPr>
            <w:tcW w:w="1347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武桥镇2024年度总预备费40万元，确保应对工作中其他开支。</w:t>
            </w:r>
          </w:p>
        </w:tc>
      </w:tr>
      <w:tr>
        <w:tblPrEx>
          <w:tblCellMar>
            <w:top w:w="0" w:type="dxa"/>
            <w:left w:w="108" w:type="dxa"/>
            <w:bottom w:w="0" w:type="dxa"/>
            <w:right w:w="108" w:type="dxa"/>
          </w:tblCellMar>
        </w:tblPrEx>
        <w:trPr>
          <w:wBefore w:w="0" w:type="dxa"/>
          <w:wAfter w:w="0" w:type="dxa"/>
          <w:trHeight w:val="480" w:hRule="atLeast"/>
        </w:trPr>
        <w:tc>
          <w:tcPr>
            <w:tcW w:w="69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w:t>
            </w:r>
            <w:r>
              <w:rPr>
                <w:rFonts w:hint="eastAsia" w:ascii="宋体" w:hAnsi="宋体" w:cs="宋体"/>
                <w:kern w:val="0"/>
                <w:sz w:val="20"/>
                <w:szCs w:val="20"/>
              </w:rPr>
              <w:br w:type="textWrapping"/>
            </w:r>
            <w:r>
              <w:rPr>
                <w:rFonts w:hint="eastAsia" w:ascii="宋体" w:hAnsi="宋体" w:cs="宋体"/>
                <w:kern w:val="0"/>
                <w:sz w:val="20"/>
                <w:szCs w:val="20"/>
              </w:rPr>
              <w:t>效</w:t>
            </w:r>
            <w:r>
              <w:rPr>
                <w:rFonts w:hint="eastAsia" w:ascii="宋体" w:hAnsi="宋体" w:cs="宋体"/>
                <w:kern w:val="0"/>
                <w:sz w:val="20"/>
                <w:szCs w:val="20"/>
              </w:rPr>
              <w:br w:type="textWrapping"/>
            </w:r>
            <w:r>
              <w:rPr>
                <w:rFonts w:hint="eastAsia" w:ascii="宋体" w:hAnsi="宋体" w:cs="宋体"/>
                <w:kern w:val="0"/>
                <w:sz w:val="20"/>
                <w:szCs w:val="20"/>
              </w:rPr>
              <w:t>指</w:t>
            </w:r>
            <w:r>
              <w:rPr>
                <w:rFonts w:hint="eastAsia" w:ascii="宋体" w:hAnsi="宋体" w:cs="宋体"/>
                <w:kern w:val="0"/>
                <w:sz w:val="20"/>
                <w:szCs w:val="20"/>
              </w:rPr>
              <w:br w:type="textWrapping"/>
            </w:r>
            <w:r>
              <w:rPr>
                <w:rFonts w:hint="eastAsia" w:ascii="宋体" w:hAnsi="宋体" w:cs="宋体"/>
                <w:kern w:val="0"/>
                <w:sz w:val="20"/>
                <w:szCs w:val="20"/>
              </w:rPr>
              <w:t>标</w:t>
            </w: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服务单位数量</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≥3个</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经费支出合规性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严格执行相关财务法规</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经费支出及时性</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按计划完成拨付</w:t>
            </w:r>
          </w:p>
        </w:tc>
      </w:tr>
      <w:tr>
        <w:tblPrEx>
          <w:tblCellMar>
            <w:top w:w="0" w:type="dxa"/>
            <w:left w:w="108" w:type="dxa"/>
            <w:bottom w:w="0" w:type="dxa"/>
            <w:right w:w="108" w:type="dxa"/>
          </w:tblCellMar>
        </w:tblPrEx>
        <w:trPr>
          <w:wBefore w:w="0" w:type="dxa"/>
          <w:wAfter w:w="0" w:type="dxa"/>
          <w:trHeight w:val="48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总预备费总额</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≤40万元</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restart"/>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对减少财政投资成本的改善程度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对减轻补助补贴对象经济负担的改善程度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美化环境保护资源</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改善明显</w:t>
            </w:r>
          </w:p>
        </w:tc>
      </w:tr>
      <w:tr>
        <w:tblPrEx>
          <w:tblCellMar>
            <w:top w:w="0" w:type="dxa"/>
            <w:left w:w="108" w:type="dxa"/>
            <w:bottom w:w="0" w:type="dxa"/>
            <w:right w:w="108" w:type="dxa"/>
          </w:tblCellMar>
        </w:tblPrEx>
        <w:trPr>
          <w:wBefore w:w="0" w:type="dxa"/>
          <w:wAfter w:w="0" w:type="dxa"/>
          <w:trHeight w:val="96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vMerge w:val="continue"/>
            <w:tcBorders>
              <w:top w:val="nil"/>
              <w:left w:val="nil"/>
              <w:bottom w:val="single" w:color="000000" w:sz="4" w:space="0"/>
              <w:right w:val="nil"/>
            </w:tcBorders>
            <w:noWrap w:val="0"/>
            <w:vAlign w:val="center"/>
          </w:tcPr>
          <w:p>
            <w:pPr>
              <w:widowControl/>
              <w:jc w:val="left"/>
              <w:rPr>
                <w:rFonts w:ascii="宋体" w:hAnsi="宋体" w:cs="宋体"/>
                <w:kern w:val="0"/>
                <w:sz w:val="20"/>
                <w:szCs w:val="20"/>
              </w:rPr>
            </w:pP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对武桥镇各项工作稳定有序的持续影响</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影响明显</w:t>
            </w:r>
          </w:p>
        </w:tc>
      </w:tr>
      <w:tr>
        <w:tblPrEx>
          <w:tblCellMar>
            <w:top w:w="0" w:type="dxa"/>
            <w:left w:w="108" w:type="dxa"/>
            <w:bottom w:w="0" w:type="dxa"/>
            <w:right w:w="108" w:type="dxa"/>
          </w:tblCellMar>
        </w:tblPrEx>
        <w:trPr>
          <w:wBefore w:w="0" w:type="dxa"/>
          <w:wAfter w:w="0" w:type="dxa"/>
          <w:trHeight w:val="720" w:hRule="atLeast"/>
        </w:trPr>
        <w:tc>
          <w:tcPr>
            <w:tcW w:w="69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97" w:type="dxa"/>
            <w:tcBorders>
              <w:top w:val="nil"/>
              <w:left w:val="nil"/>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44" w:type="dxa"/>
            <w:gridSpan w:val="2"/>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204" w:type="dxa"/>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服务部门满意程度</w:t>
            </w:r>
          </w:p>
        </w:tc>
        <w:tc>
          <w:tcPr>
            <w:tcW w:w="66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≥99百分比</w:t>
            </w:r>
          </w:p>
        </w:tc>
      </w:tr>
    </w:tbl>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pStyle w:val="7"/>
        <w:spacing w:before="0" w:beforeAutospacing="0" w:after="0" w:afterAutospacing="0" w:line="600" w:lineRule="exact"/>
        <w:jc w:val="both"/>
        <w:rPr>
          <w:rFonts w:hint="eastAsia" w:ascii="楷体_GB2312" w:hAnsi="Times New Roman" w:eastAsia="楷体_GB2312"/>
          <w:kern w:val="2"/>
          <w:sz w:val="32"/>
          <w:szCs w:val="32"/>
        </w:rPr>
      </w:pPr>
    </w:p>
    <w:p>
      <w:pPr>
        <w:autoSpaceDE w:val="0"/>
        <w:autoSpaceDN w:val="0"/>
        <w:adjustRightInd w:val="0"/>
        <w:spacing w:line="560" w:lineRule="exact"/>
        <w:rPr>
          <w:rFonts w:hint="eastAsia" w:ascii="仿宋_GB2312" w:eastAsia="仿宋_GB2312" w:cs="FangSong_GB2312-Identity-H"/>
          <w:kern w:val="0"/>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
    <w:altName w:val="Times New Roman"/>
    <w:panose1 w:val="02020603050405020304"/>
    <w:charset w:val="00"/>
    <w:family w:val="auto"/>
    <w:pitch w:val="default"/>
    <w:sig w:usb0="00000000" w:usb1="00000000" w:usb2="00000029" w:usb3="00000000" w:csb0="6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80E0000" w:usb2="00000010" w:usb3="00000000" w:csb0="00040000" w:csb1="00000000"/>
  </w:font>
  <w:font w:name="FangSong_GB2312-Identity-H">
    <w:altName w:val="宋体"/>
    <w:panose1 w:val="00000000000000000000"/>
    <w:charset w:val="86"/>
    <w:family w:val="auto"/>
    <w:pitch w:val="default"/>
    <w:sig w:usb0="00000001" w:usb1="080E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rPr>
                              <w:lang/>
                            </w:rP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rPr>
                        <w:lang/>
                      </w:rP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B6C11"/>
    <w:multiLevelType w:val="multilevel"/>
    <w:tmpl w:val="27BB6C1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MGViNjU5MWFlNDdhYjE4NTIwYjczNDNiNjY2MTEifQ=="/>
  </w:docVars>
  <w:rsids>
    <w:rsidRoot w:val="003530CD"/>
    <w:rsid w:val="00010827"/>
    <w:rsid w:val="00010B8A"/>
    <w:rsid w:val="00016232"/>
    <w:rsid w:val="00017366"/>
    <w:rsid w:val="000178B5"/>
    <w:rsid w:val="000228D8"/>
    <w:rsid w:val="00031EE7"/>
    <w:rsid w:val="00036066"/>
    <w:rsid w:val="000362F4"/>
    <w:rsid w:val="00041087"/>
    <w:rsid w:val="000410A6"/>
    <w:rsid w:val="00046143"/>
    <w:rsid w:val="000469A2"/>
    <w:rsid w:val="0006147F"/>
    <w:rsid w:val="00064B4A"/>
    <w:rsid w:val="00076809"/>
    <w:rsid w:val="0007776B"/>
    <w:rsid w:val="00084284"/>
    <w:rsid w:val="0008492A"/>
    <w:rsid w:val="00085549"/>
    <w:rsid w:val="00091F7A"/>
    <w:rsid w:val="000953A0"/>
    <w:rsid w:val="00096BC1"/>
    <w:rsid w:val="000977A2"/>
    <w:rsid w:val="000B3B2B"/>
    <w:rsid w:val="000B3EC1"/>
    <w:rsid w:val="000B4AE5"/>
    <w:rsid w:val="000B5F5A"/>
    <w:rsid w:val="000B7C96"/>
    <w:rsid w:val="000C3D8D"/>
    <w:rsid w:val="000D1337"/>
    <w:rsid w:val="000D4303"/>
    <w:rsid w:val="000E1389"/>
    <w:rsid w:val="000F7FE7"/>
    <w:rsid w:val="00105CBC"/>
    <w:rsid w:val="001129E9"/>
    <w:rsid w:val="00115600"/>
    <w:rsid w:val="00120A9A"/>
    <w:rsid w:val="00123865"/>
    <w:rsid w:val="001363AC"/>
    <w:rsid w:val="0013758F"/>
    <w:rsid w:val="00140B2C"/>
    <w:rsid w:val="0014212D"/>
    <w:rsid w:val="00142BDB"/>
    <w:rsid w:val="00142C26"/>
    <w:rsid w:val="001431FC"/>
    <w:rsid w:val="001438FD"/>
    <w:rsid w:val="001512BD"/>
    <w:rsid w:val="00155799"/>
    <w:rsid w:val="00157DD6"/>
    <w:rsid w:val="00162220"/>
    <w:rsid w:val="00162B6E"/>
    <w:rsid w:val="00162C00"/>
    <w:rsid w:val="00166D89"/>
    <w:rsid w:val="00171D37"/>
    <w:rsid w:val="00174233"/>
    <w:rsid w:val="00174F4E"/>
    <w:rsid w:val="00182990"/>
    <w:rsid w:val="00183C34"/>
    <w:rsid w:val="00187692"/>
    <w:rsid w:val="00195156"/>
    <w:rsid w:val="00197643"/>
    <w:rsid w:val="001A2B12"/>
    <w:rsid w:val="001A3A0D"/>
    <w:rsid w:val="001B7BB9"/>
    <w:rsid w:val="001C1A77"/>
    <w:rsid w:val="001C5839"/>
    <w:rsid w:val="001C7F6D"/>
    <w:rsid w:val="001D09B2"/>
    <w:rsid w:val="001D293C"/>
    <w:rsid w:val="001D34C5"/>
    <w:rsid w:val="001D6E6C"/>
    <w:rsid w:val="001E0596"/>
    <w:rsid w:val="001E2175"/>
    <w:rsid w:val="001F17E3"/>
    <w:rsid w:val="002031AC"/>
    <w:rsid w:val="00210D92"/>
    <w:rsid w:val="00214861"/>
    <w:rsid w:val="002157F2"/>
    <w:rsid w:val="00232E87"/>
    <w:rsid w:val="002345BA"/>
    <w:rsid w:val="0023525E"/>
    <w:rsid w:val="00235621"/>
    <w:rsid w:val="0023575C"/>
    <w:rsid w:val="002411F2"/>
    <w:rsid w:val="00246199"/>
    <w:rsid w:val="00254BC3"/>
    <w:rsid w:val="00255124"/>
    <w:rsid w:val="00255AA4"/>
    <w:rsid w:val="00257172"/>
    <w:rsid w:val="0025717C"/>
    <w:rsid w:val="00260BAF"/>
    <w:rsid w:val="002648D9"/>
    <w:rsid w:val="00264DE5"/>
    <w:rsid w:val="00264E03"/>
    <w:rsid w:val="00270B55"/>
    <w:rsid w:val="0027379D"/>
    <w:rsid w:val="00277018"/>
    <w:rsid w:val="00277859"/>
    <w:rsid w:val="0028483A"/>
    <w:rsid w:val="002860CD"/>
    <w:rsid w:val="002865A2"/>
    <w:rsid w:val="0028689F"/>
    <w:rsid w:val="00294813"/>
    <w:rsid w:val="002A4781"/>
    <w:rsid w:val="002A70F8"/>
    <w:rsid w:val="002B011D"/>
    <w:rsid w:val="002B14B4"/>
    <w:rsid w:val="002B3815"/>
    <w:rsid w:val="002B4B88"/>
    <w:rsid w:val="002B7B04"/>
    <w:rsid w:val="002D2901"/>
    <w:rsid w:val="002D4455"/>
    <w:rsid w:val="002F18C5"/>
    <w:rsid w:val="002F3332"/>
    <w:rsid w:val="002F3A35"/>
    <w:rsid w:val="002F74C0"/>
    <w:rsid w:val="003014EA"/>
    <w:rsid w:val="003036CC"/>
    <w:rsid w:val="00311C5D"/>
    <w:rsid w:val="00311E11"/>
    <w:rsid w:val="00317214"/>
    <w:rsid w:val="00320B7E"/>
    <w:rsid w:val="003306D4"/>
    <w:rsid w:val="00330C56"/>
    <w:rsid w:val="00332559"/>
    <w:rsid w:val="00335644"/>
    <w:rsid w:val="00342DA9"/>
    <w:rsid w:val="0035084E"/>
    <w:rsid w:val="003530CD"/>
    <w:rsid w:val="00360083"/>
    <w:rsid w:val="003739B7"/>
    <w:rsid w:val="0038204E"/>
    <w:rsid w:val="003835BF"/>
    <w:rsid w:val="003917D3"/>
    <w:rsid w:val="00395223"/>
    <w:rsid w:val="003A2784"/>
    <w:rsid w:val="003B7155"/>
    <w:rsid w:val="003C06EA"/>
    <w:rsid w:val="003C06EB"/>
    <w:rsid w:val="003C1661"/>
    <w:rsid w:val="003C64FA"/>
    <w:rsid w:val="003D06CE"/>
    <w:rsid w:val="003D209E"/>
    <w:rsid w:val="003D53E9"/>
    <w:rsid w:val="003E0C0A"/>
    <w:rsid w:val="003E1598"/>
    <w:rsid w:val="003E222C"/>
    <w:rsid w:val="003E23E3"/>
    <w:rsid w:val="003E42A5"/>
    <w:rsid w:val="003E513F"/>
    <w:rsid w:val="003E759D"/>
    <w:rsid w:val="003F0B5F"/>
    <w:rsid w:val="003F2741"/>
    <w:rsid w:val="003F3744"/>
    <w:rsid w:val="003F40F2"/>
    <w:rsid w:val="00403014"/>
    <w:rsid w:val="0040708F"/>
    <w:rsid w:val="00407421"/>
    <w:rsid w:val="0041245C"/>
    <w:rsid w:val="00412DE9"/>
    <w:rsid w:val="00413681"/>
    <w:rsid w:val="00413D35"/>
    <w:rsid w:val="00414495"/>
    <w:rsid w:val="00414B51"/>
    <w:rsid w:val="004252F7"/>
    <w:rsid w:val="004301E7"/>
    <w:rsid w:val="00433F5E"/>
    <w:rsid w:val="00435907"/>
    <w:rsid w:val="00442224"/>
    <w:rsid w:val="00443521"/>
    <w:rsid w:val="00453B9B"/>
    <w:rsid w:val="00462EEE"/>
    <w:rsid w:val="004651F4"/>
    <w:rsid w:val="004658C0"/>
    <w:rsid w:val="00466A70"/>
    <w:rsid w:val="0047314F"/>
    <w:rsid w:val="004742FF"/>
    <w:rsid w:val="00474DD4"/>
    <w:rsid w:val="0048051E"/>
    <w:rsid w:val="00482D12"/>
    <w:rsid w:val="00483D60"/>
    <w:rsid w:val="004842B8"/>
    <w:rsid w:val="00484401"/>
    <w:rsid w:val="004939D4"/>
    <w:rsid w:val="00494A53"/>
    <w:rsid w:val="004A60B2"/>
    <w:rsid w:val="004B4338"/>
    <w:rsid w:val="004B7A80"/>
    <w:rsid w:val="004C0B44"/>
    <w:rsid w:val="004C53D2"/>
    <w:rsid w:val="004D4ACE"/>
    <w:rsid w:val="004D51F8"/>
    <w:rsid w:val="004E00E8"/>
    <w:rsid w:val="004E5644"/>
    <w:rsid w:val="004E68E2"/>
    <w:rsid w:val="004E7A13"/>
    <w:rsid w:val="004F0D4F"/>
    <w:rsid w:val="004F4A47"/>
    <w:rsid w:val="004F56F8"/>
    <w:rsid w:val="004F687E"/>
    <w:rsid w:val="00507061"/>
    <w:rsid w:val="0050750C"/>
    <w:rsid w:val="005126C4"/>
    <w:rsid w:val="005155E6"/>
    <w:rsid w:val="005158D7"/>
    <w:rsid w:val="00516685"/>
    <w:rsid w:val="005203FE"/>
    <w:rsid w:val="00521A08"/>
    <w:rsid w:val="005225BF"/>
    <w:rsid w:val="00524C5E"/>
    <w:rsid w:val="00526994"/>
    <w:rsid w:val="00527E22"/>
    <w:rsid w:val="0053254B"/>
    <w:rsid w:val="00532619"/>
    <w:rsid w:val="00534805"/>
    <w:rsid w:val="0053567D"/>
    <w:rsid w:val="0054176C"/>
    <w:rsid w:val="00547894"/>
    <w:rsid w:val="00547FB9"/>
    <w:rsid w:val="0055172A"/>
    <w:rsid w:val="00560895"/>
    <w:rsid w:val="00560C1D"/>
    <w:rsid w:val="005627FB"/>
    <w:rsid w:val="00570D5F"/>
    <w:rsid w:val="005726D3"/>
    <w:rsid w:val="0057280D"/>
    <w:rsid w:val="00577982"/>
    <w:rsid w:val="00590702"/>
    <w:rsid w:val="005910CB"/>
    <w:rsid w:val="00591B42"/>
    <w:rsid w:val="0059251E"/>
    <w:rsid w:val="005925A8"/>
    <w:rsid w:val="005A3A02"/>
    <w:rsid w:val="005A3BEE"/>
    <w:rsid w:val="005A4D81"/>
    <w:rsid w:val="005B5F40"/>
    <w:rsid w:val="005B6FB8"/>
    <w:rsid w:val="005B74E5"/>
    <w:rsid w:val="005C4157"/>
    <w:rsid w:val="005C61FD"/>
    <w:rsid w:val="005C6E3A"/>
    <w:rsid w:val="005D2F29"/>
    <w:rsid w:val="005D32AF"/>
    <w:rsid w:val="005D4587"/>
    <w:rsid w:val="005D6326"/>
    <w:rsid w:val="005D691E"/>
    <w:rsid w:val="005E11A4"/>
    <w:rsid w:val="005E1909"/>
    <w:rsid w:val="005E3435"/>
    <w:rsid w:val="005E426E"/>
    <w:rsid w:val="005E6D22"/>
    <w:rsid w:val="005F7A42"/>
    <w:rsid w:val="00600CED"/>
    <w:rsid w:val="00602430"/>
    <w:rsid w:val="00607E86"/>
    <w:rsid w:val="00610D49"/>
    <w:rsid w:val="00620C3F"/>
    <w:rsid w:val="006210DE"/>
    <w:rsid w:val="00624E34"/>
    <w:rsid w:val="00626AA3"/>
    <w:rsid w:val="00633677"/>
    <w:rsid w:val="00651685"/>
    <w:rsid w:val="0065187E"/>
    <w:rsid w:val="0066757E"/>
    <w:rsid w:val="00684733"/>
    <w:rsid w:val="00685BED"/>
    <w:rsid w:val="00690CC9"/>
    <w:rsid w:val="0069440E"/>
    <w:rsid w:val="006A03B3"/>
    <w:rsid w:val="006A12B7"/>
    <w:rsid w:val="006A4903"/>
    <w:rsid w:val="006A506B"/>
    <w:rsid w:val="006A5D6B"/>
    <w:rsid w:val="006B4F86"/>
    <w:rsid w:val="006C20A5"/>
    <w:rsid w:val="006D0159"/>
    <w:rsid w:val="006D0338"/>
    <w:rsid w:val="006D1FF1"/>
    <w:rsid w:val="006D4A6A"/>
    <w:rsid w:val="006E0B96"/>
    <w:rsid w:val="006E4D54"/>
    <w:rsid w:val="006E5496"/>
    <w:rsid w:val="006F3C25"/>
    <w:rsid w:val="006F428D"/>
    <w:rsid w:val="006F51AB"/>
    <w:rsid w:val="00710612"/>
    <w:rsid w:val="00715C34"/>
    <w:rsid w:val="00730F38"/>
    <w:rsid w:val="007314FD"/>
    <w:rsid w:val="00732600"/>
    <w:rsid w:val="007517D1"/>
    <w:rsid w:val="0075411E"/>
    <w:rsid w:val="007547AE"/>
    <w:rsid w:val="00754A24"/>
    <w:rsid w:val="00754FCB"/>
    <w:rsid w:val="007613B0"/>
    <w:rsid w:val="007701AA"/>
    <w:rsid w:val="0077068F"/>
    <w:rsid w:val="00775A78"/>
    <w:rsid w:val="0078198A"/>
    <w:rsid w:val="0078367D"/>
    <w:rsid w:val="00785846"/>
    <w:rsid w:val="00792ECB"/>
    <w:rsid w:val="00795485"/>
    <w:rsid w:val="00796CFE"/>
    <w:rsid w:val="007A02B5"/>
    <w:rsid w:val="007A5617"/>
    <w:rsid w:val="007B2CA0"/>
    <w:rsid w:val="007B76FB"/>
    <w:rsid w:val="007C7199"/>
    <w:rsid w:val="007D25C1"/>
    <w:rsid w:val="007D57CA"/>
    <w:rsid w:val="007D6D8D"/>
    <w:rsid w:val="007E1CAD"/>
    <w:rsid w:val="007F00E4"/>
    <w:rsid w:val="007F035B"/>
    <w:rsid w:val="00800786"/>
    <w:rsid w:val="008018D6"/>
    <w:rsid w:val="008024E3"/>
    <w:rsid w:val="00804669"/>
    <w:rsid w:val="00805EFF"/>
    <w:rsid w:val="00812AF7"/>
    <w:rsid w:val="00815757"/>
    <w:rsid w:val="00824694"/>
    <w:rsid w:val="00824710"/>
    <w:rsid w:val="00832B23"/>
    <w:rsid w:val="00840903"/>
    <w:rsid w:val="008418E7"/>
    <w:rsid w:val="00842B99"/>
    <w:rsid w:val="00845C32"/>
    <w:rsid w:val="00850E0D"/>
    <w:rsid w:val="0085496E"/>
    <w:rsid w:val="00861E53"/>
    <w:rsid w:val="00863957"/>
    <w:rsid w:val="00864A9A"/>
    <w:rsid w:val="008663B8"/>
    <w:rsid w:val="008719FA"/>
    <w:rsid w:val="00872497"/>
    <w:rsid w:val="008855DE"/>
    <w:rsid w:val="0088768E"/>
    <w:rsid w:val="0089570D"/>
    <w:rsid w:val="008A2A29"/>
    <w:rsid w:val="008B3780"/>
    <w:rsid w:val="008B64A5"/>
    <w:rsid w:val="008B71B3"/>
    <w:rsid w:val="008C7E02"/>
    <w:rsid w:val="008D4169"/>
    <w:rsid w:val="008D65F0"/>
    <w:rsid w:val="008D749A"/>
    <w:rsid w:val="008E1C71"/>
    <w:rsid w:val="008F048B"/>
    <w:rsid w:val="008F194D"/>
    <w:rsid w:val="008F4F23"/>
    <w:rsid w:val="008F5B28"/>
    <w:rsid w:val="008F6B53"/>
    <w:rsid w:val="008F7A15"/>
    <w:rsid w:val="00900354"/>
    <w:rsid w:val="009102C1"/>
    <w:rsid w:val="009105EF"/>
    <w:rsid w:val="00912B5F"/>
    <w:rsid w:val="00917DAB"/>
    <w:rsid w:val="00920B6B"/>
    <w:rsid w:val="00924D2B"/>
    <w:rsid w:val="00926A56"/>
    <w:rsid w:val="00931362"/>
    <w:rsid w:val="00931384"/>
    <w:rsid w:val="00933010"/>
    <w:rsid w:val="00941C36"/>
    <w:rsid w:val="00942904"/>
    <w:rsid w:val="009455CE"/>
    <w:rsid w:val="00945CC6"/>
    <w:rsid w:val="0094618B"/>
    <w:rsid w:val="0094746F"/>
    <w:rsid w:val="0095156E"/>
    <w:rsid w:val="00952C2D"/>
    <w:rsid w:val="0095704E"/>
    <w:rsid w:val="00960F8C"/>
    <w:rsid w:val="009623CC"/>
    <w:rsid w:val="00962A69"/>
    <w:rsid w:val="00976847"/>
    <w:rsid w:val="009842B2"/>
    <w:rsid w:val="00992328"/>
    <w:rsid w:val="009926A0"/>
    <w:rsid w:val="009967F1"/>
    <w:rsid w:val="00997DD9"/>
    <w:rsid w:val="009A7431"/>
    <w:rsid w:val="009B15C8"/>
    <w:rsid w:val="009B658D"/>
    <w:rsid w:val="009C1AD2"/>
    <w:rsid w:val="009C2881"/>
    <w:rsid w:val="009C3684"/>
    <w:rsid w:val="009D048F"/>
    <w:rsid w:val="009D157E"/>
    <w:rsid w:val="009D2D70"/>
    <w:rsid w:val="009D4049"/>
    <w:rsid w:val="009D4765"/>
    <w:rsid w:val="009E01EE"/>
    <w:rsid w:val="009E1204"/>
    <w:rsid w:val="009E30D5"/>
    <w:rsid w:val="009E559E"/>
    <w:rsid w:val="009E56B7"/>
    <w:rsid w:val="009E5DFA"/>
    <w:rsid w:val="009E6F4F"/>
    <w:rsid w:val="009F01F2"/>
    <w:rsid w:val="009F1EE0"/>
    <w:rsid w:val="009F3489"/>
    <w:rsid w:val="009F7189"/>
    <w:rsid w:val="00A02B51"/>
    <w:rsid w:val="00A10E79"/>
    <w:rsid w:val="00A119B9"/>
    <w:rsid w:val="00A11D32"/>
    <w:rsid w:val="00A13F1B"/>
    <w:rsid w:val="00A173DA"/>
    <w:rsid w:val="00A275D1"/>
    <w:rsid w:val="00A32042"/>
    <w:rsid w:val="00A364D1"/>
    <w:rsid w:val="00A36796"/>
    <w:rsid w:val="00A42890"/>
    <w:rsid w:val="00A5488A"/>
    <w:rsid w:val="00A55DB5"/>
    <w:rsid w:val="00A57993"/>
    <w:rsid w:val="00A61BBD"/>
    <w:rsid w:val="00A641BB"/>
    <w:rsid w:val="00A648AA"/>
    <w:rsid w:val="00A64D1D"/>
    <w:rsid w:val="00A66D4F"/>
    <w:rsid w:val="00A75BE3"/>
    <w:rsid w:val="00A774B6"/>
    <w:rsid w:val="00A77646"/>
    <w:rsid w:val="00A8182F"/>
    <w:rsid w:val="00A84EB3"/>
    <w:rsid w:val="00A85C85"/>
    <w:rsid w:val="00A96764"/>
    <w:rsid w:val="00AA26CF"/>
    <w:rsid w:val="00AA2947"/>
    <w:rsid w:val="00AA3771"/>
    <w:rsid w:val="00AB2229"/>
    <w:rsid w:val="00AB6686"/>
    <w:rsid w:val="00AC5B71"/>
    <w:rsid w:val="00AC688C"/>
    <w:rsid w:val="00AD163A"/>
    <w:rsid w:val="00AD23B0"/>
    <w:rsid w:val="00AD5385"/>
    <w:rsid w:val="00AD595F"/>
    <w:rsid w:val="00AE054D"/>
    <w:rsid w:val="00AE0F71"/>
    <w:rsid w:val="00AE2F82"/>
    <w:rsid w:val="00AE4C6C"/>
    <w:rsid w:val="00AF0E7A"/>
    <w:rsid w:val="00AF1529"/>
    <w:rsid w:val="00AF1EAF"/>
    <w:rsid w:val="00AF299B"/>
    <w:rsid w:val="00B01065"/>
    <w:rsid w:val="00B01851"/>
    <w:rsid w:val="00B02C9E"/>
    <w:rsid w:val="00B077D0"/>
    <w:rsid w:val="00B07DE9"/>
    <w:rsid w:val="00B15263"/>
    <w:rsid w:val="00B157AE"/>
    <w:rsid w:val="00B2319C"/>
    <w:rsid w:val="00B261AE"/>
    <w:rsid w:val="00B270FB"/>
    <w:rsid w:val="00B27A59"/>
    <w:rsid w:val="00B3478B"/>
    <w:rsid w:val="00B350A2"/>
    <w:rsid w:val="00B36400"/>
    <w:rsid w:val="00B40E79"/>
    <w:rsid w:val="00B44F23"/>
    <w:rsid w:val="00B528CD"/>
    <w:rsid w:val="00B61540"/>
    <w:rsid w:val="00B64E81"/>
    <w:rsid w:val="00B7078C"/>
    <w:rsid w:val="00B74E6F"/>
    <w:rsid w:val="00B75B05"/>
    <w:rsid w:val="00B81EA1"/>
    <w:rsid w:val="00B84BBA"/>
    <w:rsid w:val="00B853B6"/>
    <w:rsid w:val="00BA0617"/>
    <w:rsid w:val="00BA2B12"/>
    <w:rsid w:val="00BB01F8"/>
    <w:rsid w:val="00BB0892"/>
    <w:rsid w:val="00BB2E5C"/>
    <w:rsid w:val="00BB34B6"/>
    <w:rsid w:val="00BB69CB"/>
    <w:rsid w:val="00BB7959"/>
    <w:rsid w:val="00BC33C2"/>
    <w:rsid w:val="00BC518D"/>
    <w:rsid w:val="00BC579D"/>
    <w:rsid w:val="00BC5D23"/>
    <w:rsid w:val="00BC6496"/>
    <w:rsid w:val="00BD0636"/>
    <w:rsid w:val="00BD2C1C"/>
    <w:rsid w:val="00BD3F93"/>
    <w:rsid w:val="00BE2948"/>
    <w:rsid w:val="00BE69ED"/>
    <w:rsid w:val="00BF10F4"/>
    <w:rsid w:val="00BF5614"/>
    <w:rsid w:val="00BF7790"/>
    <w:rsid w:val="00C0272C"/>
    <w:rsid w:val="00C062B4"/>
    <w:rsid w:val="00C10E52"/>
    <w:rsid w:val="00C13AB8"/>
    <w:rsid w:val="00C14769"/>
    <w:rsid w:val="00C27216"/>
    <w:rsid w:val="00C41324"/>
    <w:rsid w:val="00C5145C"/>
    <w:rsid w:val="00C5196E"/>
    <w:rsid w:val="00C56ACC"/>
    <w:rsid w:val="00C6179B"/>
    <w:rsid w:val="00C66462"/>
    <w:rsid w:val="00C70DD1"/>
    <w:rsid w:val="00C859DA"/>
    <w:rsid w:val="00C86B41"/>
    <w:rsid w:val="00C86D54"/>
    <w:rsid w:val="00C875F5"/>
    <w:rsid w:val="00C90011"/>
    <w:rsid w:val="00C93248"/>
    <w:rsid w:val="00C972BE"/>
    <w:rsid w:val="00CA0326"/>
    <w:rsid w:val="00CA03AE"/>
    <w:rsid w:val="00CA0605"/>
    <w:rsid w:val="00CA070B"/>
    <w:rsid w:val="00CA1FE3"/>
    <w:rsid w:val="00CB00FF"/>
    <w:rsid w:val="00CB7478"/>
    <w:rsid w:val="00CC089F"/>
    <w:rsid w:val="00CC1583"/>
    <w:rsid w:val="00CC6A97"/>
    <w:rsid w:val="00CC6B83"/>
    <w:rsid w:val="00CD06CD"/>
    <w:rsid w:val="00CD4110"/>
    <w:rsid w:val="00CD4712"/>
    <w:rsid w:val="00CE16E1"/>
    <w:rsid w:val="00CE3EE5"/>
    <w:rsid w:val="00CE453C"/>
    <w:rsid w:val="00CE723D"/>
    <w:rsid w:val="00CF068B"/>
    <w:rsid w:val="00CF1044"/>
    <w:rsid w:val="00D02B60"/>
    <w:rsid w:val="00D049A5"/>
    <w:rsid w:val="00D04EF0"/>
    <w:rsid w:val="00D0570F"/>
    <w:rsid w:val="00D05FDD"/>
    <w:rsid w:val="00D13191"/>
    <w:rsid w:val="00D1395D"/>
    <w:rsid w:val="00D14F8E"/>
    <w:rsid w:val="00D16180"/>
    <w:rsid w:val="00D24AE8"/>
    <w:rsid w:val="00D24BE0"/>
    <w:rsid w:val="00D2547D"/>
    <w:rsid w:val="00D30801"/>
    <w:rsid w:val="00D3104C"/>
    <w:rsid w:val="00D37D78"/>
    <w:rsid w:val="00D408A6"/>
    <w:rsid w:val="00D4218B"/>
    <w:rsid w:val="00D44FBB"/>
    <w:rsid w:val="00D468C6"/>
    <w:rsid w:val="00D54C88"/>
    <w:rsid w:val="00D60614"/>
    <w:rsid w:val="00D6151A"/>
    <w:rsid w:val="00D61972"/>
    <w:rsid w:val="00D75444"/>
    <w:rsid w:val="00D76C5D"/>
    <w:rsid w:val="00D76E92"/>
    <w:rsid w:val="00D85756"/>
    <w:rsid w:val="00D90941"/>
    <w:rsid w:val="00D95487"/>
    <w:rsid w:val="00DA2C5D"/>
    <w:rsid w:val="00DA3475"/>
    <w:rsid w:val="00DA4E89"/>
    <w:rsid w:val="00DB050D"/>
    <w:rsid w:val="00DB4277"/>
    <w:rsid w:val="00DC2FFD"/>
    <w:rsid w:val="00DD2882"/>
    <w:rsid w:val="00DD3817"/>
    <w:rsid w:val="00DD4E2D"/>
    <w:rsid w:val="00DE2258"/>
    <w:rsid w:val="00DF3094"/>
    <w:rsid w:val="00DF42C5"/>
    <w:rsid w:val="00DF5100"/>
    <w:rsid w:val="00DF565B"/>
    <w:rsid w:val="00DF6ECF"/>
    <w:rsid w:val="00E07535"/>
    <w:rsid w:val="00E10333"/>
    <w:rsid w:val="00E1291C"/>
    <w:rsid w:val="00E26B65"/>
    <w:rsid w:val="00E27313"/>
    <w:rsid w:val="00E31BF5"/>
    <w:rsid w:val="00E435D0"/>
    <w:rsid w:val="00E43A1A"/>
    <w:rsid w:val="00E45D6D"/>
    <w:rsid w:val="00E45F21"/>
    <w:rsid w:val="00E4753A"/>
    <w:rsid w:val="00E52520"/>
    <w:rsid w:val="00E573AA"/>
    <w:rsid w:val="00E60B0E"/>
    <w:rsid w:val="00E63EFB"/>
    <w:rsid w:val="00E66AA9"/>
    <w:rsid w:val="00E66B49"/>
    <w:rsid w:val="00E70416"/>
    <w:rsid w:val="00E72F8F"/>
    <w:rsid w:val="00E73956"/>
    <w:rsid w:val="00E757F2"/>
    <w:rsid w:val="00E76302"/>
    <w:rsid w:val="00E764DC"/>
    <w:rsid w:val="00E828FD"/>
    <w:rsid w:val="00E84952"/>
    <w:rsid w:val="00E9198D"/>
    <w:rsid w:val="00E93F04"/>
    <w:rsid w:val="00E960EF"/>
    <w:rsid w:val="00E97911"/>
    <w:rsid w:val="00EA5C42"/>
    <w:rsid w:val="00EB29F0"/>
    <w:rsid w:val="00EB49F6"/>
    <w:rsid w:val="00ED3548"/>
    <w:rsid w:val="00ED6DB7"/>
    <w:rsid w:val="00ED7E65"/>
    <w:rsid w:val="00EE4557"/>
    <w:rsid w:val="00EE7CA2"/>
    <w:rsid w:val="00EF11E6"/>
    <w:rsid w:val="00EF32BB"/>
    <w:rsid w:val="00EF560C"/>
    <w:rsid w:val="00F0194D"/>
    <w:rsid w:val="00F108C5"/>
    <w:rsid w:val="00F1240F"/>
    <w:rsid w:val="00F14078"/>
    <w:rsid w:val="00F14C25"/>
    <w:rsid w:val="00F14ED2"/>
    <w:rsid w:val="00F2120A"/>
    <w:rsid w:val="00F23694"/>
    <w:rsid w:val="00F23F62"/>
    <w:rsid w:val="00F361F8"/>
    <w:rsid w:val="00F36B3A"/>
    <w:rsid w:val="00F458D5"/>
    <w:rsid w:val="00F4623F"/>
    <w:rsid w:val="00F626B5"/>
    <w:rsid w:val="00F6330D"/>
    <w:rsid w:val="00F64B56"/>
    <w:rsid w:val="00F67DF2"/>
    <w:rsid w:val="00F76087"/>
    <w:rsid w:val="00F77138"/>
    <w:rsid w:val="00F87F93"/>
    <w:rsid w:val="00F92D8D"/>
    <w:rsid w:val="00F945EB"/>
    <w:rsid w:val="00F94D38"/>
    <w:rsid w:val="00FA02D0"/>
    <w:rsid w:val="00FA0F82"/>
    <w:rsid w:val="00FA1908"/>
    <w:rsid w:val="00FA581E"/>
    <w:rsid w:val="00FB2C92"/>
    <w:rsid w:val="00FB2F19"/>
    <w:rsid w:val="00FB4A78"/>
    <w:rsid w:val="00FB4F6F"/>
    <w:rsid w:val="00FB5D1F"/>
    <w:rsid w:val="00FC3981"/>
    <w:rsid w:val="00FC5905"/>
    <w:rsid w:val="00FC5CC2"/>
    <w:rsid w:val="00FC732E"/>
    <w:rsid w:val="00FD18AA"/>
    <w:rsid w:val="00FD2A6C"/>
    <w:rsid w:val="00FE0C75"/>
    <w:rsid w:val="00FE1AC0"/>
    <w:rsid w:val="00FE3304"/>
    <w:rsid w:val="00FE4F65"/>
    <w:rsid w:val="00FE588F"/>
    <w:rsid w:val="00FE70EE"/>
    <w:rsid w:val="00FF56D6"/>
    <w:rsid w:val="013A102A"/>
    <w:rsid w:val="01AA6604"/>
    <w:rsid w:val="02CB5403"/>
    <w:rsid w:val="04546750"/>
    <w:rsid w:val="055172D3"/>
    <w:rsid w:val="08087A88"/>
    <w:rsid w:val="08BA5771"/>
    <w:rsid w:val="08FA50E4"/>
    <w:rsid w:val="093A2DE8"/>
    <w:rsid w:val="0A8C7FBE"/>
    <w:rsid w:val="0C2A7A8F"/>
    <w:rsid w:val="0D374B59"/>
    <w:rsid w:val="0F657030"/>
    <w:rsid w:val="10F16DCD"/>
    <w:rsid w:val="114736BA"/>
    <w:rsid w:val="14E1184E"/>
    <w:rsid w:val="15137B2E"/>
    <w:rsid w:val="156A00CF"/>
    <w:rsid w:val="19BC1F42"/>
    <w:rsid w:val="1AE71781"/>
    <w:rsid w:val="240D3AC6"/>
    <w:rsid w:val="26154EB4"/>
    <w:rsid w:val="28D61F58"/>
    <w:rsid w:val="2D55028C"/>
    <w:rsid w:val="2EFD6BCE"/>
    <w:rsid w:val="30922598"/>
    <w:rsid w:val="31973569"/>
    <w:rsid w:val="32794A1C"/>
    <w:rsid w:val="34D32B0A"/>
    <w:rsid w:val="3784633D"/>
    <w:rsid w:val="39AE31FE"/>
    <w:rsid w:val="3A30646D"/>
    <w:rsid w:val="3A766411"/>
    <w:rsid w:val="3AAB3B1E"/>
    <w:rsid w:val="3C952735"/>
    <w:rsid w:val="3D77114B"/>
    <w:rsid w:val="41B96BE3"/>
    <w:rsid w:val="42710BC5"/>
    <w:rsid w:val="43AC2EA4"/>
    <w:rsid w:val="45090E01"/>
    <w:rsid w:val="46D06EA9"/>
    <w:rsid w:val="46E46EFC"/>
    <w:rsid w:val="4760647F"/>
    <w:rsid w:val="4B756271"/>
    <w:rsid w:val="4FAB20DE"/>
    <w:rsid w:val="4FF260E2"/>
    <w:rsid w:val="52466271"/>
    <w:rsid w:val="5521453D"/>
    <w:rsid w:val="574014E1"/>
    <w:rsid w:val="584706B2"/>
    <w:rsid w:val="5A146C55"/>
    <w:rsid w:val="5B231846"/>
    <w:rsid w:val="5C361105"/>
    <w:rsid w:val="5C3D6937"/>
    <w:rsid w:val="5E1C45CB"/>
    <w:rsid w:val="5F2E6A0B"/>
    <w:rsid w:val="600A2FD4"/>
    <w:rsid w:val="60D5538B"/>
    <w:rsid w:val="60EC4EEA"/>
    <w:rsid w:val="63C16FDF"/>
    <w:rsid w:val="64183C13"/>
    <w:rsid w:val="65E80B30"/>
    <w:rsid w:val="661077FF"/>
    <w:rsid w:val="68AF296B"/>
    <w:rsid w:val="690311CC"/>
    <w:rsid w:val="6CC46B19"/>
    <w:rsid w:val="6DA40B22"/>
    <w:rsid w:val="6E4650AB"/>
    <w:rsid w:val="70412A09"/>
    <w:rsid w:val="75BF3AC1"/>
    <w:rsid w:val="75F46940"/>
    <w:rsid w:val="78A12D6F"/>
    <w:rsid w:val="7C574A54"/>
    <w:rsid w:val="7D8719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Body Text"/>
    <w:basedOn w:val="1"/>
    <w:link w:val="19"/>
    <w:qFormat/>
    <w:uiPriority w:val="1"/>
    <w:pPr>
      <w:autoSpaceDE w:val="0"/>
      <w:autoSpaceDN w:val="0"/>
      <w:jc w:val="left"/>
    </w:pPr>
    <w:rPr>
      <w:rFonts w:ascii="宋体" w:hAnsi="宋体"/>
      <w:kern w:val="0"/>
      <w:sz w:val="32"/>
      <w:szCs w:val="32"/>
    </w:rPr>
  </w:style>
  <w:style w:type="paragraph" w:styleId="4">
    <w:name w:val="Date"/>
    <w:basedOn w:val="1"/>
    <w:next w:val="1"/>
    <w:link w:val="17"/>
    <w:unhideWhenUsed/>
    <w:uiPriority w:val="99"/>
    <w:pPr>
      <w:ind w:left="100" w:leftChars="2500"/>
    </w:pPr>
  </w:style>
  <w:style w:type="paragraph" w:styleId="5">
    <w:name w:val="footer"/>
    <w:basedOn w:val="1"/>
    <w:link w:val="16"/>
    <w:unhideWhenUsed/>
    <w:uiPriority w:val="99"/>
    <w:pPr>
      <w:tabs>
        <w:tab w:val="center" w:pos="4153"/>
        <w:tab w:val="right" w:pos="8306"/>
      </w:tabs>
      <w:snapToGrid w:val="0"/>
      <w:jc w:val="left"/>
    </w:pPr>
    <w:rPr>
      <w:kern w:val="0"/>
      <w:sz w:val="18"/>
      <w:szCs w:val="18"/>
    </w:rPr>
  </w:style>
  <w:style w:type="paragraph" w:styleId="6">
    <w:name w:val="header"/>
    <w:basedOn w:val="1"/>
    <w:link w:val="18"/>
    <w:unhideWhenUsed/>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59"/>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qFormat/>
    <w:uiPriority w:val="0"/>
    <w:rPr>
      <w:b/>
      <w:bCs/>
    </w:rPr>
  </w:style>
  <w:style w:type="character" w:styleId="12">
    <w:name w:val="page number"/>
    <w:uiPriority w:val="0"/>
  </w:style>
  <w:style w:type="character" w:styleId="13">
    <w:name w:val="FollowedHyperlink"/>
    <w:basedOn w:val="10"/>
    <w:unhideWhenUsed/>
    <w:uiPriority w:val="99"/>
    <w:rPr>
      <w:color w:val="800080"/>
      <w:u w:val="single"/>
    </w:rPr>
  </w:style>
  <w:style w:type="character" w:styleId="14">
    <w:name w:val="Hyperlink"/>
    <w:basedOn w:val="10"/>
    <w:unhideWhenUsed/>
    <w:uiPriority w:val="99"/>
    <w:rPr>
      <w:color w:val="0000FF"/>
      <w:u w:val="single"/>
    </w:rPr>
  </w:style>
  <w:style w:type="character" w:customStyle="1" w:styleId="15">
    <w:name w:val="标题 1 Char"/>
    <w:link w:val="2"/>
    <w:uiPriority w:val="9"/>
    <w:rPr>
      <w:b/>
      <w:bCs/>
      <w:kern w:val="44"/>
      <w:sz w:val="44"/>
      <w:szCs w:val="44"/>
    </w:rPr>
  </w:style>
  <w:style w:type="character" w:customStyle="1" w:styleId="16">
    <w:name w:val="页脚 Char"/>
    <w:link w:val="5"/>
    <w:uiPriority w:val="99"/>
    <w:rPr>
      <w:sz w:val="18"/>
      <w:szCs w:val="18"/>
    </w:rPr>
  </w:style>
  <w:style w:type="character" w:customStyle="1" w:styleId="17">
    <w:name w:val="日期 Char"/>
    <w:basedOn w:val="10"/>
    <w:link w:val="4"/>
    <w:semiHidden/>
    <w:uiPriority w:val="99"/>
  </w:style>
  <w:style w:type="character" w:customStyle="1" w:styleId="18">
    <w:name w:val="页眉 Char"/>
    <w:link w:val="6"/>
    <w:semiHidden/>
    <w:uiPriority w:val="99"/>
    <w:rPr>
      <w:sz w:val="18"/>
      <w:szCs w:val="18"/>
    </w:rPr>
  </w:style>
  <w:style w:type="character" w:customStyle="1" w:styleId="19">
    <w:name w:val="正文文本 Char"/>
    <w:link w:val="3"/>
    <w:uiPriority w:val="1"/>
    <w:rPr>
      <w:rFonts w:ascii="宋体" w:hAnsi="宋体" w:eastAsia="宋体" w:cs="宋体"/>
      <w:sz w:val="32"/>
      <w:szCs w:val="32"/>
    </w:rPr>
  </w:style>
  <w:style w:type="paragraph" w:customStyle="1" w:styleId="20">
    <w:name w:val="xl79"/>
    <w:basedOn w:val="1"/>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rPr>
  </w:style>
  <w:style w:type="paragraph" w:customStyle="1" w:styleId="2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2">
    <w:name w:val="xl73"/>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rPr>
  </w:style>
  <w:style w:type="paragraph" w:customStyle="1" w:styleId="23">
    <w:name w:val="正文1"/>
    <w:basedOn w:val="1"/>
    <w:uiPriority w:val="0"/>
    <w:pPr>
      <w:widowControl/>
      <w:spacing w:line="480" w:lineRule="exact"/>
    </w:pPr>
    <w:rPr>
      <w:rFonts w:eastAsia="Calibri"/>
      <w:kern w:val="0"/>
      <w:szCs w:val="20"/>
      <w:lang w:val="zh-CN"/>
    </w:rPr>
  </w:style>
  <w:style w:type="paragraph" w:customStyle="1" w:styleId="24">
    <w:name w:val="xl78"/>
    <w:basedOn w:val="1"/>
    <w:uiPriority w:val="0"/>
    <w:pPr>
      <w:widowControl/>
      <w:pBdr>
        <w:bottom w:val="single" w:color="000000"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25">
    <w:name w:val="xl69"/>
    <w:basedOn w:val="1"/>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
    <w:name w:val="xl7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27">
    <w:name w:val="xl70"/>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8">
    <w:name w:val="xl67"/>
    <w:basedOn w:val="1"/>
    <w:uiPriority w:val="0"/>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29">
    <w:name w:val="Table Paragraph"/>
    <w:basedOn w:val="1"/>
    <w:qFormat/>
    <w:uiPriority w:val="1"/>
    <w:pPr>
      <w:autoSpaceDE w:val="0"/>
      <w:autoSpaceDN w:val="0"/>
      <w:jc w:val="left"/>
    </w:pPr>
    <w:rPr>
      <w:rFonts w:ascii="宋体" w:hAnsi="宋体" w:eastAsia="宋体" w:cs="宋体"/>
      <w:kern w:val="0"/>
      <w:sz w:val="22"/>
    </w:rPr>
  </w:style>
  <w:style w:type="paragraph" w:customStyle="1" w:styleId="30">
    <w:name w:val="xl82"/>
    <w:basedOn w:val="1"/>
    <w:uiPriority w:val="0"/>
    <w:pPr>
      <w:widowControl/>
      <w:spacing w:before="100" w:beforeAutospacing="1" w:after="100" w:afterAutospacing="1"/>
      <w:jc w:val="center"/>
      <w:textAlignment w:val="center"/>
    </w:pPr>
    <w:rPr>
      <w:rFonts w:ascii="宋体" w:hAnsi="宋体" w:cs="宋体"/>
      <w:color w:val="000000"/>
      <w:kern w:val="0"/>
      <w:sz w:val="22"/>
    </w:rPr>
  </w:style>
  <w:style w:type="paragraph" w:customStyle="1" w:styleId="31">
    <w:name w:val="xl77"/>
    <w:basedOn w:val="1"/>
    <w:uiPriority w:val="0"/>
    <w:pPr>
      <w:widowControl/>
      <w:spacing w:before="100" w:beforeAutospacing="1" w:after="100" w:afterAutospacing="1"/>
      <w:jc w:val="center"/>
      <w:textAlignment w:val="center"/>
    </w:pPr>
    <w:rPr>
      <w:rFonts w:ascii="黑体" w:hAnsi="黑体" w:eastAsia="黑体" w:cs="宋体"/>
      <w:color w:val="000000"/>
      <w:kern w:val="0"/>
      <w:sz w:val="32"/>
      <w:szCs w:val="32"/>
    </w:rPr>
  </w:style>
  <w:style w:type="paragraph" w:styleId="32">
    <w:name w:val="List Paragraph"/>
    <w:basedOn w:val="1"/>
    <w:qFormat/>
    <w:uiPriority w:val="1"/>
    <w:pPr>
      <w:ind w:firstLine="420" w:firstLineChars="200"/>
    </w:pPr>
  </w:style>
  <w:style w:type="paragraph" w:customStyle="1" w:styleId="33">
    <w:name w:val="Heading 3"/>
    <w:basedOn w:val="1"/>
    <w:qFormat/>
    <w:uiPriority w:val="1"/>
    <w:pPr>
      <w:autoSpaceDE w:val="0"/>
      <w:autoSpaceDN w:val="0"/>
      <w:ind w:left="887"/>
      <w:jc w:val="left"/>
      <w:outlineLvl w:val="3"/>
    </w:pPr>
    <w:rPr>
      <w:rFonts w:ascii="微软雅黑" w:hAnsi="微软雅黑" w:eastAsia="微软雅黑" w:cs="微软雅黑"/>
      <w:b/>
      <w:bCs/>
      <w:kern w:val="0"/>
      <w:sz w:val="32"/>
      <w:szCs w:val="32"/>
    </w:rPr>
  </w:style>
  <w:style w:type="paragraph" w:customStyle="1" w:styleId="34">
    <w:name w:val="xl81"/>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rPr>
  </w:style>
  <w:style w:type="paragraph" w:customStyle="1" w:styleId="35">
    <w:name w:val="xl68"/>
    <w:basedOn w:val="1"/>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6">
    <w:name w:val="xl66"/>
    <w:basedOn w:val="1"/>
    <w:uiPriority w:val="0"/>
    <w:pPr>
      <w:widowControl/>
      <w:spacing w:before="100" w:beforeAutospacing="1" w:after="100" w:afterAutospacing="1"/>
      <w:jc w:val="left"/>
    </w:pPr>
    <w:rPr>
      <w:rFonts w:ascii="Calibri" w:hAnsi="Calibri" w:cs="Calibri"/>
      <w:color w:val="000000"/>
      <w:kern w:val="0"/>
      <w:sz w:val="22"/>
    </w:rPr>
  </w:style>
  <w:style w:type="paragraph" w:customStyle="1" w:styleId="37">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rPr>
  </w:style>
  <w:style w:type="paragraph" w:customStyle="1" w:styleId="38">
    <w:name w:val="xl71"/>
    <w:basedOn w:val="1"/>
    <w:uiPriority w:val="0"/>
    <w:pPr>
      <w:widowControl/>
      <w:pBdr>
        <w:bottom w:val="single" w:color="000000" w:sz="4" w:space="0"/>
      </w:pBdr>
      <w:spacing w:before="100" w:beforeAutospacing="1" w:after="100" w:afterAutospacing="1"/>
      <w:jc w:val="left"/>
      <w:textAlignment w:val="center"/>
    </w:pPr>
    <w:rPr>
      <w:rFonts w:ascii="宋体" w:hAnsi="宋体" w:cs="宋体"/>
      <w:color w:val="000000"/>
      <w:kern w:val="0"/>
      <w:sz w:val="22"/>
    </w:rPr>
  </w:style>
  <w:style w:type="paragraph" w:customStyle="1" w:styleId="39">
    <w:name w:val="xl80"/>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2"/>
    </w:rPr>
  </w:style>
  <w:style w:type="paragraph" w:customStyle="1" w:styleId="40">
    <w:name w:val="xl7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00"/>
      <w:kern w:val="0"/>
      <w:sz w:val="24"/>
      <w:szCs w:val="24"/>
    </w:rPr>
  </w:style>
  <w:style w:type="paragraph" w:customStyle="1" w:styleId="41">
    <w:name w:val="xl7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szCs w:val="24"/>
    </w:rPr>
  </w:style>
  <w:style w:type="table" w:customStyle="1" w:styleId="42">
    <w:name w:val="Table Normal"/>
    <w:unhideWhenUsed/>
    <w:qFormat/>
    <w:uiPriority w:val="2"/>
    <w:pPr>
      <w:widowControl w:val="0"/>
      <w:autoSpaceDE w:val="0"/>
      <w:autoSpaceDN w:val="0"/>
    </w:pPr>
    <w:rPr>
      <w:sz w:val="22"/>
      <w:szCs w:val="22"/>
      <w:lang w:val="en-US" w:eastAsia="en-US" w:bidi="ar-SA"/>
    </w:rPr>
    <w:tblPr>
      <w:tblStyle w:val="8"/>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蚌埠中兴</Company>
  <Pages>89</Pages>
  <Words>4537</Words>
  <Characters>25866</Characters>
  <Lines>215</Lines>
  <Paragraphs>60</Paragraphs>
  <TotalTime>1</TotalTime>
  <ScaleCrop>false</ScaleCrop>
  <LinksUpToDate>false</LinksUpToDate>
  <CharactersWithSpaces>30343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2024-03-20T02:35:00Z</dcterms:created>
  <dc:creator>王春梅</dc:creator>
  <cp:lastModifiedBy>柴犬</cp:lastModifiedBy>
  <cp:lastPrinted>2023-02-08T07:33:00Z</cp:lastPrinted>
  <dcterms:modified xsi:type="dcterms:W3CDTF">2024-04-15T01:35:18Z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EC026D50A1EA4DFC80548F7F28CD217A_13</vt:lpwstr>
  </property>
</Properties>
</file>