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themeColor="text1"/>
          <w:szCs w:val="30"/>
        </w:rPr>
      </w:pPr>
      <w:r>
        <w:rPr>
          <w:rFonts w:hint="eastAsia" w:ascii="黑体" w:hAnsi="黑体" w:eastAsia="黑体"/>
          <w:color w:val="000000" w:themeColor="text1"/>
          <w:szCs w:val="30"/>
        </w:rPr>
        <w:t>附件6</w:t>
      </w:r>
    </w:p>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项目支出绩效评价报告</w:t>
      </w: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lang w:eastAsia="zh-CN"/>
        </w:rPr>
        <w:t>法制建设</w:t>
      </w:r>
      <w:r>
        <w:rPr>
          <w:rFonts w:hint="eastAsia" w:ascii="方正小标宋简体" w:eastAsia="方正小标宋简体" w:hAnsiTheme="majorEastAsia" w:cstheme="majorEastAsia"/>
          <w:bCs/>
          <w:color w:val="000000" w:themeColor="text1"/>
          <w:sz w:val="44"/>
          <w:szCs w:val="44"/>
        </w:rPr>
        <w:t>项目支出绩效评价报告</w:t>
      </w: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rPr>
        <w:t>2</w:t>
      </w:r>
      <w:r>
        <w:rPr>
          <w:rFonts w:hint="eastAsia" w:ascii="黑体" w:hAnsi="Arial" w:eastAsia="黑体" w:cs="Arial"/>
          <w:color w:val="000000" w:themeColor="text1"/>
          <w:sz w:val="32"/>
          <w:szCs w:val="32"/>
          <w:lang w:val="en-US" w:eastAsia="zh-CN"/>
        </w:rPr>
        <w:t>3</w:t>
      </w:r>
      <w:r>
        <w:rPr>
          <w:rFonts w:hint="eastAsia" w:ascii="黑体" w:hAnsi="Arial" w:eastAsia="黑体" w:cs="Arial"/>
          <w:color w:val="000000" w:themeColor="text1"/>
          <w:sz w:val="32"/>
          <w:szCs w:val="32"/>
        </w:rPr>
        <w:t>年4月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pPr>
        <w:numPr>
          <w:ilvl w:val="0"/>
          <w:numId w:val="1"/>
        </w:numPr>
        <w:ind w:firstLine="640" w:firstLineChars="20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摘要</w:t>
      </w:r>
    </w:p>
    <w:p>
      <w:pPr>
        <w:numPr>
          <w:ilvl w:val="0"/>
          <w:numId w:val="1"/>
        </w:numPr>
        <w:ind w:firstLine="640" w:firstLineChars="20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正文</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项目基本情况</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绩效评价工作开展情况</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综合评价情况及评价结论</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绩效评价指标分析</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主要经验及做法</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存在的问题</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有关建议</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其他需要说明的问题</w:t>
      </w: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摘 要</w:t>
      </w:r>
    </w:p>
    <w:p>
      <w:pPr>
        <w:jc w:val="left"/>
        <w:rPr>
          <w:rFonts w:ascii="仿宋_GB2312" w:hAnsi="仿宋_GB2312" w:cs="仿宋_GB2312"/>
          <w:color w:val="000000"/>
          <w:sz w:val="32"/>
          <w:szCs w:val="32"/>
        </w:rPr>
      </w:pPr>
      <w:r>
        <w:rPr>
          <w:rFonts w:hint="eastAsia" w:ascii="仿宋_GB2312" w:hAnsi="仿宋" w:cs="仿宋"/>
          <w:b/>
          <w:bCs/>
          <w:color w:val="000000" w:themeColor="text1"/>
          <w:sz w:val="32"/>
          <w:szCs w:val="32"/>
        </w:rPr>
        <w:t>一、项目基本情况：</w:t>
      </w:r>
      <w:r>
        <w:rPr>
          <w:rFonts w:hint="eastAsia" w:ascii="仿宋_GB2312" w:hAnsi="仿宋"/>
          <w:color w:val="000000" w:themeColor="text1"/>
          <w:sz w:val="32"/>
          <w:szCs w:val="32"/>
        </w:rPr>
        <w:t>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w:t>
      </w:r>
      <w:r>
        <w:rPr>
          <w:rFonts w:hint="eastAsia" w:ascii="仿宋_GB2312" w:hAnsi="仿宋"/>
          <w:color w:val="000000" w:themeColor="text1"/>
          <w:sz w:val="32"/>
          <w:szCs w:val="32"/>
          <w:lang w:eastAsia="zh-CN"/>
        </w:rPr>
        <w:t>法制建设</w:t>
      </w:r>
      <w:r>
        <w:rPr>
          <w:rFonts w:hint="eastAsia" w:ascii="仿宋_GB2312" w:hAnsi="仿宋"/>
          <w:color w:val="000000" w:themeColor="text1"/>
          <w:sz w:val="32"/>
          <w:szCs w:val="32"/>
        </w:rPr>
        <w:t>”项目包含</w:t>
      </w:r>
      <w:r>
        <w:rPr>
          <w:rFonts w:hint="eastAsia" w:ascii="仿宋_GB2312" w:hAnsi="仿宋_GB2312" w:cs="仿宋_GB2312"/>
          <w:color w:val="000000"/>
          <w:sz w:val="32"/>
          <w:szCs w:val="32"/>
        </w:rPr>
        <w:t>为会议室、妇联、扶贫办、镇武装部、综治办、统计办等部门配备相关设备，保障各部门办公正常开展。同时，按县保密局有关要求，加强保密设备替代化工作安排，为此制定202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年度</w:t>
      </w:r>
      <w:r>
        <w:rPr>
          <w:rFonts w:hint="eastAsia" w:ascii="仿宋_GB2312" w:hAnsi="仿宋_GB2312" w:cs="仿宋_GB2312"/>
          <w:color w:val="000000"/>
          <w:sz w:val="32"/>
          <w:szCs w:val="32"/>
          <w:lang w:eastAsia="zh-CN"/>
        </w:rPr>
        <w:t>法制建设</w:t>
      </w:r>
      <w:r>
        <w:rPr>
          <w:rFonts w:hint="eastAsia" w:ascii="仿宋_GB2312" w:hAnsi="仿宋_GB2312" w:cs="仿宋_GB2312"/>
          <w:color w:val="000000"/>
          <w:sz w:val="32"/>
          <w:szCs w:val="32"/>
        </w:rPr>
        <w:t>计划，预算资金总额为5万元，实际总投入金额5万元。目前，项目完成进度100%，资金支出100%。</w:t>
      </w:r>
    </w:p>
    <w:p>
      <w:pPr>
        <w:tabs>
          <w:tab w:val="left" w:pos="500"/>
        </w:tabs>
        <w:ind w:firstLine="645"/>
        <w:rPr>
          <w:rFonts w:hint="eastAsia" w:ascii="仿宋_GB2312" w:hAnsi="仿宋" w:eastAsia="仿宋_GB2312"/>
          <w:color w:val="000000" w:themeColor="text1"/>
          <w:sz w:val="32"/>
          <w:szCs w:val="32"/>
          <w:lang w:val="en-US" w:eastAsia="zh-CN"/>
        </w:rPr>
      </w:pPr>
      <w:r>
        <w:rPr>
          <w:rFonts w:hint="eastAsia" w:ascii="仿宋_GB2312" w:hAnsi="仿宋"/>
          <w:color w:val="000000" w:themeColor="text1"/>
          <w:sz w:val="32"/>
          <w:szCs w:val="32"/>
        </w:rPr>
        <w:t>二、</w:t>
      </w:r>
      <w:r>
        <w:rPr>
          <w:rFonts w:hint="eastAsia" w:ascii="仿宋_GB2312" w:hAnsi="仿宋"/>
          <w:b/>
          <w:bCs/>
          <w:color w:val="000000" w:themeColor="text1"/>
          <w:sz w:val="32"/>
          <w:szCs w:val="32"/>
        </w:rPr>
        <w:t>绩效目标及完成情况：</w:t>
      </w:r>
      <w:r>
        <w:rPr>
          <w:rFonts w:hint="eastAsia" w:ascii="仿宋_GB2312" w:hAnsi="仿宋"/>
          <w:color w:val="000000" w:themeColor="text1"/>
          <w:sz w:val="32"/>
          <w:szCs w:val="32"/>
        </w:rPr>
        <w:t>该项目的总体绩效目标是到202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年底头铺镇</w:t>
      </w:r>
      <w:r>
        <w:rPr>
          <w:rFonts w:hint="eastAsia" w:ascii="仿宋_GB2312" w:hAnsi="仿宋"/>
          <w:color w:val="000000" w:themeColor="text1"/>
          <w:sz w:val="32"/>
          <w:szCs w:val="32"/>
          <w:lang w:eastAsia="zh-CN"/>
        </w:rPr>
        <w:t>法制建设工作经费</w:t>
      </w:r>
      <w:r>
        <w:rPr>
          <w:rFonts w:hint="eastAsia" w:ascii="仿宋_GB2312" w:hAnsi="仿宋"/>
          <w:color w:val="000000" w:themeColor="text1"/>
          <w:sz w:val="32"/>
          <w:szCs w:val="32"/>
        </w:rPr>
        <w:t>不超过5万元，保障政府各部门日常办公正常开展。202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年底项目已全部完成</w:t>
      </w:r>
      <w:r>
        <w:rPr>
          <w:rFonts w:hint="eastAsia" w:ascii="仿宋_GB2312" w:hAnsi="仿宋"/>
          <w:color w:val="000000" w:themeColor="text1"/>
          <w:sz w:val="32"/>
          <w:szCs w:val="32"/>
          <w:lang w:eastAsia="zh-CN"/>
        </w:rPr>
        <w:t>。</w:t>
      </w:r>
    </w:p>
    <w:p>
      <w:pPr>
        <w:ind w:firstLine="643" w:firstLineChars="200"/>
        <w:rPr>
          <w:rFonts w:ascii="宋体" w:hAnsi="宋体" w:cs="宋体"/>
          <w:bCs/>
          <w:color w:val="000000"/>
          <w:kern w:val="0"/>
          <w:sz w:val="32"/>
          <w:szCs w:val="32"/>
        </w:rPr>
      </w:pPr>
      <w:r>
        <w:rPr>
          <w:rFonts w:hint="eastAsia" w:ascii="宋体" w:hAnsi="宋体" w:cs="宋体"/>
          <w:b/>
          <w:color w:val="000000"/>
          <w:kern w:val="0"/>
          <w:sz w:val="32"/>
          <w:szCs w:val="32"/>
        </w:rPr>
        <w:t>三、综合评价情况及评价结论：</w:t>
      </w:r>
      <w:r>
        <w:rPr>
          <w:rFonts w:hint="eastAsia" w:ascii="宋体" w:hAnsi="宋体" w:cs="宋体"/>
          <w:bCs/>
          <w:color w:val="000000"/>
          <w:kern w:val="0"/>
          <w:sz w:val="32"/>
          <w:szCs w:val="32"/>
        </w:rPr>
        <w:t>202</w:t>
      </w:r>
      <w:r>
        <w:rPr>
          <w:rFonts w:hint="eastAsia" w:ascii="宋体" w:hAnsi="宋体" w:cs="宋体"/>
          <w:bCs/>
          <w:color w:val="000000"/>
          <w:kern w:val="0"/>
          <w:sz w:val="32"/>
          <w:szCs w:val="32"/>
          <w:lang w:val="en-US" w:eastAsia="zh-CN"/>
        </w:rPr>
        <w:t>2</w:t>
      </w:r>
      <w:r>
        <w:rPr>
          <w:rFonts w:hint="eastAsia" w:ascii="宋体" w:hAnsi="宋体" w:cs="宋体"/>
          <w:bCs/>
          <w:color w:val="000000"/>
          <w:kern w:val="0"/>
          <w:sz w:val="32"/>
          <w:szCs w:val="32"/>
        </w:rPr>
        <w:t>年头铺镇“</w:t>
      </w:r>
      <w:r>
        <w:rPr>
          <w:rFonts w:hint="eastAsia" w:ascii="仿宋_GB2312" w:hAnsi="仿宋"/>
          <w:color w:val="000000" w:themeColor="text1"/>
          <w:sz w:val="32"/>
          <w:szCs w:val="32"/>
          <w:lang w:eastAsia="zh-CN"/>
        </w:rPr>
        <w:t>法制建设</w:t>
      </w:r>
      <w:r>
        <w:rPr>
          <w:rFonts w:hint="eastAsia" w:ascii="宋体" w:hAnsi="宋体" w:cs="宋体"/>
          <w:bCs/>
          <w:color w:val="000000"/>
          <w:kern w:val="0"/>
          <w:sz w:val="32"/>
          <w:szCs w:val="32"/>
        </w:rPr>
        <w:t>”项目的实施，取得了很好的成效，达到了预期目标，本次绩效评价结果为优，综合评分为100分。</w:t>
      </w:r>
    </w:p>
    <w:p>
      <w:pPr>
        <w:ind w:firstLine="643" w:firstLineChars="200"/>
      </w:pPr>
      <w:r>
        <w:rPr>
          <w:rFonts w:hint="eastAsia" w:ascii="宋体" w:hAnsi="宋体" w:cs="宋体"/>
          <w:b/>
          <w:color w:val="000000"/>
          <w:kern w:val="0"/>
          <w:sz w:val="32"/>
          <w:szCs w:val="32"/>
        </w:rPr>
        <w:t>四、项目存在的问题：</w:t>
      </w:r>
      <w:r>
        <w:rPr>
          <w:rFonts w:hint="eastAsia" w:ascii="宋体" w:hAnsi="宋体" w:cs="宋体"/>
          <w:bCs/>
          <w:color w:val="000000"/>
          <w:kern w:val="0"/>
          <w:sz w:val="32"/>
          <w:szCs w:val="32"/>
        </w:rPr>
        <w:t>部分支出内容结算不及时，执行进度较慢</w:t>
      </w:r>
      <w:r>
        <w:rPr>
          <w:rFonts w:hint="eastAsia" w:ascii="仿宋_GB2312" w:hAnsi="仿宋_GB2312" w:cs="仿宋_GB2312"/>
          <w:color w:val="000000"/>
          <w:sz w:val="32"/>
          <w:szCs w:val="32"/>
        </w:rPr>
        <w:t>。</w:t>
      </w:r>
    </w:p>
    <w:p>
      <w:pPr>
        <w:snapToGrid w:val="0"/>
        <w:spacing w:line="360" w:lineRule="auto"/>
        <w:ind w:firstLine="640"/>
      </w:pPr>
      <w:r>
        <w:rPr>
          <w:rFonts w:hint="eastAsia" w:ascii="仿宋_GB2312" w:hAnsi="仿宋_GB2312" w:cs="仿宋_GB2312"/>
          <w:b/>
          <w:bCs/>
          <w:color w:val="000000"/>
          <w:sz w:val="32"/>
          <w:szCs w:val="32"/>
        </w:rPr>
        <w:t>五、改进措施及建议：</w:t>
      </w:r>
      <w:r>
        <w:rPr>
          <w:rFonts w:hint="eastAsia" w:ascii="仿宋_GB2312" w:hAnsi="仿宋_GB2312" w:cs="仿宋_GB2312"/>
          <w:color w:val="000000"/>
          <w:sz w:val="32"/>
          <w:szCs w:val="32"/>
        </w:rPr>
        <w:t>建议科学制定工作计划，加强推进、督促，及时结算资金，提高资金支出时效。</w:t>
      </w: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pPr>
        <w:spacing w:line="560" w:lineRule="exact"/>
        <w:ind w:firstLine="645"/>
        <w:rPr>
          <w:rFonts w:ascii="黑体" w:hAnsi="黑体" w:eastAsia="黑体"/>
          <w:color w:val="000000" w:themeColor="text1"/>
          <w:sz w:val="32"/>
          <w:szCs w:val="32"/>
        </w:rPr>
      </w:pPr>
    </w:p>
    <w:p>
      <w:pPr>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、项目基本情况</w:t>
      </w:r>
    </w:p>
    <w:p>
      <w:pPr>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（一）项目概况。</w:t>
      </w:r>
    </w:p>
    <w:p>
      <w:pPr>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1、项目背景：头铺镇202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w:t>
      </w:r>
      <w:r>
        <w:rPr>
          <w:rFonts w:hint="eastAsia" w:ascii="仿宋_GB2312" w:hAnsi="仿宋"/>
          <w:color w:val="000000" w:themeColor="text1"/>
          <w:sz w:val="32"/>
          <w:szCs w:val="32"/>
          <w:lang w:eastAsia="zh-CN"/>
        </w:rPr>
        <w:t>法制建设</w:t>
      </w:r>
      <w:r>
        <w:rPr>
          <w:rFonts w:hint="eastAsia" w:ascii="仿宋_GB2312" w:hAnsi="仿宋"/>
          <w:color w:val="000000" w:themeColor="text1"/>
          <w:sz w:val="32"/>
          <w:szCs w:val="32"/>
        </w:rPr>
        <w:t>”项目包含</w:t>
      </w:r>
      <w:r>
        <w:rPr>
          <w:rFonts w:hint="eastAsia" w:ascii="仿宋_GB2312" w:hAnsi="仿宋_GB2312" w:cs="仿宋_GB2312"/>
          <w:color w:val="000000"/>
          <w:sz w:val="32"/>
          <w:szCs w:val="32"/>
        </w:rPr>
        <w:t>为会议室、妇联、扶贫办、镇武装部、综治办、统计办等部门配备相关</w:t>
      </w:r>
      <w:r>
        <w:rPr>
          <w:rFonts w:hint="eastAsia" w:ascii="仿宋_GB2312" w:hAnsi="仿宋_GB2312" w:cs="仿宋_GB2312"/>
          <w:color w:val="000000"/>
          <w:sz w:val="32"/>
          <w:szCs w:val="32"/>
          <w:lang w:eastAsia="zh-CN"/>
        </w:rPr>
        <w:t>单位</w:t>
      </w:r>
      <w:r>
        <w:rPr>
          <w:rFonts w:hint="eastAsia" w:ascii="仿宋_GB2312" w:hAnsi="仿宋_GB2312" w:cs="仿宋_GB2312"/>
          <w:color w:val="000000"/>
          <w:sz w:val="32"/>
          <w:szCs w:val="32"/>
        </w:rPr>
        <w:t>，保障各部门</w:t>
      </w:r>
      <w:r>
        <w:rPr>
          <w:rFonts w:hint="eastAsia" w:ascii="仿宋_GB2312" w:hAnsi="仿宋_GB2312" w:cs="仿宋_GB2312"/>
          <w:color w:val="000000"/>
          <w:sz w:val="32"/>
          <w:szCs w:val="32"/>
          <w:lang w:eastAsia="zh-CN"/>
        </w:rPr>
        <w:t>工作</w:t>
      </w:r>
      <w:r>
        <w:rPr>
          <w:rFonts w:hint="eastAsia" w:ascii="仿宋_GB2312" w:hAnsi="仿宋_GB2312" w:cs="仿宋_GB2312"/>
          <w:color w:val="000000"/>
          <w:sz w:val="32"/>
          <w:szCs w:val="32"/>
        </w:rPr>
        <w:t>正常开展</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为此制定2021年度</w:t>
      </w:r>
      <w:r>
        <w:rPr>
          <w:rFonts w:hint="eastAsia" w:ascii="仿宋_GB2312" w:hAnsi="仿宋_GB2312" w:cs="仿宋_GB2312"/>
          <w:color w:val="000000"/>
          <w:sz w:val="32"/>
          <w:szCs w:val="32"/>
          <w:lang w:eastAsia="zh-CN"/>
        </w:rPr>
        <w:t>法制建设</w:t>
      </w:r>
      <w:r>
        <w:rPr>
          <w:rFonts w:hint="eastAsia" w:ascii="仿宋_GB2312" w:hAnsi="仿宋_GB2312" w:cs="仿宋_GB2312"/>
          <w:color w:val="000000"/>
          <w:sz w:val="32"/>
          <w:szCs w:val="32"/>
        </w:rPr>
        <w:t>计划</w:t>
      </w:r>
      <w:r>
        <w:rPr>
          <w:rFonts w:hint="eastAsia" w:ascii="仿宋_GB2312" w:hAnsi="仿宋"/>
          <w:color w:val="000000" w:themeColor="text1"/>
          <w:sz w:val="32"/>
          <w:szCs w:val="32"/>
        </w:rPr>
        <w:t>。</w:t>
      </w:r>
    </w:p>
    <w:p>
      <w:pPr>
        <w:spacing w:line="560" w:lineRule="exact"/>
        <w:ind w:firstLine="645"/>
        <w:rPr>
          <w:rFonts w:ascii="仿宋_GB2312" w:hAnsi="仿宋_GB2312" w:cs="仿宋_GB2312"/>
          <w:color w:val="000000"/>
          <w:sz w:val="32"/>
          <w:szCs w:val="32"/>
        </w:rPr>
      </w:pPr>
      <w:r>
        <w:rPr>
          <w:rFonts w:hint="eastAsia" w:ascii="仿宋_GB2312" w:hAnsi="仿宋"/>
          <w:color w:val="000000" w:themeColor="text1"/>
          <w:sz w:val="32"/>
          <w:szCs w:val="32"/>
        </w:rPr>
        <w:t>2、主要内容及实施情况：项目起止时间：202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年1-12月，项目总投资金额：5万元。项目资金严格按工作计划有序开展，202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年度主要涉及</w:t>
      </w:r>
      <w:r>
        <w:rPr>
          <w:rFonts w:hint="eastAsia" w:ascii="仿宋_GB2312" w:hAnsi="仿宋"/>
          <w:color w:val="000000" w:themeColor="text1"/>
          <w:sz w:val="32"/>
          <w:szCs w:val="32"/>
          <w:lang w:eastAsia="zh-CN"/>
        </w:rPr>
        <w:t>法制建设</w:t>
      </w:r>
      <w:r>
        <w:rPr>
          <w:rFonts w:hint="eastAsia" w:ascii="仿宋_GB2312" w:hAnsi="仿宋"/>
          <w:color w:val="000000" w:themeColor="text1"/>
          <w:sz w:val="32"/>
          <w:szCs w:val="32"/>
        </w:rPr>
        <w:t>“办公家具”“通用设备”“专用信息设备及适配软硬件”的采购，均按照单位内控制度严格执行，相关询价及确定承接主体均通过单位政府采购领导小组研究通过。相关合同采购均按照县财政局要求执行，资金支出基本按正常进度支付，项目完成进度100%，资金支出100%，达到预期效果</w:t>
      </w:r>
      <w:r>
        <w:rPr>
          <w:rFonts w:hint="eastAsia" w:ascii="仿宋_GB2312" w:hAnsi="仿宋_GB2312" w:cs="仿宋_GB2312"/>
          <w:color w:val="000000"/>
          <w:sz w:val="32"/>
          <w:szCs w:val="32"/>
        </w:rPr>
        <w:t>。</w:t>
      </w:r>
    </w:p>
    <w:p>
      <w:pPr>
        <w:spacing w:line="560" w:lineRule="exact"/>
        <w:ind w:firstLine="645"/>
        <w:rPr>
          <w:rFonts w:ascii="仿宋_GB2312" w:hAnsi="仿宋_GB2312" w:cs="仿宋_GB2312"/>
          <w:color w:val="000000"/>
          <w:sz w:val="32"/>
          <w:szCs w:val="32"/>
        </w:rPr>
      </w:pPr>
      <w:r>
        <w:rPr>
          <w:rFonts w:hint="eastAsia" w:ascii="仿宋_GB2312" w:hAnsi="仿宋_GB2312" w:cs="仿宋_GB2312"/>
          <w:color w:val="000000"/>
          <w:sz w:val="32"/>
          <w:szCs w:val="32"/>
        </w:rPr>
        <w:t>3、</w:t>
      </w:r>
      <w:r>
        <w:rPr>
          <w:rFonts w:hint="eastAsia" w:ascii="仿宋_GB2312" w:hAnsi="仿宋"/>
          <w:color w:val="000000" w:themeColor="text1"/>
          <w:sz w:val="32"/>
          <w:szCs w:val="32"/>
        </w:rPr>
        <w:t>资金投入和使用情况：</w:t>
      </w:r>
      <w:r>
        <w:rPr>
          <w:rFonts w:hint="eastAsia" w:ascii="仿宋_GB2312" w:hAnsi="仿宋"/>
          <w:color w:val="000000" w:themeColor="text1"/>
          <w:sz w:val="32"/>
          <w:szCs w:val="32"/>
          <w:lang w:eastAsia="zh-CN"/>
        </w:rPr>
        <w:t>法制建设</w:t>
      </w:r>
      <w:r>
        <w:rPr>
          <w:rFonts w:hint="eastAsia" w:ascii="仿宋_GB2312" w:hAnsi="仿宋"/>
          <w:color w:val="000000" w:themeColor="text1"/>
          <w:sz w:val="32"/>
          <w:szCs w:val="32"/>
        </w:rPr>
        <w:t>总投资金额5万元。项目经费主要用于购置电脑、空调、会议桌、会议椅、书柜、电视、保密设备等。其中：“办公家具”支出11310元；“通用设备”支出28740元，“专用设备”9950元，合计50000元</w:t>
      </w:r>
      <w:r>
        <w:rPr>
          <w:rFonts w:hint="eastAsia" w:ascii="仿宋_GB2312" w:hAnsi="仿宋_GB2312" w:cs="仿宋_GB2312"/>
          <w:color w:val="000000"/>
          <w:sz w:val="32"/>
          <w:szCs w:val="32"/>
        </w:rPr>
        <w:t>。</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（二）项目绩效目标。通过实施</w:t>
      </w:r>
      <w:r>
        <w:rPr>
          <w:rFonts w:hint="eastAsia" w:ascii="仿宋_GB2312" w:hAnsi="仿宋"/>
          <w:color w:val="000000" w:themeColor="text1"/>
          <w:sz w:val="32"/>
          <w:szCs w:val="32"/>
          <w:lang w:eastAsia="zh-CN"/>
        </w:rPr>
        <w:t>法制建设</w:t>
      </w:r>
      <w:r>
        <w:rPr>
          <w:rFonts w:hint="eastAsia" w:ascii="仿宋_GB2312" w:hAnsi="仿宋"/>
          <w:color w:val="000000" w:themeColor="text1"/>
          <w:sz w:val="32"/>
          <w:szCs w:val="32"/>
        </w:rPr>
        <w:t>办公设备采购，配齐会议室、保密室必要设备，保障会议室正常使用，各部门办公正常开展，确保保密工作扎实有效进行，为头铺镇各项工作顺利推进提供保障。</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、绩效评价工作开展情况</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（一）绩效评价目的、对象和范围。</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绩效评价目的：通过评价项目的推进情况和实际效果，查找项目资金管理过程中存在的问题，为政府决策提供依据，促进财政资金发挥最大效益。</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对象和范围：头铺镇202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w:t>
      </w:r>
      <w:r>
        <w:rPr>
          <w:rFonts w:hint="eastAsia" w:ascii="仿宋_GB2312" w:hAnsi="仿宋"/>
          <w:color w:val="000000" w:themeColor="text1"/>
          <w:sz w:val="32"/>
          <w:szCs w:val="32"/>
          <w:lang w:eastAsia="zh-CN"/>
        </w:rPr>
        <w:t>法制建设</w:t>
      </w:r>
      <w:r>
        <w:rPr>
          <w:rFonts w:hint="eastAsia" w:ascii="仿宋_GB2312" w:hAnsi="仿宋"/>
          <w:color w:val="000000" w:themeColor="text1"/>
          <w:sz w:val="32"/>
          <w:szCs w:val="32"/>
        </w:rPr>
        <w:t>”项目所包含的所有采购设备。</w:t>
      </w:r>
    </w:p>
    <w:p>
      <w:pPr>
        <w:numPr>
          <w:ilvl w:val="0"/>
          <w:numId w:val="3"/>
        </w:num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绩效评价原则、评价指标体系（附表说明）、评价方法、评价标准等。</w:t>
      </w:r>
    </w:p>
    <w:p>
      <w:pPr>
        <w:tabs>
          <w:tab w:val="left" w:pos="0"/>
        </w:tabs>
        <w:adjustRightInd w:val="0"/>
        <w:snapToGrid w:val="0"/>
        <w:spacing w:line="360" w:lineRule="auto"/>
        <w:ind w:firstLine="598" w:firstLineChars="187"/>
        <w:rPr>
          <w:rFonts w:ascii="宋体" w:hAnsi="宋体"/>
          <w:sz w:val="32"/>
          <w:szCs w:val="32"/>
        </w:rPr>
      </w:pPr>
      <w:r>
        <w:rPr>
          <w:rFonts w:hint="eastAsia" w:ascii="宋体" w:hAnsi="宋体"/>
          <w:sz w:val="32"/>
          <w:szCs w:val="32"/>
        </w:rPr>
        <w:t>1、绩效评价的原则</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（1）系统性原则。本次绩效评价严格执行规定的程序，按照科学可行的要求，采用定量与定性分析相结合的方法，系统反映财政支出所产生的社会效益、可持续影响。</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（2）公正公开原则。本次绩效评价真实、客观、公正，依法公开并接受监督。</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（3）绩效相关原则。绩效评价针对具体支出及其产出绩效进行，评价结果清晰反映支出和产出绩效之间的紧密对应关系。</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（4）经济性原则。</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2、评价指标体系</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根据《财政部关于印发&lt;财政支出绩效评价管理暂行办法&gt;的通知》（财预【2011】285号）的有关规定，本次评价指标分体系由三级指标组成，一级指标分值统一设置为：产出指标50分、效益指标30分、服务对象满意度指标10分、预算资金执行率10分。定性指标根据指标完成情况分为：达成预期指标、部分达成预期指标并具有一定效果、未达成预期指标且效果较差三档，分别按照该指标对应分值区间100-80%(含80%)、80-60%(含60%)、60-0%合理确定分值。总分共计100分。</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绩效评价实行百分制，计分采用量化指标，满分为100分。根据得分的不同情况将评价结果划分为四个等级：得分S≥85为优；85＞S≥75为良好；75＞S≥60为中等； S＜60分为差。</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指标体系及分值详见下表。</w:t>
      </w:r>
    </w:p>
    <w:tbl>
      <w:tblPr>
        <w:tblStyle w:val="5"/>
        <w:tblW w:w="8198" w:type="dxa"/>
        <w:tblInd w:w="96" w:type="dxa"/>
        <w:tblLayout w:type="autofit"/>
        <w:tblCellMar>
          <w:top w:w="0" w:type="dxa"/>
          <w:left w:w="108" w:type="dxa"/>
          <w:bottom w:w="0" w:type="dxa"/>
          <w:right w:w="108" w:type="dxa"/>
        </w:tblCellMar>
      </w:tblPr>
      <w:tblGrid>
        <w:gridCol w:w="1021"/>
        <w:gridCol w:w="1387"/>
        <w:gridCol w:w="1579"/>
        <w:gridCol w:w="3238"/>
        <w:gridCol w:w="973"/>
      </w:tblGrid>
      <w:tr>
        <w:tblPrEx>
          <w:tblCellMar>
            <w:top w:w="0" w:type="dxa"/>
            <w:left w:w="108" w:type="dxa"/>
            <w:bottom w:w="0" w:type="dxa"/>
            <w:right w:w="108" w:type="dxa"/>
          </w:tblCellMar>
        </w:tblPrEx>
        <w:trPr>
          <w:trHeight w:val="928" w:hRule="atLeast"/>
        </w:trPr>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r>
      <w:tr>
        <w:tblPrEx>
          <w:tblCellMar>
            <w:top w:w="0" w:type="dxa"/>
            <w:left w:w="108" w:type="dxa"/>
            <w:bottom w:w="0" w:type="dxa"/>
            <w:right w:w="108" w:type="dxa"/>
          </w:tblCellMar>
        </w:tblPrEx>
        <w:trPr>
          <w:trHeight w:val="744"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办公设备采购数量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r>
      <w:tr>
        <w:tblPrEx>
          <w:tblCellMar>
            <w:top w:w="0" w:type="dxa"/>
            <w:left w:w="108" w:type="dxa"/>
            <w:bottom w:w="0" w:type="dxa"/>
            <w:right w:w="108" w:type="dxa"/>
          </w:tblCellMar>
        </w:tblPrEx>
        <w:trPr>
          <w:trHeight w:val="683"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质量指标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办公设备购置验收合格率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63"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时效指标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项目完成及时性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744"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成本指标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项目投资总额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98"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经济效益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项目单位业务管理水平的提升情况</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r>
      <w:tr>
        <w:tblPrEx>
          <w:tblCellMar>
            <w:top w:w="0" w:type="dxa"/>
            <w:left w:w="108" w:type="dxa"/>
            <w:bottom w:w="0" w:type="dxa"/>
            <w:right w:w="108" w:type="dxa"/>
          </w:tblCellMar>
        </w:tblPrEx>
        <w:trPr>
          <w:trHeight w:val="652"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社会效益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对单位履职、促进单位事业发展的提升程度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r>
      <w:tr>
        <w:tblPrEx>
          <w:tblCellMar>
            <w:top w:w="0" w:type="dxa"/>
            <w:left w:w="108" w:type="dxa"/>
            <w:bottom w:w="0" w:type="dxa"/>
            <w:right w:w="108" w:type="dxa"/>
          </w:tblCellMar>
        </w:tblPrEx>
        <w:trPr>
          <w:trHeight w:val="652"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生态效益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节能减排，节约资源</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r>
      <w:tr>
        <w:tblPrEx>
          <w:tblCellMar>
            <w:top w:w="0" w:type="dxa"/>
            <w:left w:w="108" w:type="dxa"/>
            <w:bottom w:w="0" w:type="dxa"/>
            <w:right w:w="108" w:type="dxa"/>
          </w:tblCellMar>
        </w:tblPrEx>
        <w:trPr>
          <w:trHeight w:val="821"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可持续影响指标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健全的补贴制度，为政策执行提供可持续保障</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r>
      <w:tr>
        <w:tblPrEx>
          <w:tblCellMar>
            <w:top w:w="0" w:type="dxa"/>
            <w:left w:w="108" w:type="dxa"/>
            <w:bottom w:w="0" w:type="dxa"/>
            <w:right w:w="108" w:type="dxa"/>
          </w:tblCellMar>
        </w:tblPrEx>
        <w:trPr>
          <w:trHeight w:val="1346"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满意度指标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服务对象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满意度指标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服务对象满意度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bl>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3、评价方法</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本次绩效评价方法主要采用成本效益分析法、比较法、因素分析法、公众评判法等。</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（1）成本效益分析法。将一定时期内的支出与效益进行对比分析，以评价绩效目标实现程度。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（2）比较法。是指通过对绩效目标计划与实施效果比较，综合分析绩效目标实现程度。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（3）因素分析法。是指通过综合分析影响绩效目标实现、实施效果的内外因素，评价绩效目标实现程度。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（4）公众评判法。是指通过公众问卷调查等对财政支出效果和影响进行评判，评价绩效目标的满意度。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4、评价标准</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绩效评价标准是指衡量财政支出绩效目标完成程度的尺度。本次绩效评价标准主要采用计划标准和行业标准，以预先制定的绩效目标、计划、预算等数据和相关法律、法规、文件等作为评价的标准。</w:t>
      </w:r>
    </w:p>
    <w:p>
      <w:pPr>
        <w:numPr>
          <w:ilvl w:val="0"/>
          <w:numId w:val="3"/>
        </w:num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绩效评价工作过程。</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头铺镇党委、政府非常重视202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年部门绩效自评工作，抽调农技、财政、国土等部门人员组成自评小组，在</w:t>
      </w:r>
      <w:r>
        <w:rPr>
          <w:rFonts w:hint="eastAsia" w:ascii="仿宋_GB2312" w:hAnsi="仿宋"/>
          <w:color w:val="000000" w:themeColor="text1"/>
          <w:sz w:val="32"/>
          <w:szCs w:val="32"/>
        </w:rPr>
        <w:t>办公设备购置</w:t>
      </w:r>
      <w:r>
        <w:rPr>
          <w:rFonts w:hint="eastAsia" w:ascii="仿宋_GB2312" w:hAnsi="仿宋_GB2312" w:cs="仿宋_GB2312"/>
          <w:color w:val="000000"/>
          <w:sz w:val="32"/>
          <w:szCs w:val="32"/>
        </w:rPr>
        <w:t>的实施过程中同时进行绩效自评：</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1.数据填报和采集。采集项目实施前期、实施过程中及项目结束相关资料和数据。</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2.社会调查。对目标人群满意度和项目实施社会影响进行调查。</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3.数据分析和撰写报告。整理分析收集的数据，撰写自评报告。</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在执行评价工作过程中，绩效评价小组详细审查项目涉及金额5万元，占全部项目支出的100%，并进行实地查看，实地查看结果和资料审查结果无差异。</w:t>
      </w:r>
    </w:p>
    <w:p>
      <w:pPr>
        <w:numPr>
          <w:ilvl w:val="0"/>
          <w:numId w:val="4"/>
        </w:numPr>
        <w:tabs>
          <w:tab w:val="left" w:pos="500"/>
        </w:tabs>
        <w:spacing w:line="360" w:lineRule="auto"/>
        <w:ind w:firstLine="645"/>
        <w:rPr>
          <w:rFonts w:ascii="仿宋_GB2312" w:hAnsi="仿宋"/>
          <w:b/>
          <w:bCs/>
          <w:color w:val="000000" w:themeColor="text1"/>
          <w:sz w:val="32"/>
          <w:szCs w:val="32"/>
        </w:rPr>
      </w:pPr>
      <w:r>
        <w:rPr>
          <w:rFonts w:ascii="黑体" w:hAnsi="黑体" w:eastAsia="黑体"/>
          <w:b/>
          <w:bCs/>
          <w:color w:val="000000" w:themeColor="text1"/>
          <w:sz w:val="32"/>
          <w:szCs w:val="32"/>
        </w:rPr>
        <w:t>综合评价情况及</w:t>
      </w:r>
      <w:r>
        <w:rPr>
          <w:rFonts w:hint="eastAsia" w:ascii="黑体" w:hAnsi="黑体" w:eastAsia="黑体"/>
          <w:b/>
          <w:bCs/>
          <w:color w:val="000000" w:themeColor="text1"/>
          <w:sz w:val="32"/>
          <w:szCs w:val="32"/>
        </w:rPr>
        <w:t>评价</w:t>
      </w:r>
      <w:r>
        <w:rPr>
          <w:rFonts w:ascii="黑体" w:hAnsi="黑体" w:eastAsia="黑体"/>
          <w:b/>
          <w:bCs/>
          <w:color w:val="000000" w:themeColor="text1"/>
          <w:sz w:val="32"/>
          <w:szCs w:val="32"/>
        </w:rPr>
        <w:t>结论</w:t>
      </w:r>
      <w:r>
        <w:rPr>
          <w:rFonts w:hint="eastAsia" w:ascii="仿宋_GB2312" w:hAnsi="仿宋"/>
          <w:b/>
          <w:bCs/>
          <w:color w:val="000000" w:themeColor="text1"/>
          <w:sz w:val="32"/>
          <w:szCs w:val="32"/>
        </w:rPr>
        <w:t>（附相关评分表）</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（一）综合评价情况</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2021年头铺镇“</w:t>
      </w:r>
      <w:r>
        <w:rPr>
          <w:rFonts w:hint="eastAsia" w:ascii="仿宋_GB2312" w:hAnsi="仿宋"/>
          <w:color w:val="000000" w:themeColor="text1"/>
          <w:sz w:val="32"/>
          <w:szCs w:val="32"/>
          <w:lang w:eastAsia="zh-CN"/>
        </w:rPr>
        <w:t>法制建设</w:t>
      </w:r>
      <w:r>
        <w:rPr>
          <w:rFonts w:hint="eastAsia" w:ascii="宋体" w:hAnsi="宋体" w:cs="宋体"/>
          <w:bCs/>
          <w:color w:val="000000"/>
          <w:kern w:val="0"/>
          <w:sz w:val="32"/>
          <w:szCs w:val="32"/>
        </w:rPr>
        <w:t>”项目的实施，取得了很好的成效，通过项目实施，充分发挥了单位领导小组功能，有效执行了单位内控制度，进一步提高了预算绩效管理。</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w:t>
      </w:r>
      <w:r>
        <w:rPr>
          <w:rFonts w:hint="eastAsia" w:ascii="仿宋_GB2312" w:hAnsi="仿宋"/>
          <w:color w:val="000000" w:themeColor="text1"/>
          <w:sz w:val="32"/>
          <w:szCs w:val="32"/>
          <w:lang w:eastAsia="zh-CN"/>
        </w:rPr>
        <w:t>法制建设</w:t>
      </w:r>
      <w:r>
        <w:rPr>
          <w:rFonts w:hint="eastAsia" w:ascii="宋体" w:hAnsi="宋体" w:cs="宋体"/>
          <w:bCs/>
          <w:color w:val="000000"/>
          <w:kern w:val="0"/>
          <w:sz w:val="32"/>
          <w:szCs w:val="32"/>
        </w:rPr>
        <w:t>”项目立项依据充分，绩效目标设置合理明确，资金筹措机制明确；项目管理规范，制度健全，资金使用基本规范，能把考核结果运用到实际工作中；各项指标均达到年度目标值，项目产出完成情况良好；服务对象满意度高。</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（二）评价结论</w:t>
      </w:r>
    </w:p>
    <w:p>
      <w:pPr>
        <w:tabs>
          <w:tab w:val="left" w:pos="500"/>
        </w:tabs>
        <w:spacing w:line="560" w:lineRule="exact"/>
        <w:rPr>
          <w:rFonts w:ascii="宋体" w:hAnsi="宋体" w:cs="宋体"/>
          <w:bCs/>
          <w:color w:val="000000"/>
          <w:kern w:val="0"/>
          <w:sz w:val="32"/>
          <w:szCs w:val="32"/>
        </w:rPr>
      </w:pPr>
      <w:r>
        <w:rPr>
          <w:rFonts w:hint="eastAsia" w:ascii="宋体" w:hAnsi="宋体" w:cs="宋体"/>
          <w:bCs/>
          <w:color w:val="000000"/>
          <w:kern w:val="0"/>
          <w:sz w:val="32"/>
          <w:szCs w:val="32"/>
        </w:rPr>
        <w:t>本次绩效评价结果为优，综合评分为100分。</w:t>
      </w:r>
    </w:p>
    <w:tbl>
      <w:tblPr>
        <w:tblStyle w:val="5"/>
        <w:tblW w:w="8280" w:type="dxa"/>
        <w:tblInd w:w="96" w:type="dxa"/>
        <w:tblLayout w:type="autofit"/>
        <w:tblCellMar>
          <w:top w:w="0" w:type="dxa"/>
          <w:left w:w="108" w:type="dxa"/>
          <w:bottom w:w="0" w:type="dxa"/>
          <w:right w:w="108" w:type="dxa"/>
        </w:tblCellMar>
      </w:tblPr>
      <w:tblGrid>
        <w:gridCol w:w="624"/>
        <w:gridCol w:w="603"/>
        <w:gridCol w:w="663"/>
        <w:gridCol w:w="1429"/>
        <w:gridCol w:w="773"/>
        <w:gridCol w:w="376"/>
        <w:gridCol w:w="666"/>
        <w:gridCol w:w="750"/>
        <w:gridCol w:w="519"/>
        <w:gridCol w:w="571"/>
        <w:gridCol w:w="816"/>
        <w:gridCol w:w="490"/>
      </w:tblGrid>
      <w:tr>
        <w:tblPrEx>
          <w:tblCellMar>
            <w:top w:w="0" w:type="dxa"/>
            <w:left w:w="108" w:type="dxa"/>
            <w:bottom w:w="0" w:type="dxa"/>
            <w:right w:w="108" w:type="dxa"/>
          </w:tblCellMar>
        </w:tblPrEx>
        <w:trPr>
          <w:trHeight w:val="90" w:hRule="atLeast"/>
        </w:trPr>
        <w:tc>
          <w:tcPr>
            <w:tcW w:w="8280" w:type="dxa"/>
            <w:gridSpan w:val="12"/>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18"/>
                <w:szCs w:val="18"/>
              </w:rPr>
            </w:pPr>
            <w:r>
              <w:rPr>
                <w:rStyle w:val="12"/>
                <w:rFonts w:hint="default"/>
              </w:rPr>
              <w:t>项目支出绩效自评表</w:t>
            </w:r>
          </w:p>
        </w:tc>
      </w:tr>
      <w:tr>
        <w:tblPrEx>
          <w:tblCellMar>
            <w:top w:w="0" w:type="dxa"/>
            <w:left w:w="108" w:type="dxa"/>
            <w:bottom w:w="0" w:type="dxa"/>
            <w:right w:w="108" w:type="dxa"/>
          </w:tblCellMar>
        </w:tblPrEx>
        <w:trPr>
          <w:trHeight w:val="90" w:hRule="atLeast"/>
        </w:trPr>
        <w:tc>
          <w:tcPr>
            <w:tcW w:w="8280" w:type="dxa"/>
            <w:gridSpan w:val="12"/>
            <w:tcBorders>
              <w:top w:val="nil"/>
              <w:left w:val="nil"/>
              <w:bottom w:val="nil"/>
              <w:right w:val="nil"/>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22"/>
                <w:szCs w:val="22"/>
              </w:rPr>
              <w:t>（  202</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 xml:space="preserve"> 年度）</w:t>
            </w:r>
          </w:p>
        </w:tc>
      </w:tr>
      <w:tr>
        <w:tblPrEx>
          <w:tblCellMar>
            <w:top w:w="0" w:type="dxa"/>
            <w:left w:w="108" w:type="dxa"/>
            <w:bottom w:w="0" w:type="dxa"/>
            <w:right w:w="108" w:type="dxa"/>
          </w:tblCellMar>
        </w:tblPrEx>
        <w:trPr>
          <w:trHeight w:val="90" w:hRule="atLeast"/>
        </w:trPr>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项目名称</w:t>
            </w:r>
          </w:p>
        </w:tc>
        <w:tc>
          <w:tcPr>
            <w:tcW w:w="63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20"/>
                <w:szCs w:val="20"/>
                <w:lang w:eastAsia="zh-CN"/>
              </w:rPr>
              <w:t>法制建设</w:t>
            </w:r>
          </w:p>
        </w:tc>
      </w:tr>
      <w:tr>
        <w:tblPrEx>
          <w:tblCellMar>
            <w:top w:w="0" w:type="dxa"/>
            <w:left w:w="108" w:type="dxa"/>
            <w:bottom w:w="0" w:type="dxa"/>
            <w:right w:w="108" w:type="dxa"/>
          </w:tblCellMar>
        </w:tblPrEx>
        <w:trPr>
          <w:trHeight w:val="90" w:hRule="atLeast"/>
        </w:trPr>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主管部门</w:t>
            </w:r>
          </w:p>
        </w:tc>
        <w:tc>
          <w:tcPr>
            <w:tcW w:w="3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头铺镇人民政府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实施单位</w:t>
            </w:r>
          </w:p>
        </w:tc>
        <w:tc>
          <w:tcPr>
            <w:tcW w:w="2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头铺镇人民政府</w:t>
            </w:r>
          </w:p>
        </w:tc>
      </w:tr>
      <w:tr>
        <w:tblPrEx>
          <w:tblCellMar>
            <w:top w:w="0" w:type="dxa"/>
            <w:left w:w="108" w:type="dxa"/>
            <w:bottom w:w="0" w:type="dxa"/>
            <w:right w:w="108" w:type="dxa"/>
          </w:tblCellMar>
        </w:tblPrEx>
        <w:trPr>
          <w:trHeight w:val="90" w:hRule="atLeast"/>
        </w:trPr>
        <w:tc>
          <w:tcPr>
            <w:tcW w:w="18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7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年初预算数</w:t>
            </w:r>
          </w:p>
        </w:tc>
        <w:tc>
          <w:tcPr>
            <w:tcW w:w="1042"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全年预算数（A）</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全年执行数（B）</w:t>
            </w:r>
          </w:p>
        </w:tc>
        <w:tc>
          <w:tcPr>
            <w:tcW w:w="57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分值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执行率（B/A)</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trHeight w:val="90" w:hRule="atLeast"/>
        </w:trPr>
        <w:tc>
          <w:tcPr>
            <w:tcW w:w="18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年度资金总额：</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90" w:hRule="atLeast"/>
        </w:trPr>
        <w:tc>
          <w:tcPr>
            <w:tcW w:w="18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Style w:val="15"/>
                <w:rFonts w:hint="default"/>
                <w:sz w:val="24"/>
                <w:szCs w:val="24"/>
              </w:rPr>
              <w:t>其中：本年财政拨款</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5</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90" w:hRule="atLeast"/>
        </w:trPr>
        <w:tc>
          <w:tcPr>
            <w:tcW w:w="18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 xml:space="preserve">    上年结转资金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90" w:hRule="atLeast"/>
        </w:trPr>
        <w:tc>
          <w:tcPr>
            <w:tcW w:w="18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Style w:val="15"/>
                <w:rFonts w:hint="default"/>
                <w:sz w:val="24"/>
                <w:szCs w:val="24"/>
              </w:rPr>
              <w:t xml:space="preserve">      其他资金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lang w:val="en-US" w:eastAsia="zh-CN" w:bidi="ar-SA"/>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8"/>
                <w:szCs w:val="18"/>
                <w:lang w:val="en-US" w:eastAsia="zh-CN" w:bidi="ar-SA"/>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9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年度总体目标完成情况</w:t>
            </w:r>
          </w:p>
        </w:tc>
        <w:tc>
          <w:tcPr>
            <w:tcW w:w="4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预期目标</w:t>
            </w:r>
          </w:p>
        </w:tc>
        <w:tc>
          <w:tcPr>
            <w:tcW w:w="31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实际完成情况</w:t>
            </w: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510"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20"/>
                <w:szCs w:val="20"/>
              </w:rPr>
              <w:t>头铺镇202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年各项办公超过5万元，保障日常办公正常开展。</w:t>
            </w:r>
          </w:p>
        </w:tc>
        <w:tc>
          <w:tcPr>
            <w:tcW w:w="3146"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20"/>
                <w:szCs w:val="20"/>
              </w:rPr>
              <w:t>头铺镇202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年各项办公不超过5万元，保障日常办公正常开展。</w:t>
            </w:r>
          </w:p>
        </w:tc>
      </w:tr>
      <w:tr>
        <w:tblPrEx>
          <w:tblCellMar>
            <w:top w:w="0" w:type="dxa"/>
            <w:left w:w="108" w:type="dxa"/>
            <w:bottom w:w="0" w:type="dxa"/>
            <w:right w:w="108" w:type="dxa"/>
          </w:tblCellMar>
        </w:tblPrEx>
        <w:trPr>
          <w:trHeight w:val="9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年度绩效指标完成情况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二级指标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三级指标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实际完成值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分值</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得分</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20"/>
                <w:szCs w:val="20"/>
              </w:rPr>
              <w:t>偏差原因分析及改进措施</w:t>
            </w: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(50分)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数量指标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办公设备采购数量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≧10台、件、套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≧10台、件、套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质量指标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办公设备购置验收合格率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时效指标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采购计划完成时间</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年底前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年底前</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成本指标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项目总成本</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≦5万元</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(30分)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经济效益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项目单位业务管理水平的提升情况</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提升较高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提升较高</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15</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社会效益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对单位履职、促进单位事业发展的提升程度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提升明显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提升明显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生态效益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节能减排，节约资源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明显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可持续影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响指标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健全的补贴制度，为政策执行提供可持续保障</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是</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5</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满意度指标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服务对象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满意度指标</w:t>
            </w:r>
          </w:p>
        </w:tc>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4468"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20"/>
                <w:szCs w:val="20"/>
              </w:rPr>
              <w:t>总分</w:t>
            </w:r>
          </w:p>
        </w:tc>
        <w:tc>
          <w:tcPr>
            <w:tcW w:w="666" w:type="dxa"/>
            <w:tcBorders>
              <w:top w:val="single" w:color="000000" w:sz="4" w:space="0"/>
              <w:left w:val="single" w:color="000000" w:sz="4" w:space="0"/>
              <w:bottom w:val="single" w:color="000000" w:sz="4" w:space="0"/>
              <w:right w:val="nil"/>
            </w:tcBorders>
            <w:shd w:val="clear" w:color="auto" w:fill="auto"/>
            <w:vAlign w:val="center"/>
          </w:tc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b/>
                <w:bCs/>
                <w:color w:val="000000"/>
                <w:kern w:val="0"/>
                <w:sz w:val="20"/>
                <w:szCs w:val="20"/>
              </w:rPr>
              <w:t>100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b/>
                <w:bCs/>
                <w:color w:val="000000"/>
                <w:kern w:val="0"/>
                <w:sz w:val="20"/>
                <w:szCs w:val="20"/>
              </w:rPr>
              <w:t>100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bl>
    <w:p>
      <w:pPr>
        <w:tabs>
          <w:tab w:val="left" w:pos="500"/>
        </w:tabs>
        <w:spacing w:line="560" w:lineRule="exact"/>
        <w:rPr>
          <w:rFonts w:ascii="宋体" w:hAnsi="宋体" w:cs="宋体"/>
          <w:bCs/>
          <w:color w:val="000000"/>
          <w:kern w:val="0"/>
          <w:sz w:val="24"/>
        </w:rPr>
      </w:pPr>
    </w:p>
    <w:p>
      <w:pPr>
        <w:numPr>
          <w:ilvl w:val="0"/>
          <w:numId w:val="4"/>
        </w:num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绩效评价指标分析</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（一）项目决策情况。根据各部门办公设备采购要求，制定《头铺镇202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w:t>
      </w:r>
      <w:r>
        <w:rPr>
          <w:rFonts w:hint="eastAsia" w:ascii="仿宋_GB2312" w:hAnsi="仿宋"/>
          <w:color w:val="000000" w:themeColor="text1"/>
          <w:sz w:val="32"/>
          <w:szCs w:val="32"/>
          <w:lang w:eastAsia="zh-CN"/>
        </w:rPr>
        <w:t>法制建设工作</w:t>
      </w:r>
      <w:r>
        <w:rPr>
          <w:rFonts w:hint="eastAsia" w:ascii="仿宋_GB2312" w:hAnsi="仿宋"/>
          <w:color w:val="000000" w:themeColor="text1"/>
          <w:sz w:val="32"/>
          <w:szCs w:val="32"/>
        </w:rPr>
        <w:t>计划表》。</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二）项目过程情况。能遵照相关财经法律法规，在严格实行专项专用的前提下进行实时监控、全程监督。资金使用符合国家财经法规和财务管理制度以及有关专项资金管理办法的规定，所有开支都有完整的审批程序和手续。建立了详实的固定资产管理台账，并指定专人负责管理固定资产。</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（三）项目产出情况。全年购置</w:t>
      </w:r>
      <w:r>
        <w:rPr>
          <w:rFonts w:hint="eastAsia" w:ascii="仿宋_GB2312" w:hAnsi="仿宋"/>
          <w:color w:val="000000" w:themeColor="text1"/>
          <w:sz w:val="32"/>
          <w:szCs w:val="32"/>
          <w:lang w:eastAsia="zh-CN"/>
        </w:rPr>
        <w:t>办公</w:t>
      </w:r>
      <w:r>
        <w:rPr>
          <w:rFonts w:hint="eastAsia" w:ascii="仿宋_GB2312" w:hAnsi="仿宋"/>
          <w:color w:val="000000" w:themeColor="text1"/>
          <w:sz w:val="32"/>
          <w:szCs w:val="32"/>
        </w:rPr>
        <w:t>设备</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台套，达到了年初设定的数量指标。设备验收合格率、设备正常运转率</w:t>
      </w:r>
      <w:bookmarkStart w:id="0" w:name="_GoBack"/>
      <w:bookmarkEnd w:id="0"/>
      <w:r>
        <w:rPr>
          <w:rFonts w:hint="eastAsia" w:ascii="仿宋_GB2312" w:hAnsi="仿宋"/>
          <w:color w:val="000000" w:themeColor="text1"/>
          <w:sz w:val="32"/>
          <w:szCs w:val="32"/>
        </w:rPr>
        <w:t>均达到年初制定的绩效目标值。</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（四）项目效益情况。通过该采购项目的实施，促进了单位业务管理水平的提高，对于政府履职及业务开展都有明显提升，且达到了节能减排及节约浪费的目的。</w:t>
      </w:r>
    </w:p>
    <w:p>
      <w:pPr>
        <w:numPr>
          <w:ilvl w:val="0"/>
          <w:numId w:val="4"/>
        </w:numPr>
        <w:tabs>
          <w:tab w:val="left" w:pos="500"/>
        </w:tabs>
        <w:spacing w:line="560" w:lineRule="exact"/>
        <w:ind w:firstLine="645"/>
        <w:rPr>
          <w:rFonts w:ascii="黑体" w:hAnsi="黑体" w:eastAsia="黑体"/>
          <w:color w:val="000000" w:themeColor="text1"/>
          <w:sz w:val="32"/>
          <w:szCs w:val="32"/>
        </w:rPr>
      </w:pPr>
      <w:r>
        <w:rPr>
          <w:rFonts w:ascii="黑体" w:hAnsi="黑体" w:eastAsia="黑体"/>
          <w:color w:val="000000" w:themeColor="text1"/>
          <w:sz w:val="32"/>
          <w:szCs w:val="32"/>
        </w:rPr>
        <w:t>主要经验及做法</w:t>
      </w:r>
    </w:p>
    <w:p>
      <w:pPr>
        <w:tabs>
          <w:tab w:val="left" w:pos="500"/>
        </w:tabs>
        <w:spacing w:line="560" w:lineRule="exact"/>
        <w:ind w:firstLine="598" w:firstLineChars="187"/>
        <w:rPr>
          <w:rFonts w:ascii="黑体" w:hAnsi="黑体" w:eastAsia="黑体"/>
          <w:color w:val="000000" w:themeColor="text1"/>
          <w:sz w:val="32"/>
          <w:szCs w:val="32"/>
        </w:rPr>
      </w:pPr>
      <w:r>
        <w:rPr>
          <w:rFonts w:hint="eastAsia" w:ascii="仿宋_GB2312" w:hAnsi="仿宋_GB2312" w:cs="仿宋_GB2312"/>
          <w:color w:val="000000" w:themeColor="text1"/>
          <w:sz w:val="32"/>
          <w:szCs w:val="32"/>
        </w:rPr>
        <w:t>上年度制定采购计划，资金下达后，按照《安徽省财政厅关于印发安徽省2020-2021年政府集中采购目录及标准的通知》（皖财购【2020】64号）及市县有关文件要求有序推进。年度办公设备的采购均按照单位内控制度严格执行，相关询价及确定承接主体均通过单位政府采购领导小组研究通过，相关合同采购均按照县财政局要求执行</w:t>
      </w:r>
    </w:p>
    <w:p>
      <w:pPr>
        <w:numPr>
          <w:ilvl w:val="0"/>
          <w:numId w:val="4"/>
        </w:numPr>
        <w:tabs>
          <w:tab w:val="left" w:pos="500"/>
        </w:tabs>
        <w:spacing w:line="560" w:lineRule="exact"/>
        <w:ind w:firstLine="645"/>
        <w:rPr>
          <w:rFonts w:ascii="黑体" w:hAnsi="黑体" w:eastAsia="黑体"/>
          <w:color w:val="000000" w:themeColor="text1"/>
          <w:sz w:val="32"/>
          <w:szCs w:val="32"/>
        </w:rPr>
      </w:pPr>
      <w:r>
        <w:rPr>
          <w:rFonts w:ascii="黑体" w:hAnsi="黑体" w:eastAsia="黑体"/>
          <w:color w:val="000000" w:themeColor="text1"/>
          <w:sz w:val="32"/>
          <w:szCs w:val="32"/>
        </w:rPr>
        <w:t>存在问题及</w:t>
      </w:r>
      <w:r>
        <w:rPr>
          <w:rFonts w:hint="eastAsia" w:ascii="黑体" w:hAnsi="黑体" w:eastAsia="黑体"/>
          <w:color w:val="000000" w:themeColor="text1"/>
          <w:sz w:val="32"/>
          <w:szCs w:val="32"/>
        </w:rPr>
        <w:t>原因</w:t>
      </w:r>
      <w:r>
        <w:rPr>
          <w:rFonts w:ascii="黑体" w:hAnsi="黑体" w:eastAsia="黑体"/>
          <w:color w:val="000000" w:themeColor="text1"/>
          <w:sz w:val="32"/>
          <w:szCs w:val="32"/>
        </w:rPr>
        <w:t>分析</w:t>
      </w:r>
    </w:p>
    <w:p>
      <w:pPr>
        <w:tabs>
          <w:tab w:val="left" w:pos="500"/>
        </w:tabs>
        <w:spacing w:line="560" w:lineRule="exact"/>
        <w:ind w:left="660"/>
        <w:rPr>
          <w:rFonts w:ascii="仿宋_GB2312" w:hAnsi="仿宋_GB2312" w:cs="仿宋_GB2312"/>
          <w:color w:val="000000"/>
          <w:sz w:val="32"/>
          <w:szCs w:val="32"/>
        </w:rPr>
      </w:pPr>
      <w:r>
        <w:rPr>
          <w:rFonts w:hint="eastAsia" w:ascii="仿宋_GB2312" w:hAnsi="仿宋_GB2312" w:cs="仿宋_GB2312"/>
          <w:color w:val="000000"/>
          <w:sz w:val="32"/>
          <w:szCs w:val="32"/>
        </w:rPr>
        <w:t>部分支出内容结算不及时，执行进度较缓。</w:t>
      </w:r>
    </w:p>
    <w:p>
      <w:pPr>
        <w:tabs>
          <w:tab w:val="left" w:pos="500"/>
        </w:tabs>
        <w:spacing w:line="560" w:lineRule="exact"/>
        <w:ind w:firstLine="659" w:firstLineChars="206"/>
        <w:rPr>
          <w:rFonts w:ascii="仿宋_GB2312" w:hAnsi="仿宋_GB2312" w:cs="仿宋_GB2312"/>
          <w:color w:val="000000"/>
          <w:sz w:val="32"/>
          <w:szCs w:val="32"/>
        </w:rPr>
      </w:pPr>
      <w:r>
        <w:rPr>
          <w:rFonts w:hint="eastAsia" w:ascii="仿宋_GB2312" w:hAnsi="仿宋_GB2312" w:cs="仿宋_GB2312"/>
          <w:color w:val="000000"/>
          <w:sz w:val="32"/>
          <w:szCs w:val="32"/>
        </w:rPr>
        <w:t>原因分析：由于部分采购设备询价时间较长，致使采购进度缓慢。</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w:t>
      </w:r>
      <w:r>
        <w:rPr>
          <w:rFonts w:hint="eastAsia" w:ascii="黑体" w:hAnsi="黑体" w:eastAsia="黑体"/>
          <w:color w:val="000000" w:themeColor="text1"/>
          <w:sz w:val="32"/>
          <w:szCs w:val="32"/>
        </w:rPr>
        <w:t>有关</w:t>
      </w:r>
      <w:r>
        <w:rPr>
          <w:rFonts w:ascii="黑体" w:hAnsi="黑体" w:eastAsia="黑体"/>
          <w:color w:val="000000" w:themeColor="text1"/>
          <w:sz w:val="32"/>
          <w:szCs w:val="32"/>
        </w:rPr>
        <w:t>建议</w:t>
      </w:r>
    </w:p>
    <w:p>
      <w:pPr>
        <w:snapToGrid w:val="0"/>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科学制定工作计划，加强推进、督促，及时结算资金，提高资金支出时效。</w:t>
      </w:r>
    </w:p>
    <w:p>
      <w:pPr>
        <w:tabs>
          <w:tab w:val="left" w:pos="500"/>
        </w:tabs>
        <w:spacing w:line="560" w:lineRule="exact"/>
        <w:ind w:firstLine="645"/>
        <w:rPr>
          <w:rFonts w:hint="eastAsia" w:ascii="黑体" w:hAnsi="黑体" w:eastAsia="黑体"/>
          <w:color w:val="000000" w:themeColor="text1"/>
          <w:sz w:val="32"/>
          <w:szCs w:val="32"/>
        </w:rPr>
      </w:pPr>
      <w:r>
        <w:rPr>
          <w:rFonts w:hint="eastAsia" w:ascii="黑体" w:hAnsi="黑体" w:eastAsia="黑体"/>
          <w:color w:val="000000" w:themeColor="text1"/>
          <w:sz w:val="32"/>
          <w:szCs w:val="32"/>
        </w:rPr>
        <w:t>八、其他需要说明的问题</w:t>
      </w:r>
    </w:p>
    <w:p>
      <w:pPr>
        <w:tabs>
          <w:tab w:val="left" w:pos="500"/>
        </w:tabs>
        <w:spacing w:line="560" w:lineRule="exact"/>
        <w:ind w:firstLine="645"/>
      </w:pPr>
      <w:r>
        <w:rPr>
          <w:rFonts w:hint="eastAsia" w:ascii="宋体" w:hAnsi="宋体" w:eastAsia="宋体" w:cs="宋体"/>
          <w:color w:val="000000" w:themeColor="text1"/>
          <w:sz w:val="32"/>
          <w:szCs w:val="32"/>
        </w:rPr>
        <w:t>无。</w:t>
      </w:r>
    </w:p>
    <w:p/>
    <w:p/>
    <w:p/>
    <w:p/>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D70C6"/>
    <w:multiLevelType w:val="singleLevel"/>
    <w:tmpl w:val="D09D70C6"/>
    <w:lvl w:ilvl="0" w:tentative="0">
      <w:start w:val="1"/>
      <w:numFmt w:val="chineseCounting"/>
      <w:suff w:val="nothing"/>
      <w:lvlText w:val="（%1）"/>
      <w:lvlJc w:val="left"/>
      <w:pPr>
        <w:ind w:left="-40"/>
      </w:pPr>
      <w:rPr>
        <w:rFonts w:hint="eastAsia"/>
      </w:rPr>
    </w:lvl>
  </w:abstractNum>
  <w:abstractNum w:abstractNumId="1">
    <w:nsid w:val="07A9BA09"/>
    <w:multiLevelType w:val="singleLevel"/>
    <w:tmpl w:val="07A9BA09"/>
    <w:lvl w:ilvl="0" w:tentative="0">
      <w:start w:val="2"/>
      <w:numFmt w:val="chineseCounting"/>
      <w:suff w:val="nothing"/>
      <w:lvlText w:val="（%1）"/>
      <w:lvlJc w:val="left"/>
      <w:rPr>
        <w:rFonts w:hint="eastAsia"/>
      </w:rPr>
    </w:lvl>
  </w:abstractNum>
  <w:abstractNum w:abstractNumId="2">
    <w:nsid w:val="0FFA06E4"/>
    <w:multiLevelType w:val="singleLevel"/>
    <w:tmpl w:val="0FFA06E4"/>
    <w:lvl w:ilvl="0" w:tentative="0">
      <w:start w:val="3"/>
      <w:numFmt w:val="chineseCounting"/>
      <w:suff w:val="nothing"/>
      <w:lvlText w:val="%1、"/>
      <w:lvlJc w:val="left"/>
      <w:rPr>
        <w:rFonts w:hint="eastAsia"/>
      </w:rPr>
    </w:lvl>
  </w:abstractNum>
  <w:abstractNum w:abstractNumId="3">
    <w:nsid w:val="5E3873FE"/>
    <w:multiLevelType w:val="singleLevel"/>
    <w:tmpl w:val="5E3873F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zOTE2NTEzMzU1ZWM1MzJjM2JmZWM4MTViY2YzODAifQ=="/>
  </w:docVars>
  <w:rsids>
    <w:rsidRoot w:val="00172A27"/>
    <w:rsid w:val="000F52D5"/>
    <w:rsid w:val="00172A27"/>
    <w:rsid w:val="0065612F"/>
    <w:rsid w:val="007474E2"/>
    <w:rsid w:val="0086368B"/>
    <w:rsid w:val="00945E11"/>
    <w:rsid w:val="00BF2AC9"/>
    <w:rsid w:val="00C21761"/>
    <w:rsid w:val="00C93A29"/>
    <w:rsid w:val="00D006F1"/>
    <w:rsid w:val="00D110A5"/>
    <w:rsid w:val="00F4113E"/>
    <w:rsid w:val="00F6660B"/>
    <w:rsid w:val="00FF1FFC"/>
    <w:rsid w:val="09297537"/>
    <w:rsid w:val="0BE40D04"/>
    <w:rsid w:val="0CB16DB5"/>
    <w:rsid w:val="0D483771"/>
    <w:rsid w:val="113629D4"/>
    <w:rsid w:val="17237EFC"/>
    <w:rsid w:val="1E1B5BC8"/>
    <w:rsid w:val="29C5163E"/>
    <w:rsid w:val="2D0A6F62"/>
    <w:rsid w:val="32E81594"/>
    <w:rsid w:val="32FA5C48"/>
    <w:rsid w:val="39FA1058"/>
    <w:rsid w:val="3B4C243B"/>
    <w:rsid w:val="3E0604C9"/>
    <w:rsid w:val="477912EF"/>
    <w:rsid w:val="499A0874"/>
    <w:rsid w:val="4CA256C6"/>
    <w:rsid w:val="51424663"/>
    <w:rsid w:val="53C42F26"/>
    <w:rsid w:val="55467569"/>
    <w:rsid w:val="576B0E10"/>
    <w:rsid w:val="5D7958C4"/>
    <w:rsid w:val="64DC3855"/>
    <w:rsid w:val="6C3670AF"/>
    <w:rsid w:val="6EEC2638"/>
    <w:rsid w:val="7CD72535"/>
    <w:rsid w:val="7DA02F4D"/>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eastAsia="仿宋_GB2312" w:cs="Times New Roman"/>
      <w:kern w:val="2"/>
      <w:sz w:val="18"/>
      <w:szCs w:val="18"/>
    </w:rPr>
  </w:style>
  <w:style w:type="character" w:customStyle="1" w:styleId="9">
    <w:name w:val="页脚 Char"/>
    <w:basedOn w:val="7"/>
    <w:link w:val="3"/>
    <w:qFormat/>
    <w:uiPriority w:val="0"/>
    <w:rPr>
      <w:rFonts w:ascii="Times New Roman" w:hAnsi="Times New Roman" w:eastAsia="仿宋_GB2312" w:cs="Times New Roman"/>
      <w:kern w:val="2"/>
      <w:sz w:val="18"/>
      <w:szCs w:val="18"/>
    </w:rPr>
  </w:style>
  <w:style w:type="character" w:customStyle="1" w:styleId="10">
    <w:name w:val="font71"/>
    <w:basedOn w:val="7"/>
    <w:qFormat/>
    <w:uiPriority w:val="0"/>
    <w:rPr>
      <w:rFonts w:hint="eastAsia" w:ascii="宋体" w:hAnsi="宋体" w:eastAsia="宋体" w:cs="宋体"/>
      <w:color w:val="000000"/>
      <w:sz w:val="24"/>
      <w:szCs w:val="24"/>
      <w:u w:val="none"/>
    </w:rPr>
  </w:style>
  <w:style w:type="character" w:customStyle="1" w:styleId="11">
    <w:name w:val="font81"/>
    <w:basedOn w:val="7"/>
    <w:qFormat/>
    <w:uiPriority w:val="0"/>
    <w:rPr>
      <w:rFonts w:hint="eastAsia" w:ascii="宋体" w:hAnsi="宋体" w:eastAsia="宋体" w:cs="宋体"/>
      <w:color w:val="000000"/>
      <w:sz w:val="18"/>
      <w:szCs w:val="18"/>
      <w:u w:val="none"/>
    </w:rPr>
  </w:style>
  <w:style w:type="character" w:customStyle="1" w:styleId="12">
    <w:name w:val="font101"/>
    <w:basedOn w:val="7"/>
    <w:qFormat/>
    <w:uiPriority w:val="0"/>
    <w:rPr>
      <w:rFonts w:hint="eastAsia" w:ascii="宋体" w:hAnsi="宋体" w:eastAsia="宋体" w:cs="宋体"/>
      <w:b/>
      <w:bCs/>
      <w:color w:val="000000"/>
      <w:sz w:val="32"/>
      <w:szCs w:val="32"/>
      <w:u w:val="none"/>
    </w:rPr>
  </w:style>
  <w:style w:type="character" w:customStyle="1" w:styleId="13">
    <w:name w:val="font01"/>
    <w:basedOn w:val="7"/>
    <w:qFormat/>
    <w:uiPriority w:val="0"/>
    <w:rPr>
      <w:rFonts w:hint="eastAsia" w:ascii="宋体" w:hAnsi="宋体" w:eastAsia="宋体" w:cs="宋体"/>
      <w:color w:val="000000"/>
      <w:sz w:val="32"/>
      <w:szCs w:val="32"/>
      <w:u w:val="none"/>
    </w:rPr>
  </w:style>
  <w:style w:type="character" w:customStyle="1" w:styleId="14">
    <w:name w:val="font11"/>
    <w:basedOn w:val="7"/>
    <w:qFormat/>
    <w:uiPriority w:val="0"/>
    <w:rPr>
      <w:rFonts w:hint="eastAsia" w:ascii="宋体" w:hAnsi="宋体" w:eastAsia="宋体" w:cs="宋体"/>
      <w:color w:val="000000"/>
      <w:sz w:val="20"/>
      <w:szCs w:val="20"/>
      <w:u w:val="none"/>
    </w:rPr>
  </w:style>
  <w:style w:type="character" w:customStyle="1" w:styleId="15">
    <w:name w:val="font112"/>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638</Words>
  <Characters>3639</Characters>
  <Lines>30</Lines>
  <Paragraphs>8</Paragraphs>
  <TotalTime>8</TotalTime>
  <ScaleCrop>false</ScaleCrop>
  <LinksUpToDate>false</LinksUpToDate>
  <CharactersWithSpaces>4269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2021-03-15T15:15:00Z</dcterms:created>
  <dc:creator>bbcz</dc:creator>
  <cp:lastModifiedBy>Administrator</cp:lastModifiedBy>
  <dcterms:modified xsi:type="dcterms:W3CDTF">2024-01-18T02:55:03Z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5FCCFE3B023D42868B760DCF32F6F4AC</vt:lpwstr>
  </property>
</Properties>
</file>