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C491">
      <w:pPr>
        <w:keepNext w:val="0"/>
        <w:keepLines w:val="0"/>
        <w:widowControl/>
        <w:suppressLineNumbers w:val="0"/>
        <w:jc w:val="center"/>
        <w:textAlignment w:val="center"/>
        <w:rPr>
          <w:rFonts w:hint="eastAsia"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4"/>
          <w:szCs w:val="44"/>
          <w:u w:val="none"/>
          <w:lang w:val="en-US" w:eastAsia="zh-CN" w:bidi="ar"/>
        </w:rPr>
        <w:t>五河县2022年“三公”经费预算财政拨款情况及增减变化原因说明</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1743"/>
        <w:gridCol w:w="1814"/>
        <w:gridCol w:w="1626"/>
      </w:tblGrid>
      <w:tr w14:paraId="7DC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299" w:type="dxa"/>
            <w:gridSpan w:val="4"/>
            <w:tcBorders>
              <w:top w:val="nil"/>
              <w:left w:val="nil"/>
              <w:bottom w:val="nil"/>
              <w:right w:val="nil"/>
            </w:tcBorders>
            <w:shd w:val="clear" w:color="auto" w:fill="auto"/>
            <w:noWrap/>
            <w:vAlign w:val="center"/>
          </w:tcPr>
          <w:p w14:paraId="02673FB5">
            <w:pPr>
              <w:keepNext w:val="0"/>
              <w:keepLines w:val="0"/>
              <w:widowControl/>
              <w:numPr>
                <w:ilvl w:val="0"/>
                <w:numId w:val="1"/>
              </w:numPr>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“三公”经费预算财政拨款情况表</w:t>
            </w:r>
          </w:p>
        </w:tc>
      </w:tr>
      <w:tr w14:paraId="6BB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59" w:type="dxa"/>
            <w:gridSpan w:val="2"/>
            <w:tcBorders>
              <w:top w:val="nil"/>
              <w:left w:val="nil"/>
              <w:bottom w:val="nil"/>
              <w:right w:val="nil"/>
            </w:tcBorders>
            <w:shd w:val="clear" w:color="auto" w:fill="auto"/>
            <w:noWrap/>
            <w:vAlign w:val="center"/>
          </w:tcPr>
          <w:p w14:paraId="0F225729">
            <w:pPr>
              <w:jc w:val="left"/>
              <w:rPr>
                <w:rFonts w:hint="eastAsia" w:ascii="宋体" w:hAnsi="宋体" w:eastAsia="宋体" w:cs="宋体"/>
                <w:i w:val="0"/>
                <w:iCs w:val="0"/>
                <w:color w:val="000000"/>
                <w:sz w:val="20"/>
                <w:szCs w:val="20"/>
                <w:u w:val="none"/>
              </w:rPr>
            </w:pPr>
          </w:p>
        </w:tc>
        <w:tc>
          <w:tcPr>
            <w:tcW w:w="1814" w:type="dxa"/>
            <w:tcBorders>
              <w:top w:val="nil"/>
              <w:left w:val="nil"/>
              <w:bottom w:val="nil"/>
              <w:right w:val="nil"/>
            </w:tcBorders>
            <w:shd w:val="clear" w:color="auto" w:fill="auto"/>
            <w:noWrap/>
            <w:vAlign w:val="center"/>
          </w:tcPr>
          <w:p w14:paraId="556B5307">
            <w:pPr>
              <w:rPr>
                <w:rFonts w:hint="eastAsia" w:ascii="宋体" w:hAnsi="宋体" w:eastAsia="宋体" w:cs="宋体"/>
                <w:i w:val="0"/>
                <w:iCs w:val="0"/>
                <w:color w:val="000000"/>
                <w:sz w:val="20"/>
                <w:szCs w:val="20"/>
                <w:u w:val="none"/>
              </w:rPr>
            </w:pPr>
          </w:p>
        </w:tc>
        <w:tc>
          <w:tcPr>
            <w:tcW w:w="1626" w:type="dxa"/>
            <w:tcBorders>
              <w:top w:val="nil"/>
              <w:left w:val="nil"/>
              <w:bottom w:val="nil"/>
              <w:right w:val="nil"/>
            </w:tcBorders>
            <w:shd w:val="clear" w:color="auto" w:fill="auto"/>
            <w:noWrap/>
            <w:vAlign w:val="center"/>
          </w:tcPr>
          <w:p w14:paraId="0A45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2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743" w:type="dxa"/>
            <w:tcBorders>
              <w:top w:val="single" w:color="000000" w:sz="4" w:space="0"/>
              <w:left w:val="single" w:color="000000" w:sz="4" w:space="0"/>
              <w:bottom w:val="nil"/>
              <w:right w:val="single" w:color="000000" w:sz="4" w:space="0"/>
            </w:tcBorders>
            <w:shd w:val="clear" w:color="auto" w:fill="auto"/>
            <w:noWrap/>
            <w:vAlign w:val="center"/>
          </w:tcPr>
          <w:p w14:paraId="410918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本年预算数</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89775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上年预算数</w:t>
            </w:r>
          </w:p>
        </w:tc>
        <w:tc>
          <w:tcPr>
            <w:tcW w:w="1626" w:type="dxa"/>
            <w:tcBorders>
              <w:top w:val="single" w:color="000000" w:sz="4" w:space="0"/>
              <w:left w:val="single" w:color="000000" w:sz="4" w:space="0"/>
              <w:bottom w:val="nil"/>
              <w:right w:val="single" w:color="000000" w:sz="4" w:space="0"/>
            </w:tcBorders>
            <w:shd w:val="clear" w:color="auto" w:fill="auto"/>
            <w:noWrap/>
            <w:vAlign w:val="center"/>
          </w:tcPr>
          <w:p w14:paraId="2EDFB6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增幅（%）</w:t>
            </w:r>
          </w:p>
        </w:tc>
      </w:tr>
      <w:tr w14:paraId="2BB1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A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794">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1,517.57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95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1,563.58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D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-2.94</w:t>
            </w:r>
          </w:p>
        </w:tc>
      </w:tr>
      <w:tr w14:paraId="76D2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7B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1、因公出国(境)费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959A">
            <w:pPr>
              <w:jc w:val="right"/>
              <w:rPr>
                <w:rFonts w:hint="default" w:ascii="仿宋" w:hAnsi="仿宋" w:eastAsia="仿宋" w:cs="仿宋"/>
                <w:i w:val="0"/>
                <w:iCs w:val="0"/>
                <w:color w:val="000000"/>
                <w:sz w:val="28"/>
                <w:szCs w:val="28"/>
                <w:u w:val="none"/>
                <w:lang w:val="en-US" w:eastAsia="zh-CN"/>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77AF">
            <w:pPr>
              <w:jc w:val="right"/>
              <w:rPr>
                <w:rFonts w:hint="eastAsia" w:ascii="仿宋" w:hAnsi="仿宋" w:eastAsia="仿宋" w:cs="仿宋"/>
                <w:i w:val="0"/>
                <w:iCs w:val="0"/>
                <w:color w:val="000000"/>
                <w:sz w:val="28"/>
                <w:szCs w:val="28"/>
                <w:u w:val="none"/>
                <w:lang w:val="en-US"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010">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p>
        </w:tc>
      </w:tr>
      <w:tr w14:paraId="1603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34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2、公务接待费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548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492.02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F38">
            <w:pPr>
              <w:keepNext w:val="0"/>
              <w:keepLines w:val="0"/>
              <w:widowControl/>
              <w:suppressLineNumbers w:val="0"/>
              <w:jc w:val="right"/>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533.62</w:t>
            </w:r>
            <w:bookmarkStart w:id="0" w:name="_GoBack"/>
            <w:bookmarkEnd w:id="0"/>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DEBD">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-7.83</w:t>
            </w:r>
          </w:p>
        </w:tc>
      </w:tr>
      <w:tr w14:paraId="71AE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F9B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3、公务用车购置及运行费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07">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1025.55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11D">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1029.78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7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-0.41</w:t>
            </w:r>
          </w:p>
        </w:tc>
      </w:tr>
      <w:tr w14:paraId="130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2B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其中：（1）公务用车运行维护费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C916">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850.55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DDE">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859.28</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F7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w:t>
            </w:r>
          </w:p>
        </w:tc>
      </w:tr>
      <w:tr w14:paraId="572B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7237">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 xml:space="preserve">      （2）公务用车购置费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DA6">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8EFD">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170.5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76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2.64</w:t>
            </w:r>
          </w:p>
        </w:tc>
      </w:tr>
    </w:tbl>
    <w:p w14:paraId="4BF8EE42">
      <w:pPr>
        <w:rPr>
          <w:rFonts w:hint="eastAsia"/>
          <w:b/>
          <w:bCs/>
        </w:rPr>
      </w:pPr>
    </w:p>
    <w:p w14:paraId="7282CA3E">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二、 “三公”经费财政拨款支出情况说明</w:t>
      </w:r>
    </w:p>
    <w:p w14:paraId="4E990F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为全面反映“三公”经费支出，本次公布的</w:t>
      </w:r>
      <w:r>
        <w:rPr>
          <w:rFonts w:hint="eastAsia" w:ascii="仿宋" w:hAnsi="仿宋" w:eastAsia="仿宋" w:cs="仿宋"/>
          <w:sz w:val="28"/>
          <w:szCs w:val="28"/>
          <w:lang w:val="en-US" w:eastAsia="zh-CN"/>
        </w:rPr>
        <w:t>2022</w:t>
      </w:r>
      <w:r>
        <w:rPr>
          <w:rFonts w:hint="eastAsia" w:ascii="仿宋" w:hAnsi="仿宋" w:eastAsia="仿宋" w:cs="仿宋"/>
          <w:sz w:val="28"/>
          <w:szCs w:val="28"/>
        </w:rPr>
        <w:t>年“三公”经费预算为全县汇总数，财政拨款包括一般公共预算财政拨款和政府性基金预算财政拨款支出。202</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全县</w:t>
      </w:r>
      <w:r>
        <w:rPr>
          <w:rFonts w:hint="eastAsia" w:ascii="仿宋" w:hAnsi="仿宋" w:eastAsia="仿宋" w:cs="仿宋"/>
          <w:sz w:val="28"/>
          <w:szCs w:val="28"/>
        </w:rPr>
        <w:t>“三公”经费预算</w:t>
      </w:r>
      <w:r>
        <w:rPr>
          <w:rFonts w:hint="eastAsia" w:ascii="仿宋" w:hAnsi="仿宋" w:eastAsia="仿宋" w:cs="仿宋"/>
          <w:sz w:val="28"/>
          <w:szCs w:val="28"/>
          <w:lang w:val="en-US" w:eastAsia="zh-CN"/>
        </w:rPr>
        <w:t>1517.57</w:t>
      </w:r>
      <w:r>
        <w:rPr>
          <w:rFonts w:hint="eastAsia" w:ascii="仿宋" w:hAnsi="仿宋" w:eastAsia="仿宋" w:cs="仿宋"/>
          <w:sz w:val="28"/>
          <w:szCs w:val="28"/>
        </w:rPr>
        <w:t>万元，比</w:t>
      </w:r>
      <w:r>
        <w:rPr>
          <w:rFonts w:hint="eastAsia" w:ascii="仿宋" w:hAnsi="仿宋" w:eastAsia="仿宋" w:cs="仿宋"/>
          <w:sz w:val="28"/>
          <w:szCs w:val="28"/>
          <w:lang w:val="en-US" w:eastAsia="zh-CN"/>
        </w:rPr>
        <w:t>上</w:t>
      </w:r>
      <w:r>
        <w:rPr>
          <w:rFonts w:hint="eastAsia" w:ascii="仿宋" w:hAnsi="仿宋" w:eastAsia="仿宋" w:cs="仿宋"/>
          <w:sz w:val="28"/>
          <w:szCs w:val="28"/>
        </w:rPr>
        <w:t>年预算数减少</w:t>
      </w:r>
      <w:r>
        <w:rPr>
          <w:rFonts w:hint="eastAsia" w:ascii="仿宋" w:hAnsi="仿宋" w:eastAsia="仿宋" w:cs="仿宋"/>
          <w:sz w:val="28"/>
          <w:szCs w:val="28"/>
          <w:lang w:val="en-US" w:eastAsia="zh-CN"/>
        </w:rPr>
        <w:t>46.01</w:t>
      </w:r>
      <w:r>
        <w:rPr>
          <w:rFonts w:hint="eastAsia" w:ascii="仿宋" w:hAnsi="仿宋" w:eastAsia="仿宋" w:cs="仿宋"/>
          <w:sz w:val="28"/>
          <w:szCs w:val="28"/>
        </w:rPr>
        <w:t>万元，</w:t>
      </w:r>
      <w:r>
        <w:rPr>
          <w:rFonts w:hint="eastAsia" w:ascii="仿宋" w:hAnsi="仿宋" w:eastAsia="仿宋" w:cs="仿宋"/>
          <w:sz w:val="28"/>
          <w:szCs w:val="28"/>
          <w:lang w:val="en-US" w:eastAsia="zh-CN"/>
        </w:rPr>
        <w:t>降幅2.94%。</w:t>
      </w:r>
      <w:r>
        <w:rPr>
          <w:rFonts w:hint="eastAsia" w:ascii="仿宋" w:hAnsi="仿宋" w:eastAsia="仿宋" w:cs="仿宋"/>
          <w:sz w:val="28"/>
          <w:szCs w:val="28"/>
        </w:rPr>
        <w:t>具体情况如下：</w:t>
      </w:r>
    </w:p>
    <w:p w14:paraId="665D02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（一）因公出国（境）费预算0万元，与上年持平。经费使用严格按照《安徽省省直党政机关因公出国经费管理办法》（财行〔2014〕104号）相关规定执行。</w:t>
      </w:r>
    </w:p>
    <w:p w14:paraId="4B4887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（二）公务接待费预算</w:t>
      </w:r>
      <w:r>
        <w:rPr>
          <w:rFonts w:hint="eastAsia" w:ascii="仿宋" w:hAnsi="仿宋" w:eastAsia="仿宋" w:cs="仿宋"/>
          <w:sz w:val="28"/>
          <w:szCs w:val="28"/>
          <w:lang w:val="en-US" w:eastAsia="zh-CN"/>
        </w:rPr>
        <w:t>492.02</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减少41.78</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降幅7.83</w:t>
      </w:r>
      <w:r>
        <w:rPr>
          <w:rFonts w:hint="eastAsia" w:ascii="仿宋" w:hAnsi="仿宋" w:eastAsia="仿宋" w:cs="仿宋"/>
          <w:sz w:val="28"/>
          <w:szCs w:val="28"/>
        </w:rPr>
        <w:t>%</w:t>
      </w:r>
      <w:r>
        <w:rPr>
          <w:rFonts w:hint="eastAsia" w:ascii="仿宋" w:hAnsi="仿宋" w:eastAsia="仿宋" w:cs="仿宋"/>
          <w:sz w:val="28"/>
          <w:szCs w:val="28"/>
          <w:lang w:eastAsia="zh-CN"/>
        </w:rPr>
        <w:t>。</w:t>
      </w:r>
    </w:p>
    <w:p w14:paraId="2C9AA7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仿宋"/>
          <w:sz w:val="28"/>
          <w:szCs w:val="28"/>
        </w:rPr>
        <w:t>（三）公务用车购置及运行费预算</w:t>
      </w:r>
      <w:r>
        <w:rPr>
          <w:rFonts w:hint="eastAsia" w:ascii="仿宋" w:hAnsi="仿宋" w:eastAsia="仿宋" w:cs="仿宋"/>
          <w:sz w:val="28"/>
          <w:szCs w:val="28"/>
          <w:lang w:val="en-US" w:eastAsia="zh-CN"/>
        </w:rPr>
        <w:t>1025.55</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减少4.23</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降幅0.41</w:t>
      </w:r>
      <w:r>
        <w:rPr>
          <w:rFonts w:hint="eastAsia" w:ascii="仿宋" w:hAnsi="仿宋" w:eastAsia="仿宋" w:cs="仿宋"/>
          <w:sz w:val="28"/>
          <w:szCs w:val="28"/>
        </w:rPr>
        <w:t>%。其中：公务用车运行维护费</w:t>
      </w:r>
      <w:r>
        <w:rPr>
          <w:rFonts w:hint="eastAsia" w:ascii="仿宋" w:hAnsi="仿宋" w:eastAsia="仿宋" w:cs="仿宋"/>
          <w:sz w:val="28"/>
          <w:szCs w:val="28"/>
          <w:lang w:val="en-US" w:eastAsia="zh-CN"/>
        </w:rPr>
        <w:t>850.55</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减少8.73</w:t>
      </w:r>
      <w:r>
        <w:rPr>
          <w:rFonts w:hint="eastAsia" w:ascii="仿宋" w:hAnsi="仿宋" w:eastAsia="仿宋" w:cs="仿宋"/>
          <w:sz w:val="28"/>
          <w:szCs w:val="28"/>
        </w:rPr>
        <w:t>万元，</w:t>
      </w:r>
      <w:r>
        <w:rPr>
          <w:rFonts w:hint="eastAsia" w:ascii="仿宋" w:hAnsi="仿宋" w:eastAsia="仿宋" w:cs="仿宋"/>
          <w:sz w:val="28"/>
          <w:szCs w:val="28"/>
          <w:lang w:val="en-US" w:eastAsia="zh-CN"/>
        </w:rPr>
        <w:t>同比降幅1.02</w:t>
      </w:r>
      <w:r>
        <w:rPr>
          <w:rFonts w:hint="eastAsia" w:ascii="仿宋" w:hAnsi="仿宋" w:eastAsia="仿宋" w:cs="仿宋"/>
          <w:sz w:val="28"/>
          <w:szCs w:val="28"/>
        </w:rPr>
        <w:t>%；公务用车购置费</w:t>
      </w:r>
      <w:r>
        <w:rPr>
          <w:rFonts w:hint="eastAsia" w:ascii="仿宋" w:hAnsi="仿宋" w:eastAsia="仿宋" w:cs="仿宋"/>
          <w:sz w:val="28"/>
          <w:szCs w:val="28"/>
          <w:lang w:val="en-US" w:eastAsia="zh-CN"/>
        </w:rPr>
        <w:t>175</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增加4.5</w:t>
      </w:r>
      <w:r>
        <w:rPr>
          <w:rFonts w:hint="eastAsia" w:ascii="仿宋" w:hAnsi="仿宋" w:eastAsia="仿宋" w:cs="仿宋"/>
          <w:sz w:val="28"/>
          <w:szCs w:val="28"/>
        </w:rPr>
        <w:t>万元，同比</w:t>
      </w:r>
      <w:r>
        <w:rPr>
          <w:rFonts w:hint="eastAsia" w:ascii="仿宋" w:hAnsi="仿宋" w:eastAsia="仿宋" w:cs="仿宋"/>
          <w:sz w:val="28"/>
          <w:szCs w:val="28"/>
          <w:lang w:val="en-US" w:eastAsia="zh-CN"/>
        </w:rPr>
        <w:t>增幅2.64</w:t>
      </w:r>
      <w:r>
        <w:rPr>
          <w:rFonts w:hint="eastAsia" w:ascii="仿宋" w:hAnsi="仿宋" w:eastAsia="仿宋" w:cs="仿宋"/>
          <w:sz w:val="28"/>
          <w:szCs w:val="28"/>
        </w:rPr>
        <w:t>%。</w:t>
      </w:r>
    </w:p>
    <w:p w14:paraId="64EF6AF0">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三、“三公”经费增减变化原因分析</w:t>
      </w:r>
    </w:p>
    <w:p w14:paraId="2DD484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年公共预算财政拨款安排的“三公”经费开支总体呈下降趋势，主要原因如下：</w:t>
      </w:r>
    </w:p>
    <w:p w14:paraId="4E324E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（1）严格遵守中央八项规定，严格三公经费支出项目、范围及支付方式，让三公经费支出在合法、合规下运行，并且在技术上处于可监督范围</w:t>
      </w:r>
      <w:r>
        <w:rPr>
          <w:rFonts w:hint="eastAsia" w:ascii="仿宋" w:hAnsi="仿宋" w:eastAsia="仿宋" w:cs="仿宋"/>
          <w:sz w:val="28"/>
          <w:szCs w:val="28"/>
          <w:lang w:eastAsia="zh-CN"/>
        </w:rPr>
        <w:t>。</w:t>
      </w:r>
    </w:p>
    <w:p w14:paraId="1C5E86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（2）严格按政府要求，</w:t>
      </w:r>
      <w:r>
        <w:rPr>
          <w:rFonts w:hint="eastAsia" w:ascii="仿宋" w:hAnsi="仿宋" w:eastAsia="仿宋" w:cs="仿宋"/>
          <w:sz w:val="28"/>
          <w:szCs w:val="28"/>
          <w:lang w:val="en-US" w:eastAsia="zh-CN"/>
        </w:rPr>
        <w:t>严格</w:t>
      </w:r>
      <w:r>
        <w:rPr>
          <w:rFonts w:hint="eastAsia" w:ascii="仿宋" w:hAnsi="仿宋" w:eastAsia="仿宋" w:cs="仿宋"/>
          <w:sz w:val="28"/>
          <w:szCs w:val="28"/>
        </w:rPr>
        <w:t>按年初预算予以压缩</w:t>
      </w:r>
      <w:r>
        <w:rPr>
          <w:rFonts w:hint="eastAsia" w:ascii="仿宋" w:hAnsi="仿宋" w:eastAsia="仿宋" w:cs="仿宋"/>
          <w:sz w:val="28"/>
          <w:szCs w:val="28"/>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8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05F91"/>
    <w:multiLevelType w:val="singleLevel"/>
    <w:tmpl w:val="9D805F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747B5"/>
    <w:rsid w:val="07047ECE"/>
    <w:rsid w:val="085F360E"/>
    <w:rsid w:val="0A00497C"/>
    <w:rsid w:val="0D89146E"/>
    <w:rsid w:val="0F1669F0"/>
    <w:rsid w:val="10260EB5"/>
    <w:rsid w:val="10262C63"/>
    <w:rsid w:val="10B464C1"/>
    <w:rsid w:val="1419498E"/>
    <w:rsid w:val="165247B2"/>
    <w:rsid w:val="16AF39B2"/>
    <w:rsid w:val="1B803B6F"/>
    <w:rsid w:val="1BEA0FE8"/>
    <w:rsid w:val="1C0C71B1"/>
    <w:rsid w:val="1CB810E7"/>
    <w:rsid w:val="211F34E2"/>
    <w:rsid w:val="239D1036"/>
    <w:rsid w:val="246F29D3"/>
    <w:rsid w:val="28CF57EE"/>
    <w:rsid w:val="296D5007"/>
    <w:rsid w:val="2D410C84"/>
    <w:rsid w:val="2D9D235F"/>
    <w:rsid w:val="2F126434"/>
    <w:rsid w:val="32111912"/>
    <w:rsid w:val="32452FC5"/>
    <w:rsid w:val="327A0EC0"/>
    <w:rsid w:val="35D408E8"/>
    <w:rsid w:val="36C30B3F"/>
    <w:rsid w:val="3709636F"/>
    <w:rsid w:val="385E26EA"/>
    <w:rsid w:val="39F350B4"/>
    <w:rsid w:val="3AC9755C"/>
    <w:rsid w:val="3D424389"/>
    <w:rsid w:val="412D5350"/>
    <w:rsid w:val="41546D80"/>
    <w:rsid w:val="419B49AF"/>
    <w:rsid w:val="43947908"/>
    <w:rsid w:val="43B92ECB"/>
    <w:rsid w:val="460E39A2"/>
    <w:rsid w:val="46D36999"/>
    <w:rsid w:val="4CAC5CC3"/>
    <w:rsid w:val="4DAB41CC"/>
    <w:rsid w:val="4E5C4D9A"/>
    <w:rsid w:val="501A73E7"/>
    <w:rsid w:val="57B343A9"/>
    <w:rsid w:val="57D305A7"/>
    <w:rsid w:val="582F1451"/>
    <w:rsid w:val="587873A1"/>
    <w:rsid w:val="58FC3B2E"/>
    <w:rsid w:val="5B016C04"/>
    <w:rsid w:val="5B1909C7"/>
    <w:rsid w:val="5B5365D5"/>
    <w:rsid w:val="622F6D22"/>
    <w:rsid w:val="62D376AD"/>
    <w:rsid w:val="633640E0"/>
    <w:rsid w:val="63626C83"/>
    <w:rsid w:val="672229B1"/>
    <w:rsid w:val="6D54588F"/>
    <w:rsid w:val="70BA6A2B"/>
    <w:rsid w:val="73C117A4"/>
    <w:rsid w:val="743C326B"/>
    <w:rsid w:val="75610B49"/>
    <w:rsid w:val="78E21FA1"/>
    <w:rsid w:val="7A6F5AB6"/>
    <w:rsid w:val="7D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 w:hAnsi="仿宋" w:eastAsia="仿宋" w:cs="仿宋"/>
      <w:color w:val="000000"/>
      <w:sz w:val="28"/>
      <w:szCs w:val="28"/>
      <w:u w:val="none"/>
    </w:rPr>
  </w:style>
  <w:style w:type="character" w:customStyle="1" w:styleId="7">
    <w:name w:val="font1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589</Words>
  <Characters>736</Characters>
  <Lines>0</Lines>
  <Paragraphs>0</Paragraphs>
  <TotalTime>14</TotalTime>
  <ScaleCrop>false</ScaleCrop>
  <LinksUpToDate>false</LinksUpToDate>
  <CharactersWithSpaces>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2025-02-06T08:09:00Z</dcterms:created>
  <dc:creator>JKL</dc:creator>
  <cp:lastModifiedBy>独立鱼</cp:lastModifiedBy>
  <dcterms:modified xsi:type="dcterms:W3CDTF">2025-05-14T01:48:18Z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eyJoZGlkIjoiNDAzMmU3ZTNmNjM4OTA3ZTgwN2UwZDRhYjEzYTQ3ZWQiLCJ1c2VySWQiOiIyMTU4MzAyNTcifQ==</vt:lpwstr>
  </property>
  <property fmtid="{D5CDD505-2E9C-101B-9397-08002B2CF9AE}" pid="4" name="ICV">
    <vt:lpwstr>3E2A90C209E6408D92D0819AFF585CE0_12</vt:lpwstr>
  </property>
</Properties>
</file>