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FC491">
      <w:pPr>
        <w:keepNext w:val="0"/>
        <w:keepLines w:val="0"/>
        <w:widowControl/>
        <w:suppressLineNumbers w:val="0"/>
        <w:jc w:val="center"/>
        <w:textAlignment w:val="center"/>
        <w:rPr>
          <w:rFonts w:hint="eastAsia" w:ascii="黑体" w:hAnsi="宋体" w:eastAsia="黑体" w:cs="黑体"/>
          <w:b/>
          <w:bCs/>
          <w:i w:val="0"/>
          <w:iCs w:val="0"/>
          <w:color w:val="000000"/>
          <w:kern w:val="0"/>
          <w:sz w:val="44"/>
          <w:szCs w:val="44"/>
          <w:u w:val="none"/>
          <w:lang w:val="en-US" w:eastAsia="zh-CN" w:bidi="ar"/>
        </w:rPr>
      </w:pPr>
      <w:r>
        <w:rPr>
          <w:rFonts w:hint="eastAsia" w:ascii="黑体" w:hAnsi="宋体" w:eastAsia="黑体" w:cs="黑体"/>
          <w:b/>
          <w:bCs/>
          <w:i w:val="0"/>
          <w:iCs w:val="0"/>
          <w:color w:val="000000"/>
          <w:kern w:val="0"/>
          <w:sz w:val="44"/>
          <w:szCs w:val="44"/>
          <w:u w:val="none"/>
          <w:lang w:val="en-US" w:eastAsia="zh-CN" w:bidi="ar"/>
        </w:rPr>
        <w:t>五河县2024年“三公”经费预算财政拨款情况及增减变化原因说明</w:t>
      </w:r>
    </w:p>
    <w:tbl>
      <w:tblPr>
        <w:tblStyle w:val="4"/>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16"/>
        <w:gridCol w:w="1743"/>
        <w:gridCol w:w="1814"/>
        <w:gridCol w:w="1626"/>
      </w:tblGrid>
      <w:tr w14:paraId="7DCE9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8299" w:type="dxa"/>
            <w:gridSpan w:val="4"/>
            <w:tcBorders>
              <w:top w:val="nil"/>
              <w:left w:val="nil"/>
              <w:bottom w:val="nil"/>
              <w:right w:val="nil"/>
            </w:tcBorders>
            <w:shd w:val="clear" w:color="auto" w:fill="auto"/>
            <w:noWrap/>
            <w:vAlign w:val="center"/>
          </w:tcPr>
          <w:p w14:paraId="02673FB5">
            <w:pPr>
              <w:keepNext w:val="0"/>
              <w:keepLines w:val="0"/>
              <w:widowControl/>
              <w:numPr>
                <w:ilvl w:val="0"/>
                <w:numId w:val="1"/>
              </w:numPr>
              <w:suppressLineNumbers w:val="0"/>
              <w:jc w:val="both"/>
              <w:textAlignment w:val="center"/>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“三公”经费预算财政拨款情况表</w:t>
            </w:r>
          </w:p>
        </w:tc>
      </w:tr>
      <w:tr w14:paraId="6BB90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859" w:type="dxa"/>
            <w:gridSpan w:val="2"/>
            <w:tcBorders>
              <w:top w:val="nil"/>
              <w:left w:val="nil"/>
              <w:bottom w:val="nil"/>
              <w:right w:val="nil"/>
            </w:tcBorders>
            <w:shd w:val="clear" w:color="auto" w:fill="auto"/>
            <w:noWrap/>
            <w:vAlign w:val="center"/>
          </w:tcPr>
          <w:p w14:paraId="0F225729">
            <w:pPr>
              <w:jc w:val="left"/>
              <w:rPr>
                <w:rFonts w:hint="eastAsia" w:ascii="宋体" w:hAnsi="宋体" w:eastAsia="宋体" w:cs="宋体"/>
                <w:i w:val="0"/>
                <w:iCs w:val="0"/>
                <w:color w:val="000000"/>
                <w:sz w:val="20"/>
                <w:szCs w:val="20"/>
                <w:u w:val="none"/>
              </w:rPr>
            </w:pPr>
          </w:p>
        </w:tc>
        <w:tc>
          <w:tcPr>
            <w:tcW w:w="1814" w:type="dxa"/>
            <w:tcBorders>
              <w:top w:val="nil"/>
              <w:left w:val="nil"/>
              <w:bottom w:val="nil"/>
              <w:right w:val="nil"/>
            </w:tcBorders>
            <w:shd w:val="clear" w:color="auto" w:fill="auto"/>
            <w:noWrap/>
            <w:vAlign w:val="center"/>
          </w:tcPr>
          <w:p w14:paraId="556B5307">
            <w:pPr>
              <w:rPr>
                <w:rFonts w:hint="eastAsia" w:ascii="宋体" w:hAnsi="宋体" w:eastAsia="宋体" w:cs="宋体"/>
                <w:i w:val="0"/>
                <w:iCs w:val="0"/>
                <w:color w:val="000000"/>
                <w:sz w:val="20"/>
                <w:szCs w:val="20"/>
                <w:u w:val="none"/>
              </w:rPr>
            </w:pPr>
          </w:p>
        </w:tc>
        <w:tc>
          <w:tcPr>
            <w:tcW w:w="1626" w:type="dxa"/>
            <w:tcBorders>
              <w:top w:val="nil"/>
              <w:left w:val="nil"/>
              <w:bottom w:val="nil"/>
              <w:right w:val="nil"/>
            </w:tcBorders>
            <w:shd w:val="clear" w:color="auto" w:fill="auto"/>
            <w:noWrap/>
            <w:vAlign w:val="center"/>
          </w:tcPr>
          <w:p w14:paraId="0A45C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752AF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13DF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项目名称</w:t>
            </w:r>
          </w:p>
        </w:tc>
        <w:tc>
          <w:tcPr>
            <w:tcW w:w="1743" w:type="dxa"/>
            <w:tcBorders>
              <w:top w:val="single" w:color="000000" w:sz="4" w:space="0"/>
              <w:left w:val="single" w:color="000000" w:sz="4" w:space="0"/>
              <w:bottom w:val="nil"/>
              <w:right w:val="single" w:color="000000" w:sz="4" w:space="0"/>
            </w:tcBorders>
            <w:shd w:val="clear" w:color="auto" w:fill="auto"/>
            <w:noWrap/>
            <w:vAlign w:val="center"/>
          </w:tcPr>
          <w:p w14:paraId="4109186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本年预算数</w:t>
            </w:r>
          </w:p>
        </w:tc>
        <w:tc>
          <w:tcPr>
            <w:tcW w:w="1814" w:type="dxa"/>
            <w:tcBorders>
              <w:top w:val="single" w:color="000000" w:sz="4" w:space="0"/>
              <w:left w:val="single" w:color="000000" w:sz="4" w:space="0"/>
              <w:bottom w:val="nil"/>
              <w:right w:val="single" w:color="000000" w:sz="4" w:space="0"/>
            </w:tcBorders>
            <w:shd w:val="clear" w:color="auto" w:fill="auto"/>
            <w:vAlign w:val="center"/>
          </w:tcPr>
          <w:p w14:paraId="4897756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上年预算数</w:t>
            </w:r>
          </w:p>
        </w:tc>
        <w:tc>
          <w:tcPr>
            <w:tcW w:w="1626" w:type="dxa"/>
            <w:tcBorders>
              <w:top w:val="single" w:color="000000" w:sz="4" w:space="0"/>
              <w:left w:val="single" w:color="000000" w:sz="4" w:space="0"/>
              <w:bottom w:val="nil"/>
              <w:right w:val="single" w:color="000000" w:sz="4" w:space="0"/>
            </w:tcBorders>
            <w:shd w:val="clear" w:color="auto" w:fill="auto"/>
            <w:noWrap/>
            <w:vAlign w:val="center"/>
          </w:tcPr>
          <w:p w14:paraId="2EDFB6B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增幅（%）</w:t>
            </w:r>
          </w:p>
        </w:tc>
      </w:tr>
      <w:tr w14:paraId="2BB1B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9AD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合计</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C794">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1,399.30</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9953">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1,494.64</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18D4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-6.38</w:t>
            </w:r>
          </w:p>
        </w:tc>
      </w:tr>
      <w:tr w14:paraId="76D27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77BE">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1、因公出国(境)费</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1959A">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977AF">
            <w:pPr>
              <w:jc w:val="right"/>
              <w:rPr>
                <w:rFonts w:hint="eastAsia" w:ascii="仿宋" w:hAnsi="仿宋" w:eastAsia="仿宋" w:cs="仿宋"/>
                <w:i w:val="0"/>
                <w:iCs w:val="0"/>
                <w:color w:val="000000"/>
                <w:sz w:val="28"/>
                <w:szCs w:val="28"/>
                <w:u w:val="none"/>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CC01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w:t>
            </w:r>
          </w:p>
        </w:tc>
      </w:tr>
      <w:tr w14:paraId="1603A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4834D">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2、公务接待费</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5483">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463.62</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C8F38">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498.94</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BDEBD">
            <w:pPr>
              <w:keepNext w:val="0"/>
              <w:keepLines w:val="0"/>
              <w:widowControl/>
              <w:suppressLineNumbers w:val="0"/>
              <w:jc w:val="center"/>
              <w:textAlignment w:val="center"/>
              <w:rPr>
                <w:rFonts w:hint="default"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-7.08</w:t>
            </w:r>
          </w:p>
        </w:tc>
      </w:tr>
      <w:tr w14:paraId="71AEC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FF9BB">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3、公务用车购置及运行费</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F4207">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935.68</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F411D">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995.7</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527A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-6.03</w:t>
            </w:r>
          </w:p>
        </w:tc>
      </w:tr>
      <w:tr w14:paraId="13002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62BF">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其中：（1）公务用车运行维护费</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BC916">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840.2</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CADDE">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890.2</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5F7C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-5.62</w:t>
            </w:r>
          </w:p>
        </w:tc>
      </w:tr>
      <w:tr w14:paraId="572B0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07237">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000000"/>
                <w:kern w:val="0"/>
                <w:sz w:val="28"/>
                <w:szCs w:val="28"/>
                <w:u w:val="none"/>
                <w:lang w:val="en-US" w:eastAsia="zh-CN" w:bidi="ar"/>
              </w:rPr>
              <w:t xml:space="preserve">      （2）公务用车购置费</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28DA6">
            <w:pPr>
              <w:keepNext w:val="0"/>
              <w:keepLines w:val="0"/>
              <w:widowControl/>
              <w:suppressLineNumbers w:val="0"/>
              <w:jc w:val="righ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000000"/>
                <w:kern w:val="0"/>
                <w:sz w:val="28"/>
                <w:szCs w:val="28"/>
                <w:u w:val="none"/>
                <w:lang w:val="en-US" w:eastAsia="zh-CN" w:bidi="ar"/>
              </w:rPr>
              <w:t>95.48</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E8EFD">
            <w:pPr>
              <w:keepNext w:val="0"/>
              <w:keepLines w:val="0"/>
              <w:widowControl/>
              <w:suppressLineNumbers w:val="0"/>
              <w:jc w:val="righ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000000"/>
                <w:kern w:val="0"/>
                <w:sz w:val="28"/>
                <w:szCs w:val="28"/>
                <w:u w:val="none"/>
                <w:lang w:val="en-US" w:eastAsia="zh-CN" w:bidi="ar"/>
              </w:rPr>
              <w:t>105.5</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676A">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000000"/>
                <w:kern w:val="0"/>
                <w:sz w:val="28"/>
                <w:szCs w:val="28"/>
                <w:u w:val="none"/>
                <w:lang w:val="en-US" w:eastAsia="zh-CN" w:bidi="ar"/>
              </w:rPr>
              <w:t>-9.5</w:t>
            </w:r>
          </w:p>
        </w:tc>
      </w:tr>
    </w:tbl>
    <w:p w14:paraId="4BF8EE42">
      <w:pPr>
        <w:rPr>
          <w:rFonts w:hint="eastAsia"/>
          <w:b/>
          <w:bCs/>
        </w:rPr>
      </w:pPr>
    </w:p>
    <w:p w14:paraId="7282CA3E">
      <w:pPr>
        <w:keepNext w:val="0"/>
        <w:keepLines w:val="0"/>
        <w:widowControl/>
        <w:suppressLineNumbers w:val="0"/>
        <w:jc w:val="both"/>
        <w:textAlignment w:val="center"/>
        <w:rPr>
          <w:rFonts w:hint="eastAsia"/>
        </w:rPr>
      </w:pPr>
      <w:r>
        <w:rPr>
          <w:rFonts w:hint="eastAsia" w:ascii="黑体" w:hAnsi="宋体" w:eastAsia="黑体" w:cs="黑体"/>
          <w:i w:val="0"/>
          <w:iCs w:val="0"/>
          <w:color w:val="000000"/>
          <w:kern w:val="0"/>
          <w:sz w:val="32"/>
          <w:szCs w:val="32"/>
          <w:u w:val="none"/>
          <w:lang w:val="en-US" w:eastAsia="zh-CN" w:bidi="ar"/>
        </w:rPr>
        <w:t>二、 “三公”经费财政拨款支出情况说明</w:t>
      </w:r>
    </w:p>
    <w:p w14:paraId="4E990F4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为全面反映“三公”经费支出，本次公布的</w:t>
      </w:r>
      <w:r>
        <w:rPr>
          <w:rFonts w:hint="eastAsia" w:ascii="仿宋" w:hAnsi="仿宋" w:eastAsia="仿宋" w:cs="仿宋"/>
          <w:sz w:val="28"/>
          <w:szCs w:val="28"/>
          <w:lang w:val="en-US" w:eastAsia="zh-CN"/>
        </w:rPr>
        <w:t>2024</w:t>
      </w:r>
      <w:r>
        <w:rPr>
          <w:rFonts w:hint="eastAsia" w:ascii="仿宋" w:hAnsi="仿宋" w:eastAsia="仿宋" w:cs="仿宋"/>
          <w:sz w:val="28"/>
          <w:szCs w:val="28"/>
        </w:rPr>
        <w:t>年“三公”经费预算为全县汇总数，财政拨款包括一般公共预算财政拨款和政府性基金预算财政拨款支出。202</w:t>
      </w: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 年</w:t>
      </w:r>
      <w:r>
        <w:rPr>
          <w:rFonts w:hint="eastAsia" w:ascii="仿宋" w:hAnsi="仿宋" w:eastAsia="仿宋" w:cs="仿宋"/>
          <w:sz w:val="28"/>
          <w:szCs w:val="28"/>
          <w:lang w:val="en-US" w:eastAsia="zh-CN"/>
        </w:rPr>
        <w:t>全县</w:t>
      </w:r>
      <w:r>
        <w:rPr>
          <w:rFonts w:hint="eastAsia" w:ascii="仿宋" w:hAnsi="仿宋" w:eastAsia="仿宋" w:cs="仿宋"/>
          <w:sz w:val="28"/>
          <w:szCs w:val="28"/>
        </w:rPr>
        <w:t>“三公”经费预算</w:t>
      </w:r>
      <w:r>
        <w:rPr>
          <w:rFonts w:hint="eastAsia" w:ascii="仿宋" w:hAnsi="仿宋" w:eastAsia="仿宋" w:cs="仿宋"/>
          <w:sz w:val="28"/>
          <w:szCs w:val="28"/>
          <w:lang w:val="en-US" w:eastAsia="zh-CN"/>
        </w:rPr>
        <w:t>1399.3</w:t>
      </w:r>
      <w:r>
        <w:rPr>
          <w:rFonts w:hint="eastAsia" w:ascii="仿宋" w:hAnsi="仿宋" w:eastAsia="仿宋" w:cs="仿宋"/>
          <w:sz w:val="28"/>
          <w:szCs w:val="28"/>
        </w:rPr>
        <w:t>万元，比</w:t>
      </w:r>
      <w:r>
        <w:rPr>
          <w:rFonts w:hint="eastAsia" w:ascii="仿宋" w:hAnsi="仿宋" w:eastAsia="仿宋" w:cs="仿宋"/>
          <w:sz w:val="28"/>
          <w:szCs w:val="28"/>
          <w:lang w:val="en-US" w:eastAsia="zh-CN"/>
        </w:rPr>
        <w:t>上</w:t>
      </w:r>
      <w:r>
        <w:rPr>
          <w:rFonts w:hint="eastAsia" w:ascii="仿宋" w:hAnsi="仿宋" w:eastAsia="仿宋" w:cs="仿宋"/>
          <w:sz w:val="28"/>
          <w:szCs w:val="28"/>
        </w:rPr>
        <w:t>年预算数减少</w:t>
      </w:r>
      <w:r>
        <w:rPr>
          <w:rFonts w:hint="eastAsia" w:ascii="仿宋" w:hAnsi="仿宋" w:eastAsia="仿宋" w:cs="仿宋"/>
          <w:sz w:val="28"/>
          <w:szCs w:val="28"/>
          <w:lang w:val="en-US" w:eastAsia="zh-CN"/>
        </w:rPr>
        <w:t>95.34</w:t>
      </w:r>
      <w:r>
        <w:rPr>
          <w:rFonts w:hint="eastAsia" w:ascii="仿宋" w:hAnsi="仿宋" w:eastAsia="仿宋" w:cs="仿宋"/>
          <w:sz w:val="28"/>
          <w:szCs w:val="28"/>
        </w:rPr>
        <w:t>万元，</w:t>
      </w:r>
      <w:r>
        <w:rPr>
          <w:rFonts w:hint="eastAsia" w:ascii="仿宋" w:hAnsi="仿宋" w:eastAsia="仿宋" w:cs="仿宋"/>
          <w:sz w:val="28"/>
          <w:szCs w:val="28"/>
          <w:lang w:val="en-US" w:eastAsia="zh-CN"/>
        </w:rPr>
        <w:t>降幅6.38%。</w:t>
      </w:r>
      <w:r>
        <w:rPr>
          <w:rFonts w:hint="eastAsia" w:ascii="仿宋" w:hAnsi="仿宋" w:eastAsia="仿宋" w:cs="仿宋"/>
          <w:sz w:val="28"/>
          <w:szCs w:val="28"/>
        </w:rPr>
        <w:t>具体情况如下：</w:t>
      </w:r>
    </w:p>
    <w:p w14:paraId="665D028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（一）因公出国（境）费预算0万元，与上年持平。经费使用严格按照《安徽省省直党政机关因公出国经费管理办法》（财行〔2014〕104号）相关规定执行。</w:t>
      </w:r>
    </w:p>
    <w:p w14:paraId="4B4887A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（二）公务接待费预算</w:t>
      </w:r>
      <w:r>
        <w:rPr>
          <w:rFonts w:hint="eastAsia" w:ascii="仿宋" w:hAnsi="仿宋" w:eastAsia="仿宋" w:cs="仿宋"/>
          <w:sz w:val="28"/>
          <w:szCs w:val="28"/>
          <w:lang w:val="en-US" w:eastAsia="zh-CN"/>
        </w:rPr>
        <w:t>463.62</w:t>
      </w:r>
      <w:r>
        <w:rPr>
          <w:rFonts w:hint="eastAsia" w:ascii="仿宋" w:hAnsi="仿宋" w:eastAsia="仿宋" w:cs="仿宋"/>
          <w:sz w:val="28"/>
          <w:szCs w:val="28"/>
        </w:rPr>
        <w:t>万元，比上年减少</w:t>
      </w:r>
      <w:r>
        <w:rPr>
          <w:rFonts w:hint="eastAsia" w:ascii="仿宋" w:hAnsi="仿宋" w:eastAsia="仿宋" w:cs="仿宋"/>
          <w:sz w:val="28"/>
          <w:szCs w:val="28"/>
          <w:lang w:val="en-US" w:eastAsia="zh-CN"/>
        </w:rPr>
        <w:t>35.32</w:t>
      </w:r>
      <w:r>
        <w:rPr>
          <w:rFonts w:hint="eastAsia" w:ascii="仿宋" w:hAnsi="仿宋" w:eastAsia="仿宋" w:cs="仿宋"/>
          <w:sz w:val="28"/>
          <w:szCs w:val="28"/>
        </w:rPr>
        <w:t>万元，同比下降</w:t>
      </w:r>
      <w:r>
        <w:rPr>
          <w:rFonts w:hint="eastAsia" w:ascii="仿宋" w:hAnsi="仿宋" w:eastAsia="仿宋" w:cs="仿宋"/>
          <w:sz w:val="28"/>
          <w:szCs w:val="28"/>
          <w:lang w:val="en-US" w:eastAsia="zh-CN"/>
        </w:rPr>
        <w:t>7.08</w:t>
      </w:r>
      <w:r>
        <w:rPr>
          <w:rFonts w:hint="eastAsia" w:ascii="仿宋" w:hAnsi="仿宋" w:eastAsia="仿宋" w:cs="仿宋"/>
          <w:sz w:val="28"/>
          <w:szCs w:val="28"/>
        </w:rPr>
        <w:t>%，下降原因主要是</w:t>
      </w:r>
      <w:r>
        <w:rPr>
          <w:rFonts w:hint="eastAsia" w:ascii="仿宋" w:hAnsi="仿宋" w:eastAsia="仿宋" w:cs="仿宋"/>
          <w:sz w:val="28"/>
          <w:szCs w:val="28"/>
          <w:lang w:val="en-US" w:eastAsia="zh-CN"/>
        </w:rPr>
        <w:t>机关事业单位</w:t>
      </w:r>
      <w:r>
        <w:rPr>
          <w:rFonts w:hint="eastAsia" w:ascii="仿宋" w:hAnsi="仿宋" w:eastAsia="仿宋" w:cs="仿宋"/>
          <w:sz w:val="28"/>
          <w:szCs w:val="28"/>
        </w:rPr>
        <w:t>积极落实中央八项规定精神，严格落实过紧日子要求</w:t>
      </w:r>
      <w:r>
        <w:rPr>
          <w:rFonts w:hint="eastAsia" w:ascii="仿宋" w:hAnsi="仿宋" w:eastAsia="仿宋" w:cs="仿宋"/>
          <w:sz w:val="28"/>
          <w:szCs w:val="28"/>
          <w:lang w:eastAsia="zh-CN"/>
        </w:rPr>
        <w:t>，</w:t>
      </w:r>
      <w:r>
        <w:rPr>
          <w:rFonts w:hint="eastAsia" w:ascii="仿宋" w:hAnsi="仿宋" w:eastAsia="仿宋" w:cs="仿宋"/>
          <w:sz w:val="28"/>
          <w:szCs w:val="28"/>
        </w:rPr>
        <w:t>厉行勤俭节约</w:t>
      </w:r>
      <w:r>
        <w:rPr>
          <w:rFonts w:hint="eastAsia" w:ascii="仿宋" w:hAnsi="仿宋" w:eastAsia="仿宋" w:cs="仿宋"/>
          <w:sz w:val="28"/>
          <w:szCs w:val="28"/>
          <w:lang w:eastAsia="zh-CN"/>
        </w:rPr>
        <w:t>。</w:t>
      </w:r>
    </w:p>
    <w:p w14:paraId="2C9AA77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ascii="仿宋" w:hAnsi="仿宋" w:eastAsia="仿宋" w:cs="仿宋"/>
          <w:sz w:val="28"/>
          <w:szCs w:val="28"/>
        </w:rPr>
        <w:t>（三）公务用车购置及运行费预算</w:t>
      </w:r>
      <w:r>
        <w:rPr>
          <w:rFonts w:hint="eastAsia" w:ascii="仿宋" w:hAnsi="仿宋" w:eastAsia="仿宋" w:cs="仿宋"/>
          <w:sz w:val="28"/>
          <w:szCs w:val="28"/>
          <w:lang w:val="en-US" w:eastAsia="zh-CN"/>
        </w:rPr>
        <w:t>935.68</w:t>
      </w:r>
      <w:r>
        <w:rPr>
          <w:rFonts w:hint="eastAsia" w:ascii="仿宋" w:hAnsi="仿宋" w:eastAsia="仿宋" w:cs="仿宋"/>
          <w:sz w:val="28"/>
          <w:szCs w:val="28"/>
        </w:rPr>
        <w:t>万元，比上年</w:t>
      </w:r>
      <w:r>
        <w:rPr>
          <w:rFonts w:hint="eastAsia" w:ascii="仿宋" w:hAnsi="仿宋" w:eastAsia="仿宋" w:cs="仿宋"/>
          <w:sz w:val="28"/>
          <w:szCs w:val="28"/>
          <w:lang w:val="en-US" w:eastAsia="zh-CN"/>
        </w:rPr>
        <w:t>减少60.02</w:t>
      </w:r>
      <w:r>
        <w:rPr>
          <w:rFonts w:hint="eastAsia" w:ascii="仿宋" w:hAnsi="仿宋" w:eastAsia="仿宋" w:cs="仿宋"/>
          <w:sz w:val="28"/>
          <w:szCs w:val="28"/>
        </w:rPr>
        <w:t>万元，同比</w:t>
      </w:r>
      <w:r>
        <w:rPr>
          <w:rFonts w:hint="eastAsia" w:ascii="仿宋" w:hAnsi="仿宋" w:eastAsia="仿宋" w:cs="仿宋"/>
          <w:sz w:val="28"/>
          <w:szCs w:val="28"/>
          <w:lang w:val="en-US" w:eastAsia="zh-CN"/>
        </w:rPr>
        <w:t>降幅6.03</w:t>
      </w:r>
      <w:r>
        <w:rPr>
          <w:rFonts w:hint="eastAsia" w:ascii="仿宋" w:hAnsi="仿宋" w:eastAsia="仿宋" w:cs="仿宋"/>
          <w:sz w:val="28"/>
          <w:szCs w:val="28"/>
        </w:rPr>
        <w:t>%。其中：公务用车运行维护费</w:t>
      </w:r>
      <w:r>
        <w:rPr>
          <w:rFonts w:hint="eastAsia" w:ascii="仿宋" w:hAnsi="仿宋" w:eastAsia="仿宋" w:cs="仿宋"/>
          <w:sz w:val="28"/>
          <w:szCs w:val="28"/>
          <w:lang w:val="en-US" w:eastAsia="zh-CN"/>
        </w:rPr>
        <w:t>840.2</w:t>
      </w:r>
      <w:r>
        <w:rPr>
          <w:rFonts w:hint="eastAsia" w:ascii="仿宋" w:hAnsi="仿宋" w:eastAsia="仿宋" w:cs="仿宋"/>
          <w:sz w:val="28"/>
          <w:szCs w:val="28"/>
        </w:rPr>
        <w:t>万元，比上年</w:t>
      </w:r>
      <w:r>
        <w:rPr>
          <w:rFonts w:hint="eastAsia" w:ascii="仿宋" w:hAnsi="仿宋" w:eastAsia="仿宋" w:cs="仿宋"/>
          <w:sz w:val="28"/>
          <w:szCs w:val="28"/>
          <w:lang w:val="en-US" w:eastAsia="zh-CN"/>
        </w:rPr>
        <w:t>减少50</w:t>
      </w:r>
      <w:r>
        <w:rPr>
          <w:rFonts w:hint="eastAsia" w:ascii="仿宋" w:hAnsi="仿宋" w:eastAsia="仿宋" w:cs="仿宋"/>
          <w:sz w:val="28"/>
          <w:szCs w:val="28"/>
        </w:rPr>
        <w:t>万元，</w:t>
      </w:r>
      <w:r>
        <w:rPr>
          <w:rFonts w:hint="eastAsia" w:ascii="仿宋" w:hAnsi="仿宋" w:eastAsia="仿宋" w:cs="仿宋"/>
          <w:sz w:val="28"/>
          <w:szCs w:val="28"/>
          <w:lang w:val="en-US" w:eastAsia="zh-CN"/>
        </w:rPr>
        <w:t>同比降幅5.62</w:t>
      </w:r>
      <w:r>
        <w:rPr>
          <w:rFonts w:hint="eastAsia" w:ascii="仿宋" w:hAnsi="仿宋" w:eastAsia="仿宋" w:cs="仿宋"/>
          <w:sz w:val="28"/>
          <w:szCs w:val="28"/>
        </w:rPr>
        <w:t>%；公务用车购置费</w:t>
      </w:r>
      <w:r>
        <w:rPr>
          <w:rFonts w:hint="eastAsia" w:ascii="仿宋" w:hAnsi="仿宋" w:eastAsia="仿宋" w:cs="仿宋"/>
          <w:sz w:val="28"/>
          <w:szCs w:val="28"/>
          <w:lang w:val="en-US" w:eastAsia="zh-CN"/>
        </w:rPr>
        <w:t>95.48</w:t>
      </w:r>
      <w:r>
        <w:rPr>
          <w:rFonts w:hint="eastAsia" w:ascii="仿宋" w:hAnsi="仿宋" w:eastAsia="仿宋" w:cs="仿宋"/>
          <w:sz w:val="28"/>
          <w:szCs w:val="28"/>
        </w:rPr>
        <w:t>万元，比上年</w:t>
      </w:r>
      <w:r>
        <w:rPr>
          <w:rFonts w:hint="eastAsia" w:ascii="仿宋" w:hAnsi="仿宋" w:eastAsia="仿宋" w:cs="仿宋"/>
          <w:sz w:val="28"/>
          <w:szCs w:val="28"/>
          <w:lang w:val="en-US" w:eastAsia="zh-CN"/>
        </w:rPr>
        <w:t>减少10.02</w:t>
      </w:r>
      <w:r>
        <w:rPr>
          <w:rFonts w:hint="eastAsia" w:ascii="仿宋" w:hAnsi="仿宋" w:eastAsia="仿宋" w:cs="仿宋"/>
          <w:sz w:val="28"/>
          <w:szCs w:val="28"/>
        </w:rPr>
        <w:t>万元，同比</w:t>
      </w:r>
      <w:r>
        <w:rPr>
          <w:rFonts w:hint="eastAsia" w:ascii="仿宋" w:hAnsi="仿宋" w:eastAsia="仿宋" w:cs="仿宋"/>
          <w:sz w:val="28"/>
          <w:szCs w:val="28"/>
          <w:lang w:val="en-US" w:eastAsia="zh-CN"/>
        </w:rPr>
        <w:t>降幅9.5</w:t>
      </w:r>
      <w:r>
        <w:rPr>
          <w:rFonts w:hint="eastAsia" w:ascii="仿宋" w:hAnsi="仿宋" w:eastAsia="仿宋" w:cs="仿宋"/>
          <w:sz w:val="28"/>
          <w:szCs w:val="28"/>
        </w:rPr>
        <w:t>%。</w:t>
      </w:r>
    </w:p>
    <w:p w14:paraId="64EF6AF0">
      <w:pPr>
        <w:keepNext w:val="0"/>
        <w:keepLines w:val="0"/>
        <w:widowControl/>
        <w:suppressLineNumbers w:val="0"/>
        <w:jc w:val="both"/>
        <w:textAlignment w:val="center"/>
        <w:rPr>
          <w:rFonts w:hint="eastAsia"/>
        </w:rPr>
      </w:pPr>
      <w:r>
        <w:rPr>
          <w:rFonts w:hint="eastAsia" w:ascii="黑体" w:hAnsi="宋体" w:eastAsia="黑体" w:cs="黑体"/>
          <w:i w:val="0"/>
          <w:iCs w:val="0"/>
          <w:color w:val="000000"/>
          <w:kern w:val="0"/>
          <w:sz w:val="32"/>
          <w:szCs w:val="32"/>
          <w:u w:val="none"/>
          <w:lang w:val="en-US" w:eastAsia="zh-CN" w:bidi="ar"/>
        </w:rPr>
        <w:t>三、“三公”经费增减变化原因分析</w:t>
      </w:r>
      <w:bookmarkStart w:id="0" w:name="_GoBack"/>
      <w:bookmarkEnd w:id="0"/>
    </w:p>
    <w:p w14:paraId="2DD484F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2024</w:t>
      </w:r>
      <w:r>
        <w:rPr>
          <w:rFonts w:hint="eastAsia" w:ascii="仿宋" w:hAnsi="仿宋" w:eastAsia="仿宋" w:cs="仿宋"/>
          <w:sz w:val="28"/>
          <w:szCs w:val="28"/>
        </w:rPr>
        <w:t>年公共预算财政拨款安排的“三公”经费开支总体呈下降趋势，主要原因如下：</w:t>
      </w:r>
    </w:p>
    <w:p w14:paraId="4E324EB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（1）严格遵守中央八项规定，严格三公经费支出项目、范围及支付方式，让三公经费支出在合法、合规下运行，并且在技术上处于可监督范围</w:t>
      </w:r>
      <w:r>
        <w:rPr>
          <w:rFonts w:hint="eastAsia" w:ascii="仿宋" w:hAnsi="仿宋" w:eastAsia="仿宋" w:cs="仿宋"/>
          <w:sz w:val="28"/>
          <w:szCs w:val="28"/>
          <w:lang w:eastAsia="zh-CN"/>
        </w:rPr>
        <w:t>。</w:t>
      </w:r>
    </w:p>
    <w:p w14:paraId="1C5E864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（2）严格按政府要求，</w:t>
      </w:r>
      <w:r>
        <w:rPr>
          <w:rFonts w:hint="eastAsia" w:ascii="仿宋" w:hAnsi="仿宋" w:eastAsia="仿宋" w:cs="仿宋"/>
          <w:sz w:val="28"/>
          <w:szCs w:val="28"/>
          <w:lang w:val="en-US" w:eastAsia="zh-CN"/>
        </w:rPr>
        <w:t>严格</w:t>
      </w:r>
      <w:r>
        <w:rPr>
          <w:rFonts w:hint="eastAsia" w:ascii="仿宋" w:hAnsi="仿宋" w:eastAsia="仿宋" w:cs="仿宋"/>
          <w:sz w:val="28"/>
          <w:szCs w:val="28"/>
        </w:rPr>
        <w:t>按年初预算予以压缩</w:t>
      </w:r>
      <w:r>
        <w:rPr>
          <w:rFonts w:hint="eastAsia" w:ascii="仿宋" w:hAnsi="仿宋" w:eastAsia="仿宋" w:cs="仿宋"/>
          <w:sz w:val="28"/>
          <w:szCs w:val="28"/>
          <w:lang w:eastAsia="zh-CN"/>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B854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A3FAF9">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A3FAF9">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05F91"/>
    <w:multiLevelType w:val="singleLevel"/>
    <w:tmpl w:val="9D805F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747B5"/>
    <w:rsid w:val="07047ECE"/>
    <w:rsid w:val="085F360E"/>
    <w:rsid w:val="0F1669F0"/>
    <w:rsid w:val="100C4554"/>
    <w:rsid w:val="10260EB5"/>
    <w:rsid w:val="10262C63"/>
    <w:rsid w:val="10B464C1"/>
    <w:rsid w:val="1419498E"/>
    <w:rsid w:val="165247B2"/>
    <w:rsid w:val="16AF39B2"/>
    <w:rsid w:val="1AFD0A64"/>
    <w:rsid w:val="1C0C71B1"/>
    <w:rsid w:val="1CB810E7"/>
    <w:rsid w:val="211F34E2"/>
    <w:rsid w:val="239D1036"/>
    <w:rsid w:val="246F29D3"/>
    <w:rsid w:val="28CF57EE"/>
    <w:rsid w:val="296D5007"/>
    <w:rsid w:val="2D410C84"/>
    <w:rsid w:val="2D9D235F"/>
    <w:rsid w:val="32111912"/>
    <w:rsid w:val="32452FC5"/>
    <w:rsid w:val="327A0EC0"/>
    <w:rsid w:val="35D408E8"/>
    <w:rsid w:val="36803B81"/>
    <w:rsid w:val="3709636F"/>
    <w:rsid w:val="385E26EA"/>
    <w:rsid w:val="39F350B4"/>
    <w:rsid w:val="3AC9755C"/>
    <w:rsid w:val="3D424389"/>
    <w:rsid w:val="412D5350"/>
    <w:rsid w:val="41546D80"/>
    <w:rsid w:val="419B49AF"/>
    <w:rsid w:val="43947908"/>
    <w:rsid w:val="460E39A2"/>
    <w:rsid w:val="46D36999"/>
    <w:rsid w:val="4CAC5CC3"/>
    <w:rsid w:val="4DAB41CC"/>
    <w:rsid w:val="4E5C4D9A"/>
    <w:rsid w:val="501A73E7"/>
    <w:rsid w:val="57B343A9"/>
    <w:rsid w:val="58FC3B2E"/>
    <w:rsid w:val="5A7140A7"/>
    <w:rsid w:val="5B1909C7"/>
    <w:rsid w:val="5B5365D5"/>
    <w:rsid w:val="622F6D22"/>
    <w:rsid w:val="62D376AD"/>
    <w:rsid w:val="633640E0"/>
    <w:rsid w:val="63626C83"/>
    <w:rsid w:val="672229B1"/>
    <w:rsid w:val="6D54588F"/>
    <w:rsid w:val="70BA6A2B"/>
    <w:rsid w:val="73C117A4"/>
    <w:rsid w:val="743C326B"/>
    <w:rsid w:val="762F5F90"/>
    <w:rsid w:val="7A6F5AB6"/>
    <w:rsid w:val="7D3F2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21"/>
    <w:basedOn w:val="5"/>
    <w:qFormat/>
    <w:uiPriority w:val="0"/>
    <w:rPr>
      <w:rFonts w:hint="eastAsia" w:ascii="仿宋" w:hAnsi="仿宋" w:eastAsia="仿宋" w:cs="仿宋"/>
      <w:color w:val="000000"/>
      <w:sz w:val="28"/>
      <w:szCs w:val="28"/>
      <w:u w:val="none"/>
    </w:rPr>
  </w:style>
  <w:style w:type="character" w:customStyle="1" w:styleId="7">
    <w:name w:val="font11"/>
    <w:basedOn w:val="5"/>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635</Words>
  <Characters>783</Characters>
  <Lines>0</Lines>
  <Paragraphs>0</Paragraphs>
  <TotalTime>2</TotalTime>
  <ScaleCrop>false</ScaleCrop>
  <LinksUpToDate>false</LinksUpToDate>
  <CharactersWithSpaces>791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2025-02-06T08:09:00Z</dcterms:created>
  <dc:creator>JKL</dc:creator>
  <cp:lastModifiedBy>独立鱼</cp:lastModifiedBy>
  <dcterms:modified xsi:type="dcterms:W3CDTF">2025-05-20T03:45:08Z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eyJoZGlkIjoiNDAzMmU3ZTNmNjM4OTA3ZTgwN2UwZDRhYjEzYTQ3ZWQiLCJ1c2VySWQiOiIyMTU4MzAyNTcifQ==</vt:lpwstr>
  </property>
  <property fmtid="{D5CDD505-2E9C-101B-9397-08002B2CF9AE}" pid="4" name="ICV">
    <vt:lpwstr>3E2A90C209E6408D92D0819AFF585CE0_12</vt:lpwstr>
  </property>
</Properties>
</file>