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E78F70">
      <w:pPr>
        <w:jc w:val="center"/>
        <w:rPr>
          <w:rFonts w:hint="eastAsia" w:eastAsia="宋体"/>
          <w:color w:val="auto"/>
          <w:szCs w:val="28"/>
          <w:lang w:val="en-US" w:eastAsia="zh-CN"/>
        </w:rPr>
      </w:pPr>
      <w:r>
        <w:rPr>
          <w:rFonts w:hint="eastAsia"/>
          <w:color w:val="auto"/>
          <w:szCs w:val="28"/>
          <w:lang w:val="en-US" w:eastAsia="zh-CN"/>
        </w:rPr>
        <w:t xml:space="preserve"> </w:t>
      </w:r>
    </w:p>
    <w:p w14:paraId="3ED22464">
      <w:pPr>
        <w:jc w:val="center"/>
        <w:rPr>
          <w:color w:val="auto"/>
          <w:szCs w:val="28"/>
        </w:rPr>
      </w:pPr>
    </w:p>
    <w:p w14:paraId="14C55B69">
      <w:pPr>
        <w:jc w:val="center"/>
        <w:rPr>
          <w:color w:val="auto"/>
          <w:szCs w:val="28"/>
        </w:rPr>
      </w:pPr>
    </w:p>
    <w:p w14:paraId="0A60BD2C">
      <w:pPr>
        <w:jc w:val="center"/>
        <w:rPr>
          <w:color w:val="auto"/>
          <w:szCs w:val="28"/>
        </w:rPr>
      </w:pPr>
    </w:p>
    <w:p w14:paraId="65D49DF0">
      <w:pPr>
        <w:tabs>
          <w:tab w:val="left" w:pos="180"/>
        </w:tabs>
        <w:jc w:val="center"/>
        <w:rPr>
          <w:b/>
          <w:color w:val="auto"/>
          <w:sz w:val="72"/>
          <w:szCs w:val="80"/>
        </w:rPr>
      </w:pPr>
      <w:r>
        <w:rPr>
          <w:b/>
          <w:color w:val="auto"/>
          <w:sz w:val="72"/>
          <w:szCs w:val="80"/>
        </w:rPr>
        <w:t>建设项目环境影响报告表</w:t>
      </w:r>
    </w:p>
    <w:p w14:paraId="3F960431">
      <w:pPr>
        <w:adjustRightInd w:val="0"/>
        <w:snapToGrid w:val="0"/>
        <w:spacing w:before="249" w:beforeLines="80"/>
        <w:jc w:val="center"/>
        <w:rPr>
          <w:rFonts w:hint="eastAsia" w:ascii="楷体_GB2312" w:eastAsia="楷体_GB2312"/>
          <w:bCs/>
          <w:color w:val="auto"/>
          <w:sz w:val="48"/>
          <w:szCs w:val="48"/>
          <w:lang w:val="en-US" w:eastAsia="zh-CN"/>
        </w:rPr>
      </w:pPr>
      <w:r>
        <w:rPr>
          <w:rFonts w:hint="eastAsia" w:ascii="楷体_GB2312" w:eastAsia="楷体_GB2312"/>
          <w:bCs/>
          <w:color w:val="auto"/>
          <w:sz w:val="48"/>
          <w:szCs w:val="48"/>
        </w:rPr>
        <w:t>（污染影响类）</w:t>
      </w:r>
      <w:r>
        <w:rPr>
          <w:rFonts w:hint="eastAsia" w:ascii="楷体_GB2312" w:eastAsia="楷体_GB2312"/>
          <w:bCs/>
          <w:color w:val="auto"/>
          <w:sz w:val="48"/>
          <w:szCs w:val="48"/>
          <w:lang w:val="en-US" w:eastAsia="zh-CN"/>
        </w:rPr>
        <w:t xml:space="preserve"> </w:t>
      </w:r>
    </w:p>
    <w:p w14:paraId="6244E527">
      <w:pPr>
        <w:rPr>
          <w:b/>
          <w:color w:val="auto"/>
          <w:sz w:val="36"/>
          <w:szCs w:val="36"/>
        </w:rPr>
      </w:pPr>
    </w:p>
    <w:p w14:paraId="71725774">
      <w:pPr>
        <w:tabs>
          <w:tab w:val="left" w:pos="7740"/>
          <w:tab w:val="left" w:pos="7920"/>
          <w:tab w:val="left" w:pos="8100"/>
          <w:tab w:val="left" w:pos="8280"/>
          <w:tab w:val="left" w:pos="8640"/>
        </w:tabs>
        <w:ind w:left="718" w:leftChars="342"/>
        <w:rPr>
          <w:rFonts w:hint="eastAsia"/>
          <w:b/>
          <w:color w:val="auto"/>
          <w:sz w:val="36"/>
          <w:szCs w:val="36"/>
        </w:rPr>
      </w:pPr>
    </w:p>
    <w:p w14:paraId="22F6681A">
      <w:pPr>
        <w:tabs>
          <w:tab w:val="left" w:pos="7740"/>
          <w:tab w:val="left" w:pos="7920"/>
          <w:tab w:val="left" w:pos="8100"/>
          <w:tab w:val="left" w:pos="8280"/>
          <w:tab w:val="left" w:pos="8460"/>
          <w:tab w:val="left" w:pos="8640"/>
          <w:tab w:val="left" w:pos="8820"/>
        </w:tabs>
        <w:jc w:val="left"/>
        <w:rPr>
          <w:b/>
          <w:color w:val="auto"/>
          <w:sz w:val="36"/>
          <w:szCs w:val="36"/>
        </w:rPr>
      </w:pPr>
    </w:p>
    <w:p w14:paraId="021D8ABB">
      <w:pPr>
        <w:pStyle w:val="16"/>
      </w:pPr>
    </w:p>
    <w:p w14:paraId="6B3EEA63">
      <w:pPr>
        <w:keepNext w:val="0"/>
        <w:keepLines w:val="0"/>
        <w:pageBreakBefore w:val="0"/>
        <w:widowControl w:val="0"/>
        <w:tabs>
          <w:tab w:val="left" w:pos="7740"/>
          <w:tab w:val="left" w:pos="7920"/>
          <w:tab w:val="left" w:pos="8100"/>
          <w:tab w:val="left" w:pos="8280"/>
          <w:tab w:val="left" w:pos="8460"/>
          <w:tab w:val="left" w:pos="8640"/>
          <w:tab w:val="left" w:pos="8820"/>
        </w:tabs>
        <w:kinsoku/>
        <w:wordWrap/>
        <w:overflowPunct/>
        <w:topLinePunct w:val="0"/>
        <w:autoSpaceDE/>
        <w:autoSpaceDN/>
        <w:bidi w:val="0"/>
        <w:adjustRightInd/>
        <w:snapToGrid/>
        <w:ind w:firstLine="800" w:firstLineChars="250"/>
        <w:textAlignment w:val="auto"/>
        <w:rPr>
          <w:rFonts w:hint="eastAsia" w:ascii="Times New Roman" w:hAnsi="Times New Roman" w:eastAsia="宋体" w:cs="Times New Roman"/>
          <w:color w:val="auto"/>
          <w:sz w:val="32"/>
          <w:szCs w:val="36"/>
          <w:u w:val="single"/>
          <w:lang w:val="en-US" w:eastAsia="zh-CN"/>
        </w:rPr>
      </w:pPr>
      <w:r>
        <w:rPr>
          <w:color w:val="auto"/>
          <w:sz w:val="32"/>
          <w:szCs w:val="36"/>
        </w:rPr>
        <w:t>项目名称：</w:t>
      </w:r>
      <w:r>
        <w:rPr>
          <w:color w:val="auto"/>
          <w:sz w:val="32"/>
          <w:szCs w:val="36"/>
          <w:u w:val="single"/>
        </w:rPr>
        <w:t xml:space="preserve"> </w:t>
      </w:r>
      <w:r>
        <w:rPr>
          <w:rFonts w:hint="eastAsia" w:ascii="Times New Roman" w:hAnsi="Times New Roman" w:eastAsia="宋体" w:cs="Times New Roman"/>
          <w:color w:val="auto"/>
          <w:sz w:val="32"/>
          <w:szCs w:val="36"/>
          <w:u w:val="single"/>
          <w:lang w:val="en-US" w:eastAsia="zh-CN"/>
        </w:rPr>
        <w:t>蚌埠称心服饰</w:t>
      </w:r>
      <w:r>
        <w:rPr>
          <w:rFonts w:hint="default" w:ascii="Times New Roman" w:hAnsi="Times New Roman" w:eastAsia="宋体" w:cs="Times New Roman"/>
          <w:color w:val="auto"/>
          <w:sz w:val="32"/>
          <w:szCs w:val="36"/>
          <w:u w:val="single"/>
          <w:lang w:val="en-US" w:eastAsia="zh-CN"/>
        </w:rPr>
        <w:t>有限公司</w:t>
      </w:r>
      <w:r>
        <w:rPr>
          <w:rFonts w:hint="eastAsia" w:ascii="Times New Roman" w:hAnsi="Times New Roman" w:eastAsia="宋体" w:cs="Times New Roman"/>
          <w:color w:val="auto"/>
          <w:sz w:val="32"/>
          <w:szCs w:val="36"/>
          <w:u w:val="single"/>
          <w:lang w:val="en-US" w:eastAsia="zh-CN"/>
        </w:rPr>
        <w:t>防静电无尘鞋150</w:t>
      </w:r>
    </w:p>
    <w:p w14:paraId="11AFF780">
      <w:pPr>
        <w:tabs>
          <w:tab w:val="left" w:pos="7740"/>
          <w:tab w:val="left" w:pos="7920"/>
          <w:tab w:val="left" w:pos="8100"/>
          <w:tab w:val="left" w:pos="8280"/>
          <w:tab w:val="left" w:pos="8460"/>
          <w:tab w:val="left" w:pos="8640"/>
          <w:tab w:val="left" w:pos="8820"/>
        </w:tabs>
        <w:ind w:left="2554" w:leftChars="1216" w:firstLine="0" w:firstLineChars="0"/>
        <w:rPr>
          <w:rFonts w:hint="eastAsia" w:ascii="Times New Roman" w:hAnsi="Times New Roman" w:eastAsia="宋体" w:cs="Times New Roman"/>
          <w:color w:val="auto"/>
          <w:sz w:val="32"/>
          <w:szCs w:val="36"/>
          <w:u w:val="single"/>
          <w:lang w:val="en-US" w:eastAsia="zh-CN"/>
        </w:rPr>
      </w:pPr>
      <w:r>
        <w:rPr>
          <w:rFonts w:hint="eastAsia" w:ascii="Times New Roman" w:hAnsi="Times New Roman" w:eastAsia="宋体" w:cs="Times New Roman"/>
          <w:color w:val="auto"/>
          <w:sz w:val="32"/>
          <w:szCs w:val="36"/>
          <w:u w:val="single"/>
          <w:lang w:val="en-US" w:eastAsia="zh-CN"/>
        </w:rPr>
        <w:t>万</w:t>
      </w:r>
      <w:r>
        <w:rPr>
          <w:rFonts w:hint="eastAsia" w:cs="Times New Roman"/>
          <w:color w:val="auto"/>
          <w:sz w:val="32"/>
          <w:szCs w:val="36"/>
          <w:u w:val="single"/>
          <w:lang w:val="en-US" w:eastAsia="zh-CN"/>
        </w:rPr>
        <w:t>双、</w:t>
      </w:r>
      <w:r>
        <w:rPr>
          <w:rFonts w:hint="eastAsia" w:ascii="Times New Roman" w:hAnsi="Times New Roman" w:eastAsia="宋体" w:cs="Times New Roman"/>
          <w:color w:val="auto"/>
          <w:sz w:val="32"/>
          <w:szCs w:val="36"/>
          <w:u w:val="single"/>
          <w:lang w:val="en-US" w:eastAsia="zh-CN"/>
        </w:rPr>
        <w:t>防静电无尘服150万套、棉服羽绒</w:t>
      </w:r>
    </w:p>
    <w:p w14:paraId="64397E10">
      <w:pPr>
        <w:tabs>
          <w:tab w:val="left" w:pos="7740"/>
          <w:tab w:val="left" w:pos="7920"/>
          <w:tab w:val="left" w:pos="8100"/>
          <w:tab w:val="left" w:pos="8280"/>
          <w:tab w:val="left" w:pos="8460"/>
          <w:tab w:val="left" w:pos="8640"/>
          <w:tab w:val="left" w:pos="8820"/>
        </w:tabs>
        <w:ind w:left="2554" w:leftChars="1216" w:firstLine="0" w:firstLineChars="0"/>
        <w:rPr>
          <w:rFonts w:hint="eastAsia" w:ascii="Times New Roman" w:hAnsi="Times New Roman" w:eastAsia="宋体" w:cs="Times New Roman"/>
          <w:color w:val="auto"/>
          <w:sz w:val="32"/>
          <w:szCs w:val="36"/>
          <w:u w:val="single"/>
        </w:rPr>
      </w:pPr>
      <w:r>
        <w:rPr>
          <w:rFonts w:hint="eastAsia" w:ascii="Times New Roman" w:hAnsi="Times New Roman" w:eastAsia="宋体" w:cs="Times New Roman"/>
          <w:color w:val="auto"/>
          <w:sz w:val="32"/>
          <w:szCs w:val="36"/>
          <w:u w:val="single"/>
          <w:lang w:val="en-US" w:eastAsia="zh-CN"/>
        </w:rPr>
        <w:t xml:space="preserve">服50万套项目 </w:t>
      </w:r>
    </w:p>
    <w:p w14:paraId="62E6822B">
      <w:pPr>
        <w:tabs>
          <w:tab w:val="left" w:pos="7740"/>
          <w:tab w:val="left" w:pos="7920"/>
          <w:tab w:val="left" w:pos="8100"/>
          <w:tab w:val="left" w:pos="8280"/>
          <w:tab w:val="left" w:pos="8460"/>
          <w:tab w:val="left" w:pos="8640"/>
          <w:tab w:val="left" w:pos="8820"/>
        </w:tabs>
        <w:ind w:firstLine="800" w:firstLineChars="250"/>
        <w:rPr>
          <w:rFonts w:hint="default"/>
          <w:color w:val="auto"/>
          <w:sz w:val="32"/>
          <w:szCs w:val="36"/>
          <w:u w:val="single"/>
          <w:lang w:val="en-US"/>
        </w:rPr>
      </w:pPr>
      <w:r>
        <w:rPr>
          <w:color w:val="auto"/>
          <w:sz w:val="32"/>
          <w:szCs w:val="36"/>
        </w:rPr>
        <w:t>建设单位（盖章）：</w:t>
      </w:r>
      <w:r>
        <w:rPr>
          <w:color w:val="auto"/>
          <w:sz w:val="32"/>
          <w:szCs w:val="36"/>
          <w:u w:val="single"/>
        </w:rPr>
        <w:t xml:space="preserve"> </w:t>
      </w:r>
      <w:r>
        <w:rPr>
          <w:rFonts w:hint="eastAsia"/>
          <w:color w:val="auto"/>
          <w:sz w:val="32"/>
          <w:szCs w:val="36"/>
          <w:u w:val="single"/>
          <w:lang w:val="en-US" w:eastAsia="zh-CN"/>
        </w:rPr>
        <w:t xml:space="preserve">     蚌埠称心服饰</w:t>
      </w:r>
      <w:r>
        <w:rPr>
          <w:rFonts w:hint="eastAsia"/>
          <w:color w:val="auto"/>
          <w:sz w:val="32"/>
          <w:szCs w:val="36"/>
          <w:u w:val="single"/>
        </w:rPr>
        <w:t>有限公</w:t>
      </w:r>
      <w:r>
        <w:rPr>
          <w:rFonts w:hint="eastAsia"/>
          <w:color w:val="auto"/>
          <w:sz w:val="32"/>
          <w:szCs w:val="36"/>
          <w:u w:val="single"/>
          <w:lang w:eastAsia="zh-CN"/>
        </w:rPr>
        <w:t>司</w:t>
      </w:r>
      <w:r>
        <w:rPr>
          <w:rFonts w:hint="eastAsia"/>
          <w:color w:val="auto"/>
          <w:sz w:val="32"/>
          <w:szCs w:val="36"/>
          <w:u w:val="single"/>
          <w:lang w:val="en-US" w:eastAsia="zh-CN"/>
        </w:rPr>
        <w:t xml:space="preserve">   </w:t>
      </w:r>
    </w:p>
    <w:p w14:paraId="2E6C4C6A">
      <w:pPr>
        <w:ind w:firstLine="800" w:firstLineChars="250"/>
        <w:rPr>
          <w:rFonts w:hint="eastAsia"/>
          <w:color w:val="auto"/>
          <w:sz w:val="36"/>
          <w:szCs w:val="36"/>
          <w:u w:val="single"/>
        </w:rPr>
      </w:pPr>
      <w:r>
        <w:rPr>
          <w:rFonts w:hint="eastAsia"/>
          <w:color w:val="auto"/>
          <w:sz w:val="32"/>
          <w:szCs w:val="36"/>
        </w:rPr>
        <w:t>编制日期：</w:t>
      </w:r>
      <w:r>
        <w:rPr>
          <w:rFonts w:hint="eastAsia" w:ascii="Times New Roman" w:hAnsi="Times New Roman" w:eastAsia="宋体" w:cs="Times New Roman"/>
          <w:color w:val="auto"/>
          <w:sz w:val="32"/>
          <w:szCs w:val="36"/>
          <w:u w:val="single"/>
        </w:rPr>
        <w:t xml:space="preserve">           </w:t>
      </w:r>
      <w:r>
        <w:rPr>
          <w:rFonts w:hint="eastAsia" w:ascii="Times New Roman" w:hAnsi="Times New Roman" w:eastAsia="宋体" w:cs="Times New Roman"/>
          <w:color w:val="auto"/>
          <w:sz w:val="32"/>
          <w:szCs w:val="36"/>
          <w:u w:val="single"/>
          <w:lang w:val="en-US" w:eastAsia="zh-CN"/>
        </w:rPr>
        <w:t xml:space="preserve"> </w:t>
      </w:r>
      <w:r>
        <w:rPr>
          <w:rFonts w:hint="eastAsia" w:cs="Times New Roman"/>
          <w:color w:val="auto"/>
          <w:sz w:val="32"/>
          <w:szCs w:val="36"/>
          <w:u w:val="single"/>
          <w:lang w:val="en-US" w:eastAsia="zh-CN"/>
        </w:rPr>
        <w:t xml:space="preserve"> </w:t>
      </w:r>
      <w:r>
        <w:rPr>
          <w:rFonts w:hint="eastAsia" w:ascii="Times New Roman" w:hAnsi="Times New Roman" w:eastAsia="宋体" w:cs="Times New Roman"/>
          <w:color w:val="auto"/>
          <w:sz w:val="32"/>
          <w:szCs w:val="36"/>
          <w:u w:val="single"/>
        </w:rPr>
        <w:t xml:space="preserve"> 202</w:t>
      </w:r>
      <w:r>
        <w:rPr>
          <w:rFonts w:hint="eastAsia" w:cs="Times New Roman"/>
          <w:color w:val="auto"/>
          <w:sz w:val="32"/>
          <w:szCs w:val="36"/>
          <w:u w:val="single"/>
          <w:lang w:val="en-US" w:eastAsia="zh-CN"/>
        </w:rPr>
        <w:t>5</w:t>
      </w:r>
      <w:r>
        <w:rPr>
          <w:rFonts w:hint="eastAsia" w:ascii="Times New Roman" w:hAnsi="Times New Roman" w:eastAsia="宋体" w:cs="Times New Roman"/>
          <w:color w:val="auto"/>
          <w:sz w:val="32"/>
          <w:szCs w:val="36"/>
          <w:u w:val="single"/>
        </w:rPr>
        <w:t>年</w:t>
      </w:r>
      <w:r>
        <w:rPr>
          <w:rFonts w:hint="eastAsia" w:cs="Times New Roman"/>
          <w:color w:val="auto"/>
          <w:sz w:val="32"/>
          <w:szCs w:val="36"/>
          <w:u w:val="single"/>
          <w:lang w:val="en-US" w:eastAsia="zh-CN"/>
        </w:rPr>
        <w:t>6</w:t>
      </w:r>
      <w:r>
        <w:rPr>
          <w:rFonts w:hint="eastAsia" w:ascii="Times New Roman" w:hAnsi="Times New Roman" w:eastAsia="宋体" w:cs="Times New Roman"/>
          <w:color w:val="auto"/>
          <w:sz w:val="32"/>
          <w:szCs w:val="36"/>
          <w:u w:val="single"/>
        </w:rPr>
        <w:t xml:space="preserve">月     </w:t>
      </w:r>
      <w:r>
        <w:rPr>
          <w:rFonts w:hint="eastAsia" w:cs="Times New Roman"/>
          <w:color w:val="auto"/>
          <w:sz w:val="32"/>
          <w:szCs w:val="36"/>
          <w:u w:val="single"/>
          <w:lang w:val="en-US" w:eastAsia="zh-CN"/>
        </w:rPr>
        <w:t xml:space="preserve"> </w:t>
      </w:r>
      <w:r>
        <w:rPr>
          <w:rFonts w:hint="eastAsia" w:ascii="Times New Roman" w:hAnsi="Times New Roman" w:eastAsia="宋体" w:cs="Times New Roman"/>
          <w:color w:val="auto"/>
          <w:sz w:val="32"/>
          <w:szCs w:val="36"/>
          <w:u w:val="single"/>
        </w:rPr>
        <w:t xml:space="preserve"> </w:t>
      </w:r>
      <w:r>
        <w:rPr>
          <w:rFonts w:hint="eastAsia" w:ascii="Times New Roman" w:hAnsi="Times New Roman" w:eastAsia="宋体" w:cs="Times New Roman"/>
          <w:color w:val="auto"/>
          <w:sz w:val="32"/>
          <w:szCs w:val="36"/>
          <w:u w:val="single"/>
          <w:lang w:val="en-US" w:eastAsia="zh-CN"/>
        </w:rPr>
        <w:t xml:space="preserve">   </w:t>
      </w:r>
      <w:r>
        <w:rPr>
          <w:rFonts w:hint="eastAsia" w:ascii="Times New Roman" w:hAnsi="Times New Roman" w:eastAsia="宋体" w:cs="Times New Roman"/>
          <w:color w:val="auto"/>
          <w:sz w:val="32"/>
          <w:szCs w:val="36"/>
          <w:u w:val="single"/>
        </w:rPr>
        <w:t xml:space="preserve"> </w:t>
      </w:r>
      <w:r>
        <w:rPr>
          <w:rFonts w:hint="eastAsia" w:ascii="Times New Roman" w:hAnsi="Times New Roman" w:eastAsia="宋体" w:cs="Times New Roman"/>
          <w:color w:val="auto"/>
          <w:sz w:val="32"/>
          <w:szCs w:val="36"/>
          <w:u w:val="single"/>
          <w:lang w:val="en-US" w:eastAsia="zh-CN"/>
        </w:rPr>
        <w:t xml:space="preserve"> </w:t>
      </w:r>
    </w:p>
    <w:p w14:paraId="7A9551E7">
      <w:pPr>
        <w:rPr>
          <w:color w:val="auto"/>
          <w:sz w:val="36"/>
          <w:szCs w:val="36"/>
        </w:rPr>
      </w:pPr>
    </w:p>
    <w:p w14:paraId="534F5A71">
      <w:pPr>
        <w:rPr>
          <w:rFonts w:hint="eastAsia"/>
          <w:color w:val="auto"/>
          <w:sz w:val="36"/>
          <w:szCs w:val="36"/>
        </w:rPr>
      </w:pPr>
    </w:p>
    <w:p w14:paraId="2A0D6CDC">
      <w:pPr>
        <w:rPr>
          <w:rFonts w:hint="eastAsia"/>
          <w:color w:val="auto"/>
          <w:sz w:val="36"/>
          <w:szCs w:val="36"/>
        </w:rPr>
      </w:pPr>
    </w:p>
    <w:p w14:paraId="459FE2E7">
      <w:pPr>
        <w:rPr>
          <w:color w:val="auto"/>
          <w:sz w:val="36"/>
          <w:szCs w:val="36"/>
        </w:rPr>
      </w:pPr>
    </w:p>
    <w:p w14:paraId="6E83298C">
      <w:pPr>
        <w:rPr>
          <w:color w:val="auto"/>
          <w:sz w:val="36"/>
          <w:szCs w:val="36"/>
        </w:rPr>
      </w:pPr>
    </w:p>
    <w:p w14:paraId="2E38F3EE">
      <w:pPr>
        <w:jc w:val="center"/>
        <w:rPr>
          <w:b/>
          <w:color w:val="auto"/>
          <w:sz w:val="32"/>
          <w:szCs w:val="32"/>
        </w:rPr>
      </w:pPr>
      <w:r>
        <w:rPr>
          <w:b/>
          <w:color w:val="auto"/>
          <w:sz w:val="32"/>
          <w:szCs w:val="32"/>
        </w:rPr>
        <w:t>中华人民共和国生态环境部制</w:t>
      </w:r>
    </w:p>
    <w:p w14:paraId="67EF8B0E">
      <w:pPr>
        <w:rPr>
          <w:rFonts w:hint="default" w:ascii="Times New Roman" w:hAnsi="Times New Roman" w:eastAsia="宋体" w:cs="Times New Roman"/>
          <w:b/>
          <w:bCs/>
          <w:snapToGrid w:val="0"/>
          <w:color w:val="0000FF"/>
          <w:sz w:val="32"/>
          <w:szCs w:val="32"/>
          <w:highlight w:val="none"/>
        </w:rPr>
      </w:pPr>
      <w:r>
        <w:rPr>
          <w:rFonts w:hint="default" w:ascii="Times New Roman" w:hAnsi="Times New Roman" w:eastAsia="宋体" w:cs="Times New Roman"/>
          <w:b/>
          <w:bCs/>
          <w:snapToGrid w:val="0"/>
          <w:color w:val="0000FF"/>
          <w:sz w:val="32"/>
          <w:szCs w:val="32"/>
          <w:highlight w:val="none"/>
        </w:rPr>
        <w:br w:type="page"/>
      </w:r>
    </w:p>
    <w:p w14:paraId="694551C6">
      <w:pPr>
        <w:rPr>
          <w:rFonts w:hint="default" w:ascii="Times New Roman" w:hAnsi="Times New Roman" w:eastAsia="宋体" w:cs="Times New Roman"/>
          <w:b/>
          <w:bCs/>
          <w:snapToGrid w:val="0"/>
          <w:color w:val="0000FF"/>
          <w:sz w:val="32"/>
          <w:szCs w:val="32"/>
          <w:highlight w:val="none"/>
        </w:rPr>
      </w:pPr>
      <w:r>
        <w:rPr>
          <w:rFonts w:hint="default" w:ascii="Times New Roman" w:hAnsi="Times New Roman" w:eastAsia="宋体" w:cs="Times New Roman"/>
          <w:b/>
          <w:bCs/>
          <w:snapToGrid w:val="0"/>
          <w:color w:val="0000FF"/>
          <w:sz w:val="32"/>
          <w:szCs w:val="32"/>
          <w:highlight w:val="none"/>
        </w:rPr>
        <w:br w:type="page"/>
      </w:r>
    </w:p>
    <w:p w14:paraId="5F4E7504">
      <w:pPr>
        <w:pStyle w:val="36"/>
        <w:keepNext w:val="0"/>
        <w:keepLines w:val="0"/>
        <w:pageBreakBefore w:val="0"/>
        <w:widowControl/>
        <w:kinsoku/>
        <w:wordWrap/>
        <w:overflowPunct/>
        <w:topLinePunct w:val="0"/>
        <w:autoSpaceDE/>
        <w:autoSpaceDN/>
        <w:bidi w:val="0"/>
        <w:adjustRightInd/>
        <w:snapToGrid/>
        <w:spacing w:before="157" w:beforeLines="50" w:beforeAutospacing="0" w:after="313" w:afterLines="100" w:afterAutospacing="0"/>
        <w:ind w:firstLine="0" w:firstLineChars="0"/>
        <w:jc w:val="center"/>
        <w:textAlignment w:val="auto"/>
        <w:outlineLvl w:val="9"/>
        <w:rPr>
          <w:rFonts w:hint="default" w:ascii="Times New Roman" w:hAnsi="Times New Roman" w:eastAsia="宋体" w:cs="Times New Roman"/>
          <w:b/>
          <w:bCs/>
          <w:snapToGrid w:val="0"/>
          <w:color w:val="0000FF"/>
          <w:sz w:val="32"/>
          <w:szCs w:val="32"/>
          <w:highlight w:val="none"/>
        </w:rPr>
        <w:sectPr>
          <w:headerReference r:id="rId3" w:type="default"/>
          <w:footerReference r:id="rId4" w:type="default"/>
          <w:footerReference r:id="rId5" w:type="even"/>
          <w:pgSz w:w="11906" w:h="16838"/>
          <w:pgMar w:top="1440" w:right="1134" w:bottom="1440" w:left="1417" w:header="1021" w:footer="1134" w:gutter="284"/>
          <w:pgBorders w:offsetFrom="page">
            <w:top w:val="none" w:sz="0" w:space="0"/>
            <w:left w:val="none" w:sz="0" w:space="0"/>
            <w:bottom w:val="none" w:sz="0" w:space="0"/>
            <w:right w:val="none" w:sz="0" w:space="0"/>
          </w:pgBorders>
          <w:pgNumType w:fmt="decimal"/>
          <w:cols w:space="720" w:num="1"/>
          <w:docGrid w:type="lines" w:linePitch="312" w:charSpace="0"/>
        </w:sectPr>
      </w:pPr>
    </w:p>
    <w:p w14:paraId="3119AC77">
      <w:pPr>
        <w:pStyle w:val="36"/>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ind w:firstLine="0" w:firstLineChars="0"/>
        <w:jc w:val="center"/>
        <w:textAlignment w:val="auto"/>
        <w:outlineLvl w:val="9"/>
        <w:rPr>
          <w:rFonts w:hint="default" w:ascii="Times New Roman" w:hAnsi="Times New Roman" w:eastAsia="宋体" w:cs="Times New Roman"/>
          <w:b/>
          <w:bCs/>
          <w:snapToGrid w:val="0"/>
          <w:color w:val="0000FF"/>
          <w:sz w:val="32"/>
          <w:szCs w:val="32"/>
          <w:highlight w:val="none"/>
        </w:rPr>
      </w:pPr>
      <w:r>
        <w:rPr>
          <w:rFonts w:hint="default" w:ascii="Times New Roman" w:hAnsi="Times New Roman" w:eastAsia="宋体" w:cs="Times New Roman"/>
          <w:b/>
          <w:bCs/>
          <w:snapToGrid w:val="0"/>
          <w:color w:val="auto"/>
          <w:sz w:val="32"/>
          <w:szCs w:val="32"/>
          <w:highlight w:val="none"/>
        </w:rPr>
        <w:t>目</w:t>
      </w:r>
      <w:r>
        <w:rPr>
          <w:rFonts w:hint="eastAsia" w:ascii="Times New Roman" w:hAnsi="Times New Roman" w:cs="Times New Roman"/>
          <w:b/>
          <w:bCs/>
          <w:snapToGrid w:val="0"/>
          <w:color w:val="auto"/>
          <w:sz w:val="32"/>
          <w:szCs w:val="32"/>
          <w:highlight w:val="none"/>
          <w:lang w:val="en-US" w:eastAsia="zh-CN"/>
        </w:rPr>
        <w:t xml:space="preserve"> </w:t>
      </w:r>
      <w:r>
        <w:rPr>
          <w:rFonts w:hint="default" w:ascii="Times New Roman" w:hAnsi="Times New Roman" w:eastAsia="宋体" w:cs="Times New Roman"/>
          <w:b/>
          <w:bCs/>
          <w:snapToGrid w:val="0"/>
          <w:color w:val="auto"/>
          <w:sz w:val="32"/>
          <w:szCs w:val="32"/>
          <w:highlight w:val="none"/>
        </w:rPr>
        <w:t>录</w:t>
      </w:r>
    </w:p>
    <w:p w14:paraId="60BBA2C2">
      <w:pPr>
        <w:pStyle w:val="26"/>
        <w:tabs>
          <w:tab w:val="right" w:leader="dot" w:pos="9071"/>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0000FF"/>
          <w:sz w:val="24"/>
          <w:szCs w:val="24"/>
          <w:highlight w:val="none"/>
        </w:rPr>
        <w:fldChar w:fldCharType="begin"/>
      </w:r>
      <w:r>
        <w:rPr>
          <w:rFonts w:hint="default" w:ascii="Times New Roman" w:hAnsi="Times New Roman" w:eastAsia="宋体" w:cs="Times New Roman"/>
          <w:snapToGrid w:val="0"/>
          <w:color w:val="0000FF"/>
          <w:sz w:val="24"/>
          <w:szCs w:val="24"/>
          <w:highlight w:val="none"/>
        </w:rPr>
        <w:instrText xml:space="preserve">TOC \o "1-1" \h \u </w:instrText>
      </w:r>
      <w:r>
        <w:rPr>
          <w:rFonts w:hint="default" w:ascii="Times New Roman" w:hAnsi="Times New Roman" w:eastAsia="宋体" w:cs="Times New Roman"/>
          <w:snapToGrid w:val="0"/>
          <w:color w:val="0000FF"/>
          <w:sz w:val="24"/>
          <w:szCs w:val="24"/>
          <w:highlight w:val="none"/>
        </w:rPr>
        <w:fldChar w:fldCharType="separate"/>
      </w:r>
      <w:r>
        <w:rPr>
          <w:rFonts w:hint="default" w:ascii="Times New Roman" w:hAnsi="Times New Roman" w:eastAsia="宋体" w:cs="Times New Roman"/>
          <w:snapToGrid w:val="0"/>
          <w:color w:val="0000FF"/>
          <w:sz w:val="24"/>
          <w:szCs w:val="24"/>
          <w:highlight w:val="none"/>
        </w:rPr>
        <w:fldChar w:fldCharType="begin"/>
      </w:r>
      <w:r>
        <w:rPr>
          <w:rFonts w:hint="default" w:ascii="Times New Roman" w:hAnsi="Times New Roman" w:eastAsia="宋体" w:cs="Times New Roman"/>
          <w:snapToGrid w:val="0"/>
          <w:sz w:val="24"/>
          <w:szCs w:val="24"/>
          <w:highlight w:val="none"/>
        </w:rPr>
        <w:instrText xml:space="preserve"> HYPERLINK \l _Toc5276 </w:instrText>
      </w:r>
      <w:r>
        <w:rPr>
          <w:rFonts w:hint="default" w:ascii="Times New Roman" w:hAnsi="Times New Roman" w:eastAsia="宋体" w:cs="Times New Roman"/>
          <w:snapToGrid w:val="0"/>
          <w:sz w:val="24"/>
          <w:szCs w:val="24"/>
          <w:highlight w:val="none"/>
        </w:rPr>
        <w:fldChar w:fldCharType="separate"/>
      </w:r>
      <w:r>
        <w:rPr>
          <w:rFonts w:hint="default" w:ascii="Times New Roman" w:hAnsi="Times New Roman" w:eastAsia="宋体" w:cs="Times New Roman"/>
          <w:snapToGrid w:val="0"/>
          <w:sz w:val="24"/>
          <w:szCs w:val="24"/>
          <w:highlight w:val="none"/>
        </w:rPr>
        <w:t>一、建设项目基本情况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_Toc5276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0000FF"/>
          <w:sz w:val="24"/>
          <w:szCs w:val="24"/>
          <w:highlight w:val="none"/>
        </w:rPr>
        <w:fldChar w:fldCharType="end"/>
      </w:r>
    </w:p>
    <w:p w14:paraId="43894663">
      <w:pPr>
        <w:pStyle w:val="26"/>
        <w:tabs>
          <w:tab w:val="right" w:leader="dot" w:pos="9071"/>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0000FF"/>
          <w:sz w:val="24"/>
          <w:szCs w:val="24"/>
          <w:highlight w:val="none"/>
        </w:rPr>
        <w:fldChar w:fldCharType="begin"/>
      </w:r>
      <w:r>
        <w:rPr>
          <w:rFonts w:hint="default" w:ascii="Times New Roman" w:hAnsi="Times New Roman" w:eastAsia="宋体" w:cs="Times New Roman"/>
          <w:snapToGrid w:val="0"/>
          <w:sz w:val="24"/>
          <w:szCs w:val="24"/>
          <w:highlight w:val="none"/>
        </w:rPr>
        <w:instrText xml:space="preserve"> HYPERLINK \l _Toc2399 </w:instrText>
      </w:r>
      <w:r>
        <w:rPr>
          <w:rFonts w:hint="default" w:ascii="Times New Roman" w:hAnsi="Times New Roman" w:eastAsia="宋体" w:cs="Times New Roman"/>
          <w:snapToGrid w:val="0"/>
          <w:sz w:val="24"/>
          <w:szCs w:val="24"/>
          <w:highlight w:val="none"/>
        </w:rPr>
        <w:fldChar w:fldCharType="separate"/>
      </w:r>
      <w:r>
        <w:rPr>
          <w:rFonts w:hint="default" w:ascii="Times New Roman" w:hAnsi="Times New Roman" w:eastAsia="宋体" w:cs="Times New Roman"/>
          <w:snapToGrid w:val="0"/>
          <w:sz w:val="24"/>
          <w:szCs w:val="24"/>
          <w:highlight w:val="none"/>
        </w:rPr>
        <w:t>二、建设项目工程分析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_Toc2399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0000FF"/>
          <w:sz w:val="24"/>
          <w:szCs w:val="24"/>
          <w:highlight w:val="none"/>
        </w:rPr>
        <w:fldChar w:fldCharType="end"/>
      </w:r>
    </w:p>
    <w:p w14:paraId="6A80FE6A">
      <w:pPr>
        <w:pStyle w:val="26"/>
        <w:tabs>
          <w:tab w:val="right" w:leader="dot" w:pos="9071"/>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0000FF"/>
          <w:sz w:val="24"/>
          <w:szCs w:val="24"/>
          <w:highlight w:val="none"/>
        </w:rPr>
        <w:fldChar w:fldCharType="begin"/>
      </w:r>
      <w:r>
        <w:rPr>
          <w:rFonts w:hint="default" w:ascii="Times New Roman" w:hAnsi="Times New Roman" w:eastAsia="宋体" w:cs="Times New Roman"/>
          <w:snapToGrid w:val="0"/>
          <w:sz w:val="24"/>
          <w:szCs w:val="24"/>
          <w:highlight w:val="none"/>
        </w:rPr>
        <w:instrText xml:space="preserve"> HYPERLINK \l _Toc32654 </w:instrText>
      </w:r>
      <w:r>
        <w:rPr>
          <w:rFonts w:hint="default" w:ascii="Times New Roman" w:hAnsi="Times New Roman" w:eastAsia="宋体" w:cs="Times New Roman"/>
          <w:snapToGrid w:val="0"/>
          <w:sz w:val="24"/>
          <w:szCs w:val="24"/>
          <w:highlight w:val="none"/>
        </w:rPr>
        <w:fldChar w:fldCharType="separate"/>
      </w:r>
      <w:r>
        <w:rPr>
          <w:rFonts w:hint="default" w:ascii="Times New Roman" w:hAnsi="Times New Roman" w:eastAsia="宋体" w:cs="Times New Roman"/>
          <w:snapToGrid w:val="0"/>
          <w:sz w:val="24"/>
          <w:szCs w:val="24"/>
          <w:highlight w:val="none"/>
          <w:lang w:val="en-US" w:eastAsia="zh-CN"/>
        </w:rPr>
        <w:t>三、区域环境质量现状、环境保护目标及评价标准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_Toc32654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0000FF"/>
          <w:sz w:val="24"/>
          <w:szCs w:val="24"/>
          <w:highlight w:val="none"/>
        </w:rPr>
        <w:fldChar w:fldCharType="end"/>
      </w:r>
    </w:p>
    <w:p w14:paraId="4D06B25B">
      <w:pPr>
        <w:pStyle w:val="26"/>
        <w:tabs>
          <w:tab w:val="right" w:leader="dot" w:pos="9071"/>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0000FF"/>
          <w:sz w:val="24"/>
          <w:szCs w:val="24"/>
          <w:highlight w:val="none"/>
        </w:rPr>
        <w:fldChar w:fldCharType="begin"/>
      </w:r>
      <w:r>
        <w:rPr>
          <w:rFonts w:hint="default" w:ascii="Times New Roman" w:hAnsi="Times New Roman" w:eastAsia="宋体" w:cs="Times New Roman"/>
          <w:snapToGrid w:val="0"/>
          <w:sz w:val="24"/>
          <w:szCs w:val="24"/>
          <w:highlight w:val="none"/>
        </w:rPr>
        <w:instrText xml:space="preserve"> HYPERLINK \l _Toc16591 </w:instrText>
      </w:r>
      <w:r>
        <w:rPr>
          <w:rFonts w:hint="default" w:ascii="Times New Roman" w:hAnsi="Times New Roman" w:eastAsia="宋体" w:cs="Times New Roman"/>
          <w:snapToGrid w:val="0"/>
          <w:sz w:val="24"/>
          <w:szCs w:val="24"/>
          <w:highlight w:val="none"/>
        </w:rPr>
        <w:fldChar w:fldCharType="separate"/>
      </w:r>
      <w:r>
        <w:rPr>
          <w:rFonts w:hint="default" w:ascii="Times New Roman" w:hAnsi="Times New Roman" w:eastAsia="宋体" w:cs="Times New Roman"/>
          <w:snapToGrid w:val="0"/>
          <w:kern w:val="0"/>
          <w:sz w:val="24"/>
          <w:szCs w:val="24"/>
          <w:highlight w:val="none"/>
          <w:lang w:val="en-US" w:eastAsia="zh-CN" w:bidi="ar-SA"/>
        </w:rPr>
        <w:t>四、主要环境影响和保护措施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_Toc16591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0000FF"/>
          <w:sz w:val="24"/>
          <w:szCs w:val="24"/>
          <w:highlight w:val="none"/>
        </w:rPr>
        <w:fldChar w:fldCharType="end"/>
      </w:r>
    </w:p>
    <w:p w14:paraId="1532ED6E">
      <w:pPr>
        <w:pStyle w:val="26"/>
        <w:tabs>
          <w:tab w:val="right" w:leader="dot" w:pos="9071"/>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0000FF"/>
          <w:sz w:val="24"/>
          <w:szCs w:val="24"/>
          <w:highlight w:val="none"/>
        </w:rPr>
        <w:fldChar w:fldCharType="begin"/>
      </w:r>
      <w:r>
        <w:rPr>
          <w:rFonts w:hint="default" w:ascii="Times New Roman" w:hAnsi="Times New Roman" w:eastAsia="宋体" w:cs="Times New Roman"/>
          <w:snapToGrid w:val="0"/>
          <w:sz w:val="24"/>
          <w:szCs w:val="24"/>
          <w:highlight w:val="none"/>
        </w:rPr>
        <w:instrText xml:space="preserve"> HYPERLINK \l _Toc28182 </w:instrText>
      </w:r>
      <w:r>
        <w:rPr>
          <w:rFonts w:hint="default" w:ascii="Times New Roman" w:hAnsi="Times New Roman" w:eastAsia="宋体" w:cs="Times New Roman"/>
          <w:snapToGrid w:val="0"/>
          <w:sz w:val="24"/>
          <w:szCs w:val="24"/>
          <w:highlight w:val="none"/>
        </w:rPr>
        <w:fldChar w:fldCharType="separate"/>
      </w:r>
      <w:r>
        <w:rPr>
          <w:rFonts w:hint="default" w:ascii="Times New Roman" w:hAnsi="Times New Roman" w:eastAsia="宋体" w:cs="Times New Roman"/>
          <w:snapToGrid w:val="0"/>
          <w:kern w:val="0"/>
          <w:sz w:val="24"/>
          <w:szCs w:val="24"/>
          <w:highlight w:val="none"/>
          <w:lang w:val="en-US" w:eastAsia="zh-CN" w:bidi="ar-SA"/>
        </w:rPr>
        <w:t>五、环境保护措施监督检查清单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_Toc28182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0000FF"/>
          <w:sz w:val="24"/>
          <w:szCs w:val="24"/>
          <w:highlight w:val="none"/>
        </w:rPr>
        <w:fldChar w:fldCharType="end"/>
      </w:r>
    </w:p>
    <w:p w14:paraId="45DAAC6A">
      <w:pPr>
        <w:pStyle w:val="26"/>
        <w:tabs>
          <w:tab w:val="right" w:leader="dot" w:pos="9071"/>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0000FF"/>
          <w:sz w:val="24"/>
          <w:szCs w:val="24"/>
          <w:highlight w:val="none"/>
        </w:rPr>
        <w:fldChar w:fldCharType="begin"/>
      </w:r>
      <w:r>
        <w:rPr>
          <w:rFonts w:hint="default" w:ascii="Times New Roman" w:hAnsi="Times New Roman" w:eastAsia="宋体" w:cs="Times New Roman"/>
          <w:snapToGrid w:val="0"/>
          <w:sz w:val="24"/>
          <w:szCs w:val="24"/>
          <w:highlight w:val="none"/>
        </w:rPr>
        <w:instrText xml:space="preserve"> HYPERLINK \l _Toc15822 </w:instrText>
      </w:r>
      <w:r>
        <w:rPr>
          <w:rFonts w:hint="default" w:ascii="Times New Roman" w:hAnsi="Times New Roman" w:eastAsia="宋体" w:cs="Times New Roman"/>
          <w:snapToGrid w:val="0"/>
          <w:sz w:val="24"/>
          <w:szCs w:val="24"/>
          <w:highlight w:val="none"/>
        </w:rPr>
        <w:fldChar w:fldCharType="separate"/>
      </w:r>
      <w:r>
        <w:rPr>
          <w:rFonts w:hint="default" w:ascii="Times New Roman" w:hAnsi="Times New Roman" w:eastAsia="宋体" w:cs="Times New Roman"/>
          <w:snapToGrid w:val="0"/>
          <w:kern w:val="0"/>
          <w:sz w:val="24"/>
          <w:szCs w:val="24"/>
          <w:highlight w:val="none"/>
          <w:lang w:val="en-US" w:eastAsia="zh-CN" w:bidi="ar-SA"/>
        </w:rPr>
        <w:t>六、结论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_Toc15822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0000FF"/>
          <w:sz w:val="24"/>
          <w:szCs w:val="24"/>
          <w:highlight w:val="none"/>
        </w:rPr>
        <w:fldChar w:fldCharType="end"/>
      </w:r>
    </w:p>
    <w:p w14:paraId="5A23A86D">
      <w:pPr>
        <w:pStyle w:val="26"/>
        <w:tabs>
          <w:tab w:val="right" w:leader="dot" w:pos="9071"/>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0000FF"/>
          <w:sz w:val="24"/>
          <w:szCs w:val="24"/>
          <w:highlight w:val="none"/>
        </w:rPr>
        <w:fldChar w:fldCharType="begin"/>
      </w:r>
      <w:r>
        <w:rPr>
          <w:rFonts w:hint="default" w:ascii="Times New Roman" w:hAnsi="Times New Roman" w:eastAsia="宋体" w:cs="Times New Roman"/>
          <w:snapToGrid w:val="0"/>
          <w:sz w:val="24"/>
          <w:szCs w:val="24"/>
          <w:highlight w:val="none"/>
        </w:rPr>
        <w:instrText xml:space="preserve"> HYPERLINK \l _Toc2025 </w:instrText>
      </w:r>
      <w:r>
        <w:rPr>
          <w:rFonts w:hint="default" w:ascii="Times New Roman" w:hAnsi="Times New Roman" w:eastAsia="宋体" w:cs="Times New Roman"/>
          <w:snapToGrid w:val="0"/>
          <w:sz w:val="24"/>
          <w:szCs w:val="24"/>
          <w:highlight w:val="none"/>
        </w:rPr>
        <w:fldChar w:fldCharType="separate"/>
      </w:r>
      <w:r>
        <w:rPr>
          <w:rFonts w:hint="default" w:ascii="Times New Roman" w:hAnsi="Times New Roman" w:eastAsia="宋体" w:cs="Times New Roman"/>
          <w:snapToGrid w:val="0"/>
          <w:kern w:val="0"/>
          <w:sz w:val="24"/>
          <w:szCs w:val="24"/>
          <w:highlight w:val="none"/>
          <w:lang w:val="en-US" w:eastAsia="zh-CN" w:bidi="ar-SA"/>
        </w:rPr>
        <w:t>建设项目污染物排放量汇总表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0000FF"/>
          <w:sz w:val="24"/>
          <w:szCs w:val="24"/>
          <w:highlight w:val="none"/>
        </w:rPr>
        <w:fldChar w:fldCharType="end"/>
      </w:r>
    </w:p>
    <w:p w14:paraId="44595A3B">
      <w:pPr>
        <w:pStyle w:val="5"/>
      </w:pPr>
      <w:r>
        <w:rPr>
          <w:rFonts w:hint="default" w:ascii="Times New Roman" w:hAnsi="Times New Roman" w:eastAsia="宋体" w:cs="Times New Roman"/>
          <w:snapToGrid w:val="0"/>
          <w:color w:val="0000FF"/>
          <w:sz w:val="24"/>
          <w:szCs w:val="24"/>
          <w:highlight w:val="none"/>
        </w:rPr>
        <w:fldChar w:fldCharType="end"/>
      </w:r>
    </w:p>
    <w:p w14:paraId="3F9DCD9E">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附图：</w:t>
      </w:r>
    </w:p>
    <w:p w14:paraId="15B07ED1">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附图1 项目地理位置图</w:t>
      </w:r>
    </w:p>
    <w:p w14:paraId="3EA2F73B">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附图2 周边</w:t>
      </w:r>
      <w:r>
        <w:rPr>
          <w:rFonts w:hint="eastAsia" w:cs="Times New Roman"/>
          <w:color w:val="auto"/>
          <w:kern w:val="2"/>
          <w:sz w:val="24"/>
          <w:szCs w:val="24"/>
          <w:highlight w:val="none"/>
          <w:lang w:val="en-US" w:eastAsia="zh-CN" w:bidi="ar-SA"/>
        </w:rPr>
        <w:t>环境状况</w:t>
      </w:r>
      <w:r>
        <w:rPr>
          <w:rFonts w:hint="eastAsia" w:ascii="Times New Roman" w:hAnsi="Times New Roman" w:eastAsia="宋体" w:cs="Times New Roman"/>
          <w:color w:val="auto"/>
          <w:kern w:val="2"/>
          <w:sz w:val="24"/>
          <w:szCs w:val="24"/>
          <w:highlight w:val="none"/>
          <w:lang w:val="en-US" w:eastAsia="zh-CN" w:bidi="ar-SA"/>
        </w:rPr>
        <w:t>图</w:t>
      </w:r>
    </w:p>
    <w:p w14:paraId="51E9F354">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附图3 </w:t>
      </w:r>
      <w:r>
        <w:rPr>
          <w:rFonts w:hint="eastAsia" w:cs="Times New Roman"/>
          <w:color w:val="auto"/>
          <w:kern w:val="2"/>
          <w:sz w:val="24"/>
          <w:szCs w:val="24"/>
          <w:highlight w:val="none"/>
          <w:lang w:val="en-US" w:eastAsia="zh-CN" w:bidi="ar-SA"/>
        </w:rPr>
        <w:t>五河县国土空间</w:t>
      </w:r>
      <w:r>
        <w:rPr>
          <w:rFonts w:hint="eastAsia" w:ascii="Times New Roman" w:hAnsi="Times New Roman" w:eastAsia="宋体" w:cs="Times New Roman"/>
          <w:color w:val="auto"/>
          <w:kern w:val="2"/>
          <w:sz w:val="24"/>
          <w:szCs w:val="24"/>
          <w:highlight w:val="none"/>
          <w:lang w:val="en-US" w:eastAsia="zh-CN" w:bidi="ar-SA"/>
        </w:rPr>
        <w:t>规划图</w:t>
      </w:r>
    </w:p>
    <w:p w14:paraId="4FA99761">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附图4 五河经济开发区总体发展规划图</w:t>
      </w:r>
    </w:p>
    <w:p w14:paraId="377B7A39">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附图5 环境保护目标图</w:t>
      </w:r>
    </w:p>
    <w:p w14:paraId="438EB1E1">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附件6 厂区平面布置图</w:t>
      </w:r>
    </w:p>
    <w:p w14:paraId="110A8BBD">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附图7 车间平面布置图</w:t>
      </w:r>
    </w:p>
    <w:p w14:paraId="4A1D9BD8">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附图</w:t>
      </w:r>
      <w:r>
        <w:rPr>
          <w:rFonts w:hint="eastAsia" w:cs="Times New Roman"/>
          <w:color w:val="auto"/>
          <w:kern w:val="2"/>
          <w:sz w:val="24"/>
          <w:szCs w:val="24"/>
          <w:highlight w:val="none"/>
          <w:lang w:val="en-US" w:eastAsia="zh-CN" w:bidi="ar-SA"/>
        </w:rPr>
        <w:t>8</w:t>
      </w:r>
      <w:r>
        <w:rPr>
          <w:rFonts w:hint="eastAsia" w:ascii="Times New Roman" w:hAnsi="Times New Roman" w:eastAsia="宋体" w:cs="Times New Roman"/>
          <w:color w:val="auto"/>
          <w:kern w:val="2"/>
          <w:sz w:val="24"/>
          <w:szCs w:val="24"/>
          <w:highlight w:val="none"/>
          <w:lang w:val="en-US" w:eastAsia="zh-CN" w:bidi="ar-SA"/>
        </w:rPr>
        <w:t xml:space="preserve"> 大气监测引用点</w:t>
      </w:r>
      <w:r>
        <w:rPr>
          <w:rFonts w:hint="eastAsia" w:cs="Times New Roman"/>
          <w:color w:val="auto"/>
          <w:kern w:val="2"/>
          <w:sz w:val="24"/>
          <w:szCs w:val="24"/>
          <w:highlight w:val="none"/>
          <w:lang w:val="en-US" w:eastAsia="zh-CN" w:bidi="ar-SA"/>
        </w:rPr>
        <w:t>位示意</w:t>
      </w:r>
      <w:r>
        <w:rPr>
          <w:rFonts w:hint="eastAsia" w:ascii="Times New Roman" w:hAnsi="Times New Roman" w:eastAsia="宋体" w:cs="Times New Roman"/>
          <w:color w:val="auto"/>
          <w:kern w:val="2"/>
          <w:sz w:val="24"/>
          <w:szCs w:val="24"/>
          <w:highlight w:val="none"/>
          <w:lang w:val="en-US" w:eastAsia="zh-CN" w:bidi="ar-SA"/>
        </w:rPr>
        <w:t>图</w:t>
      </w:r>
    </w:p>
    <w:p w14:paraId="625E4A29">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附图</w:t>
      </w:r>
      <w:r>
        <w:rPr>
          <w:rFonts w:hint="eastAsia" w:cs="Times New Roman"/>
          <w:color w:val="auto"/>
          <w:kern w:val="2"/>
          <w:sz w:val="24"/>
          <w:szCs w:val="24"/>
          <w:highlight w:val="none"/>
          <w:lang w:val="en-US" w:eastAsia="zh-CN" w:bidi="ar-SA"/>
        </w:rPr>
        <w:t>9</w:t>
      </w:r>
      <w:r>
        <w:rPr>
          <w:rFonts w:hint="eastAsia" w:ascii="Times New Roman" w:hAnsi="Times New Roman" w:eastAsia="宋体" w:cs="Times New Roman"/>
          <w:color w:val="auto"/>
          <w:kern w:val="2"/>
          <w:sz w:val="24"/>
          <w:szCs w:val="24"/>
          <w:highlight w:val="none"/>
          <w:lang w:val="en-US" w:eastAsia="zh-CN" w:bidi="ar-SA"/>
        </w:rPr>
        <w:t xml:space="preserve"> 项目分区防渗图</w:t>
      </w:r>
    </w:p>
    <w:p w14:paraId="0F0228D9">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附图</w:t>
      </w:r>
      <w:r>
        <w:rPr>
          <w:rFonts w:hint="eastAsia" w:cs="Times New Roman"/>
          <w:color w:val="auto"/>
          <w:kern w:val="2"/>
          <w:sz w:val="24"/>
          <w:szCs w:val="24"/>
          <w:highlight w:val="none"/>
          <w:lang w:val="en-US" w:eastAsia="zh-CN" w:bidi="ar-SA"/>
        </w:rPr>
        <w:t>10</w:t>
      </w:r>
      <w:r>
        <w:rPr>
          <w:rFonts w:hint="eastAsia" w:ascii="Times New Roman" w:hAnsi="Times New Roman" w:eastAsia="宋体" w:cs="Times New Roman"/>
          <w:color w:val="auto"/>
          <w:kern w:val="2"/>
          <w:sz w:val="24"/>
          <w:szCs w:val="24"/>
          <w:highlight w:val="none"/>
          <w:lang w:val="en-US" w:eastAsia="zh-CN" w:bidi="ar-SA"/>
        </w:rPr>
        <w:t xml:space="preserve"> 废气收集管线图</w:t>
      </w:r>
    </w:p>
    <w:p w14:paraId="1A4DD9A6">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附图</w:t>
      </w:r>
      <w:r>
        <w:rPr>
          <w:rFonts w:hint="eastAsia" w:cs="Times New Roman"/>
          <w:color w:val="auto"/>
          <w:kern w:val="2"/>
          <w:sz w:val="24"/>
          <w:szCs w:val="24"/>
          <w:highlight w:val="none"/>
          <w:lang w:val="en-US" w:eastAsia="zh-CN" w:bidi="ar-SA"/>
        </w:rPr>
        <w:t>11</w:t>
      </w:r>
      <w:r>
        <w:rPr>
          <w:rFonts w:hint="eastAsia" w:ascii="Times New Roman" w:hAnsi="Times New Roman" w:eastAsia="宋体" w:cs="Times New Roman"/>
          <w:color w:val="auto"/>
          <w:kern w:val="2"/>
          <w:sz w:val="24"/>
          <w:szCs w:val="24"/>
          <w:highlight w:val="none"/>
          <w:lang w:val="en-US" w:eastAsia="zh-CN" w:bidi="ar-SA"/>
        </w:rPr>
        <w:t xml:space="preserve"> </w:t>
      </w:r>
      <w:r>
        <w:rPr>
          <w:rFonts w:hint="eastAsia" w:cs="Times New Roman"/>
          <w:color w:val="auto"/>
          <w:kern w:val="2"/>
          <w:sz w:val="24"/>
          <w:szCs w:val="24"/>
          <w:highlight w:val="none"/>
          <w:lang w:val="en-US" w:eastAsia="zh-CN" w:bidi="ar-SA"/>
        </w:rPr>
        <w:t>项目与生态环境</w:t>
      </w:r>
      <w:r>
        <w:rPr>
          <w:rFonts w:hint="eastAsia" w:ascii="Times New Roman" w:hAnsi="Times New Roman" w:eastAsia="宋体" w:cs="Times New Roman"/>
          <w:color w:val="auto"/>
          <w:kern w:val="2"/>
          <w:sz w:val="24"/>
          <w:szCs w:val="24"/>
          <w:highlight w:val="none"/>
          <w:lang w:val="en-US" w:eastAsia="zh-CN" w:bidi="ar-SA"/>
        </w:rPr>
        <w:t>分区管控</w:t>
      </w:r>
      <w:r>
        <w:rPr>
          <w:rFonts w:hint="eastAsia" w:cs="Times New Roman"/>
          <w:color w:val="auto"/>
          <w:kern w:val="2"/>
          <w:sz w:val="24"/>
          <w:szCs w:val="24"/>
          <w:highlight w:val="none"/>
          <w:lang w:val="en-US" w:eastAsia="zh-CN" w:bidi="ar-SA"/>
        </w:rPr>
        <w:t>位置关系</w:t>
      </w:r>
      <w:r>
        <w:rPr>
          <w:rFonts w:hint="eastAsia" w:ascii="Times New Roman" w:hAnsi="Times New Roman" w:eastAsia="宋体" w:cs="Times New Roman"/>
          <w:color w:val="auto"/>
          <w:kern w:val="2"/>
          <w:sz w:val="24"/>
          <w:szCs w:val="24"/>
          <w:highlight w:val="none"/>
          <w:lang w:val="en-US" w:eastAsia="zh-CN" w:bidi="ar-SA"/>
        </w:rPr>
        <w:t>图</w:t>
      </w:r>
    </w:p>
    <w:p w14:paraId="0372AF97">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default" w:cs="Times New Roman"/>
          <w:color w:val="auto"/>
          <w:kern w:val="2"/>
          <w:sz w:val="24"/>
          <w:szCs w:val="24"/>
          <w:highlight w:val="none"/>
          <w:lang w:val="en-US" w:eastAsia="zh-CN" w:bidi="ar-SA"/>
        </w:rPr>
      </w:pPr>
    </w:p>
    <w:p w14:paraId="7C86EBA0">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附件：</w:t>
      </w:r>
    </w:p>
    <w:p w14:paraId="4FFD3725">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附件1 </w:t>
      </w:r>
      <w:r>
        <w:rPr>
          <w:rFonts w:hint="eastAsia" w:cs="Times New Roman"/>
          <w:color w:val="auto"/>
          <w:kern w:val="2"/>
          <w:sz w:val="24"/>
          <w:szCs w:val="24"/>
          <w:highlight w:val="none"/>
          <w:lang w:val="en-US" w:eastAsia="zh-CN" w:bidi="ar-SA"/>
        </w:rPr>
        <w:t>环评</w:t>
      </w:r>
      <w:r>
        <w:rPr>
          <w:rFonts w:hint="eastAsia" w:ascii="Times New Roman" w:hAnsi="Times New Roman" w:eastAsia="宋体" w:cs="Times New Roman"/>
          <w:color w:val="auto"/>
          <w:kern w:val="2"/>
          <w:sz w:val="24"/>
          <w:szCs w:val="24"/>
          <w:highlight w:val="none"/>
          <w:lang w:val="en-US" w:eastAsia="zh-CN" w:bidi="ar-SA"/>
        </w:rPr>
        <w:t>委托书</w:t>
      </w:r>
    </w:p>
    <w:p w14:paraId="330CAADE">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附件2 备案表</w:t>
      </w:r>
    </w:p>
    <w:p w14:paraId="733843A7">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附件</w:t>
      </w: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 xml:space="preserve"> </w:t>
      </w:r>
      <w:r>
        <w:rPr>
          <w:rFonts w:hint="eastAsia" w:cs="Times New Roman"/>
          <w:color w:val="auto"/>
          <w:kern w:val="2"/>
          <w:sz w:val="24"/>
          <w:szCs w:val="24"/>
          <w:highlight w:val="none"/>
          <w:lang w:val="en-US" w:eastAsia="zh-CN" w:bidi="ar-SA"/>
        </w:rPr>
        <w:t>营业执照</w:t>
      </w:r>
    </w:p>
    <w:p w14:paraId="6C10834A">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附件4 厂房租赁合同</w:t>
      </w:r>
    </w:p>
    <w:p w14:paraId="73CD5A2D">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附件5 土地证</w:t>
      </w:r>
    </w:p>
    <w:p w14:paraId="2A5DCC22">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附件</w:t>
      </w:r>
      <w:r>
        <w:rPr>
          <w:rFonts w:hint="eastAsia" w:cs="Times New Roman"/>
          <w:color w:val="auto"/>
          <w:kern w:val="2"/>
          <w:sz w:val="24"/>
          <w:szCs w:val="24"/>
          <w:highlight w:val="none"/>
          <w:lang w:val="en-US" w:eastAsia="zh-CN" w:bidi="ar-SA"/>
        </w:rPr>
        <w:t>6</w:t>
      </w:r>
      <w:r>
        <w:rPr>
          <w:rFonts w:hint="eastAsia" w:ascii="Times New Roman" w:hAnsi="Times New Roman" w:eastAsia="宋体" w:cs="Times New Roman"/>
          <w:color w:val="auto"/>
          <w:kern w:val="2"/>
          <w:sz w:val="24"/>
          <w:szCs w:val="24"/>
          <w:highlight w:val="none"/>
          <w:lang w:val="en-US" w:eastAsia="zh-CN" w:bidi="ar-SA"/>
        </w:rPr>
        <w:t xml:space="preserve"> </w:t>
      </w:r>
      <w:r>
        <w:rPr>
          <w:rFonts w:hint="eastAsia" w:cs="Times New Roman"/>
          <w:color w:val="auto"/>
          <w:kern w:val="2"/>
          <w:sz w:val="24"/>
          <w:szCs w:val="24"/>
          <w:highlight w:val="none"/>
          <w:lang w:val="en-US" w:eastAsia="zh-CN" w:bidi="ar-SA"/>
        </w:rPr>
        <w:t>聚氨酯原液MSDS</w:t>
      </w:r>
    </w:p>
    <w:p w14:paraId="1AF8E33E">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附件7 脱模剂MSDS</w:t>
      </w:r>
    </w:p>
    <w:p w14:paraId="2EA898D7">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附件8 规划环评审查意见</w:t>
      </w:r>
    </w:p>
    <w:p w14:paraId="54DF9E59">
      <w:pPr>
        <w:pStyle w:val="355"/>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0" w:firstLineChars="0"/>
        <w:textAlignment w:val="auto"/>
        <w:rPr>
          <w:rFonts w:hint="default" w:cs="Times New Roman"/>
          <w:color w:val="auto"/>
          <w:kern w:val="2"/>
          <w:sz w:val="24"/>
          <w:szCs w:val="24"/>
          <w:highlight w:val="none"/>
          <w:lang w:val="en-US" w:eastAsia="zh-CN" w:bidi="ar-SA"/>
        </w:rPr>
        <w:sectPr>
          <w:footerReference r:id="rId6" w:type="default"/>
          <w:pgSz w:w="11906" w:h="16838"/>
          <w:pgMar w:top="1440" w:right="1134" w:bottom="1440" w:left="1417" w:header="1021" w:footer="1134" w:gutter="284"/>
          <w:pgBorders w:offsetFrom="page">
            <w:top w:val="none" w:sz="0" w:space="0"/>
            <w:left w:val="none" w:sz="0" w:space="0"/>
            <w:bottom w:val="none" w:sz="0" w:space="0"/>
            <w:right w:val="none" w:sz="0" w:space="0"/>
          </w:pgBorders>
          <w:pgNumType w:fmt="decimal" w:start="1"/>
          <w:cols w:space="720" w:num="1"/>
          <w:docGrid w:type="lines" w:linePitch="312" w:charSpace="0"/>
        </w:sectPr>
      </w:pPr>
      <w:r>
        <w:rPr>
          <w:rFonts w:hint="eastAsia" w:cs="Times New Roman"/>
          <w:color w:val="auto"/>
          <w:kern w:val="2"/>
          <w:sz w:val="24"/>
          <w:szCs w:val="24"/>
          <w:highlight w:val="none"/>
          <w:lang w:val="en-US" w:eastAsia="zh-CN" w:bidi="ar-SA"/>
        </w:rPr>
        <w:t>附件9 跟踪评价审查意见</w:t>
      </w:r>
    </w:p>
    <w:p w14:paraId="61F8742B">
      <w:pPr>
        <w:pStyle w:val="36"/>
        <w:keepNext w:val="0"/>
        <w:keepLines w:val="0"/>
        <w:pageBreakBefore w:val="0"/>
        <w:widowControl/>
        <w:kinsoku/>
        <w:wordWrap/>
        <w:overflowPunct/>
        <w:topLinePunct w:val="0"/>
        <w:autoSpaceDE/>
        <w:autoSpaceDN/>
        <w:bidi w:val="0"/>
        <w:adjustRightInd/>
        <w:snapToGrid/>
        <w:spacing w:before="157" w:beforeLines="50" w:beforeAutospacing="0" w:after="0" w:afterAutospacing="0"/>
        <w:jc w:val="center"/>
        <w:textAlignment w:val="auto"/>
        <w:outlineLvl w:val="0"/>
        <w:rPr>
          <w:rFonts w:hint="eastAsia" w:ascii="黑体" w:hAnsi="黑体" w:eastAsia="黑体" w:cs="Times New Roman"/>
          <w:snapToGrid w:val="0"/>
          <w:color w:val="auto"/>
          <w:sz w:val="30"/>
          <w:szCs w:val="30"/>
          <w:highlight w:val="none"/>
          <w:lang w:val="en-US" w:eastAsia="zh-CN"/>
        </w:rPr>
      </w:pPr>
      <w:bookmarkStart w:id="0" w:name="_Toc5276"/>
      <w:r>
        <w:rPr>
          <w:rFonts w:hint="eastAsia" w:ascii="黑体" w:hAnsi="黑体" w:eastAsia="黑体" w:cs="Times New Roman"/>
          <w:snapToGrid w:val="0"/>
          <w:color w:val="auto"/>
          <w:sz w:val="30"/>
          <w:szCs w:val="30"/>
          <w:highlight w:val="none"/>
          <w:lang w:val="en-US" w:eastAsia="zh-CN"/>
        </w:rPr>
        <w:t>一、建设项目基本情况</w:t>
      </w:r>
      <w:bookmarkEnd w:id="0"/>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120"/>
        <w:gridCol w:w="1866"/>
        <w:gridCol w:w="1633"/>
        <w:gridCol w:w="2633"/>
      </w:tblGrid>
      <w:tr w14:paraId="7370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0" w:type="dxa"/>
            <w:gridSpan w:val="2"/>
            <w:noWrap w:val="0"/>
            <w:vAlign w:val="center"/>
          </w:tcPr>
          <w:p w14:paraId="6DE5BBEF">
            <w:pPr>
              <w:keepNext w:val="0"/>
              <w:keepLines w:val="0"/>
              <w:suppressLineNumbers w:val="0"/>
              <w:spacing w:before="0" w:beforeAutospacing="0" w:after="0" w:afterAutospacing="0"/>
              <w:ind w:left="-14" w:right="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项目名称</w:t>
            </w:r>
          </w:p>
        </w:tc>
        <w:tc>
          <w:tcPr>
            <w:tcW w:w="6132" w:type="dxa"/>
            <w:gridSpan w:val="3"/>
            <w:noWrap w:val="0"/>
            <w:vAlign w:val="center"/>
          </w:tcPr>
          <w:p w14:paraId="3DBF7123">
            <w:pPr>
              <w:pStyle w:val="295"/>
              <w:keepNext w:val="0"/>
              <w:keepLines w:val="0"/>
              <w:suppressLineNumbers w:val="0"/>
              <w:spacing w:line="400" w:lineRule="exact"/>
              <w:ind w:left="0" w:right="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蚌埠称心服饰有限公司防静电无尘鞋150万双、防静电无尘服150万套、棉服羽绒服50万套项目</w:t>
            </w:r>
          </w:p>
        </w:tc>
      </w:tr>
      <w:tr w14:paraId="619E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0" w:type="dxa"/>
            <w:gridSpan w:val="2"/>
            <w:noWrap w:val="0"/>
            <w:vAlign w:val="center"/>
          </w:tcPr>
          <w:p w14:paraId="58D0C95B">
            <w:pPr>
              <w:keepNext w:val="0"/>
              <w:keepLines w:val="0"/>
              <w:suppressLineNumbers w:val="0"/>
              <w:spacing w:before="0" w:beforeAutospacing="0" w:after="0" w:afterAutospacing="0"/>
              <w:ind w:left="-14"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项目代码</w:t>
            </w:r>
          </w:p>
        </w:tc>
        <w:tc>
          <w:tcPr>
            <w:tcW w:w="6132" w:type="dxa"/>
            <w:gridSpan w:val="3"/>
            <w:noWrap w:val="0"/>
            <w:vAlign w:val="center"/>
          </w:tcPr>
          <w:p w14:paraId="714B3174">
            <w:pPr>
              <w:pStyle w:val="295"/>
              <w:keepNext w:val="0"/>
              <w:keepLines w:val="0"/>
              <w:pageBreakBefore w:val="0"/>
              <w:widowControl/>
              <w:suppressLineNumbers w:val="0"/>
              <w:kinsoku/>
              <w:wordWrap/>
              <w:overflowPunct/>
              <w:topLinePunct w:val="0"/>
              <w:autoSpaceDE/>
              <w:autoSpaceDN/>
              <w:bidi w:val="0"/>
              <w:adjustRightInd/>
              <w:snapToGrid/>
              <w:spacing w:line="400" w:lineRule="exact"/>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w:t>
            </w:r>
            <w:r>
              <w:rPr>
                <w:rFonts w:hint="default" w:ascii="Times New Roman" w:hAnsi="Times New Roman" w:cs="Times New Roman"/>
                <w:color w:val="auto"/>
                <w:sz w:val="24"/>
                <w:szCs w:val="24"/>
                <w:highlight w:val="none"/>
                <w:lang w:val="en-US" w:eastAsia="zh-CN"/>
              </w:rPr>
              <w:t>503</w:t>
            </w:r>
            <w:r>
              <w:rPr>
                <w:rFonts w:hint="default" w:ascii="Times New Roman" w:hAnsi="Times New Roman" w:eastAsia="宋体" w:cs="Times New Roman"/>
                <w:color w:val="auto"/>
                <w:sz w:val="24"/>
                <w:szCs w:val="24"/>
                <w:highlight w:val="none"/>
              </w:rPr>
              <w:t>-34</w:t>
            </w:r>
            <w:r>
              <w:rPr>
                <w:rFonts w:hint="default" w:ascii="Times New Roman" w:hAnsi="Times New Roman" w:cs="Times New Roman"/>
                <w:color w:val="auto"/>
                <w:sz w:val="24"/>
                <w:szCs w:val="24"/>
                <w:highlight w:val="none"/>
                <w:lang w:val="en-US" w:eastAsia="zh-CN"/>
              </w:rPr>
              <w:t>0322</w:t>
            </w:r>
            <w:r>
              <w:rPr>
                <w:rFonts w:hint="default" w:ascii="Times New Roman" w:hAnsi="Times New Roman" w:eastAsia="宋体" w:cs="Times New Roman"/>
                <w:color w:val="auto"/>
                <w:sz w:val="24"/>
                <w:szCs w:val="24"/>
                <w:highlight w:val="none"/>
              </w:rPr>
              <w:t>-04-01-</w:t>
            </w:r>
            <w:r>
              <w:rPr>
                <w:rFonts w:hint="default" w:ascii="Times New Roman" w:hAnsi="Times New Roman" w:cs="Times New Roman"/>
                <w:color w:val="auto"/>
                <w:sz w:val="24"/>
                <w:szCs w:val="24"/>
                <w:highlight w:val="none"/>
                <w:lang w:val="en-US" w:eastAsia="zh-CN"/>
              </w:rPr>
              <w:t>180136</w:t>
            </w:r>
          </w:p>
        </w:tc>
      </w:tr>
      <w:tr w14:paraId="0269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0" w:type="dxa"/>
            <w:gridSpan w:val="2"/>
            <w:noWrap w:val="0"/>
            <w:vAlign w:val="center"/>
          </w:tcPr>
          <w:p w14:paraId="4D69068E">
            <w:pPr>
              <w:keepNext w:val="0"/>
              <w:keepLines w:val="0"/>
              <w:suppressLineNumbers w:val="0"/>
              <w:spacing w:before="0" w:beforeAutospacing="0" w:after="0" w:afterAutospacing="0"/>
              <w:ind w:left="-14"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建设单位联系人</w:t>
            </w:r>
          </w:p>
        </w:tc>
        <w:tc>
          <w:tcPr>
            <w:tcW w:w="1866" w:type="dxa"/>
            <w:noWrap w:val="0"/>
            <w:vAlign w:val="center"/>
          </w:tcPr>
          <w:p w14:paraId="0EF26800">
            <w:pPr>
              <w:pStyle w:val="295"/>
              <w:keepNext w:val="0"/>
              <w:keepLines w:val="0"/>
              <w:suppressLineNumbers w:val="0"/>
              <w:spacing w:before="0" w:after="0"/>
              <w:ind w:left="0" w:right="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张华才</w:t>
            </w:r>
          </w:p>
        </w:tc>
        <w:tc>
          <w:tcPr>
            <w:tcW w:w="1633" w:type="dxa"/>
            <w:noWrap w:val="0"/>
            <w:vAlign w:val="center"/>
          </w:tcPr>
          <w:p w14:paraId="700AAF67">
            <w:pPr>
              <w:keepNext w:val="0"/>
              <w:keepLines w:val="0"/>
              <w:suppressLineNumbers w:val="0"/>
              <w:spacing w:before="0" w:beforeAutospacing="0" w:after="0" w:afterAutospacing="0"/>
              <w:ind w:left="-14"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联系方式</w:t>
            </w:r>
          </w:p>
        </w:tc>
        <w:tc>
          <w:tcPr>
            <w:tcW w:w="2633" w:type="dxa"/>
            <w:noWrap w:val="0"/>
            <w:vAlign w:val="center"/>
          </w:tcPr>
          <w:p w14:paraId="75C77957">
            <w:pPr>
              <w:pStyle w:val="295"/>
              <w:keepNext w:val="0"/>
              <w:keepLines w:val="0"/>
              <w:suppressLineNumbers w:val="0"/>
              <w:spacing w:before="0" w:after="0"/>
              <w:ind w:left="0" w:right="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1</w:t>
            </w:r>
            <w:r>
              <w:rPr>
                <w:rFonts w:hint="default" w:ascii="Times New Roman" w:hAnsi="Times New Roman" w:cs="Times New Roman"/>
                <w:color w:val="auto"/>
                <w:sz w:val="24"/>
                <w:szCs w:val="24"/>
                <w:highlight w:val="none"/>
                <w:lang w:val="en-US" w:eastAsia="zh-CN"/>
              </w:rPr>
              <w:t>5950005703</w:t>
            </w:r>
          </w:p>
        </w:tc>
      </w:tr>
      <w:tr w14:paraId="3331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0" w:type="dxa"/>
            <w:gridSpan w:val="2"/>
            <w:noWrap w:val="0"/>
            <w:vAlign w:val="center"/>
          </w:tcPr>
          <w:p w14:paraId="0837A642">
            <w:pPr>
              <w:keepNext w:val="0"/>
              <w:keepLines w:val="0"/>
              <w:suppressLineNumbers w:val="0"/>
              <w:spacing w:before="0" w:beforeAutospacing="0" w:after="0" w:afterAutospacing="0"/>
              <w:ind w:left="-14" w:right="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建设地点</w:t>
            </w:r>
          </w:p>
        </w:tc>
        <w:tc>
          <w:tcPr>
            <w:tcW w:w="6132" w:type="dxa"/>
            <w:gridSpan w:val="3"/>
            <w:noWrap w:val="0"/>
            <w:vAlign w:val="center"/>
          </w:tcPr>
          <w:p w14:paraId="7FAC01C0">
            <w:pPr>
              <w:keepNext w:val="0"/>
              <w:keepLines w:val="0"/>
              <w:widowControl/>
              <w:suppressLineNumbers w:val="0"/>
              <w:spacing w:before="0" w:beforeAutospacing="0" w:after="0" w:afterAutospacing="0" w:line="400" w:lineRule="exact"/>
              <w:ind w:left="0" w:right="0"/>
              <w:jc w:val="center"/>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u w:val="single"/>
                <w:lang w:val="en-US" w:eastAsia="zh-CN"/>
              </w:rPr>
              <w:t>安徽省蚌埠市五河县城南工业</w:t>
            </w:r>
            <w:r>
              <w:rPr>
                <w:rFonts w:hint="eastAsia" w:cs="Times New Roman"/>
                <w:color w:val="auto"/>
                <w:sz w:val="24"/>
                <w:szCs w:val="24"/>
                <w:highlight w:val="none"/>
                <w:u w:val="single"/>
                <w:lang w:val="en-US" w:eastAsia="zh-CN"/>
              </w:rPr>
              <w:t>园</w:t>
            </w:r>
            <w:r>
              <w:rPr>
                <w:rFonts w:hint="default" w:ascii="Times New Roman" w:hAnsi="Times New Roman" w:cs="Times New Roman"/>
                <w:color w:val="auto"/>
                <w:sz w:val="24"/>
                <w:szCs w:val="24"/>
                <w:highlight w:val="none"/>
                <w:u w:val="single"/>
                <w:lang w:val="en-US" w:eastAsia="zh-CN"/>
              </w:rPr>
              <w:t>区工业五路中</w:t>
            </w:r>
            <w:r>
              <w:rPr>
                <w:rFonts w:hint="eastAsia" w:cs="Times New Roman"/>
                <w:color w:val="auto"/>
                <w:sz w:val="24"/>
                <w:szCs w:val="24"/>
                <w:highlight w:val="none"/>
                <w:u w:val="single"/>
                <w:lang w:val="en-US" w:eastAsia="zh-CN"/>
              </w:rPr>
              <w:t>段</w:t>
            </w:r>
            <w:r>
              <w:rPr>
                <w:rFonts w:hint="default" w:ascii="Times New Roman" w:hAnsi="Times New Roman" w:cs="Times New Roman"/>
                <w:color w:val="auto"/>
                <w:sz w:val="24"/>
                <w:szCs w:val="24"/>
                <w:highlight w:val="none"/>
                <w:u w:val="single"/>
                <w:lang w:val="en-US" w:eastAsia="zh-CN"/>
              </w:rPr>
              <w:t>南侧</w:t>
            </w:r>
            <w:r>
              <w:rPr>
                <w:rFonts w:hint="default" w:ascii="Times New Roman" w:hAnsi="Times New Roman" w:eastAsia="宋体" w:cs="Times New Roman"/>
                <w:color w:val="auto"/>
                <w:sz w:val="24"/>
                <w:szCs w:val="24"/>
                <w:highlight w:val="none"/>
                <w:u w:val="single"/>
              </w:rPr>
              <w:t xml:space="preserve"> </w:t>
            </w:r>
          </w:p>
        </w:tc>
      </w:tr>
      <w:tr w14:paraId="07AB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0" w:type="dxa"/>
            <w:gridSpan w:val="2"/>
            <w:noWrap w:val="0"/>
            <w:vAlign w:val="center"/>
          </w:tcPr>
          <w:p w14:paraId="0FD96111">
            <w:pPr>
              <w:keepNext w:val="0"/>
              <w:keepLines w:val="0"/>
              <w:suppressLineNumbers w:val="0"/>
              <w:spacing w:before="0" w:beforeAutospacing="0" w:after="0" w:afterAutospacing="0"/>
              <w:ind w:left="-14" w:right="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sz w:val="24"/>
                <w:szCs w:val="24"/>
                <w:highlight w:val="none"/>
              </w:rPr>
              <w:t>地理坐标</w:t>
            </w:r>
          </w:p>
        </w:tc>
        <w:tc>
          <w:tcPr>
            <w:tcW w:w="6132" w:type="dxa"/>
            <w:gridSpan w:val="3"/>
            <w:noWrap w:val="0"/>
            <w:vAlign w:val="center"/>
          </w:tcPr>
          <w:p w14:paraId="539EBB04">
            <w:pPr>
              <w:pStyle w:val="295"/>
              <w:keepNext w:val="0"/>
              <w:keepLines w:val="0"/>
              <w:suppressLineNumbers w:val="0"/>
              <w:spacing w:line="400" w:lineRule="exact"/>
              <w:ind w:left="0" w:right="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r>
              <w:rPr>
                <w:rFonts w:hint="default" w:ascii="Times New Roman" w:hAnsi="Times New Roman" w:cs="Times New Roman"/>
                <w:color w:val="auto"/>
                <w:kern w:val="2"/>
                <w:sz w:val="24"/>
                <w:szCs w:val="24"/>
                <w:highlight w:val="none"/>
                <w:lang w:val="en-US" w:eastAsia="zh-CN"/>
              </w:rPr>
              <w:t xml:space="preserve"> </w:t>
            </w:r>
            <w:r>
              <w:rPr>
                <w:rFonts w:hint="default" w:ascii="Times New Roman" w:hAnsi="Times New Roman" w:eastAsia="宋体" w:cs="Times New Roman"/>
                <w:color w:val="auto"/>
                <w:kern w:val="2"/>
                <w:sz w:val="24"/>
                <w:szCs w:val="24"/>
                <w:highlight w:val="none"/>
                <w:u w:val="single"/>
              </w:rPr>
              <w:t>11</w:t>
            </w:r>
            <w:r>
              <w:rPr>
                <w:rFonts w:hint="default" w:ascii="Times New Roman" w:hAnsi="Times New Roman" w:eastAsia="宋体" w:cs="Times New Roman"/>
                <w:color w:val="auto"/>
                <w:kern w:val="2"/>
                <w:sz w:val="24"/>
                <w:szCs w:val="24"/>
                <w:highlight w:val="none"/>
                <w:u w:val="single"/>
                <w:lang w:val="en-US" w:eastAsia="zh-CN"/>
              </w:rPr>
              <w:t>8</w:t>
            </w:r>
            <w:r>
              <w:rPr>
                <w:rFonts w:hint="default" w:ascii="Times New Roman" w:hAnsi="Times New Roman" w:eastAsia="宋体" w:cs="Times New Roman"/>
                <w:color w:val="auto"/>
                <w:kern w:val="2"/>
                <w:sz w:val="24"/>
                <w:szCs w:val="24"/>
                <w:highlight w:val="none"/>
              </w:rPr>
              <w:t>度</w:t>
            </w:r>
            <w:r>
              <w:rPr>
                <w:rFonts w:hint="default" w:ascii="Times New Roman" w:hAnsi="Times New Roman" w:cs="Times New Roman"/>
                <w:color w:val="auto"/>
                <w:kern w:val="2"/>
                <w:sz w:val="24"/>
                <w:szCs w:val="24"/>
                <w:highlight w:val="none"/>
                <w:u w:val="single"/>
                <w:lang w:val="en-US" w:eastAsia="zh-CN"/>
              </w:rPr>
              <w:t>3</w:t>
            </w:r>
            <w:r>
              <w:rPr>
                <w:rFonts w:hint="default" w:ascii="Times New Roman" w:hAnsi="Times New Roman" w:eastAsia="宋体" w:cs="Times New Roman"/>
                <w:color w:val="auto"/>
                <w:kern w:val="2"/>
                <w:sz w:val="24"/>
                <w:szCs w:val="24"/>
                <w:highlight w:val="none"/>
              </w:rPr>
              <w:t>分</w:t>
            </w:r>
            <w:r>
              <w:rPr>
                <w:rFonts w:hint="default" w:ascii="Times New Roman" w:hAnsi="Times New Roman" w:cs="Times New Roman"/>
                <w:color w:val="auto"/>
                <w:kern w:val="2"/>
                <w:sz w:val="24"/>
                <w:szCs w:val="24"/>
                <w:highlight w:val="none"/>
                <w:u w:val="single"/>
                <w:lang w:val="en-US" w:eastAsia="zh-CN"/>
              </w:rPr>
              <w:t>26.500</w:t>
            </w:r>
            <w:r>
              <w:rPr>
                <w:rFonts w:hint="default" w:ascii="Times New Roman" w:hAnsi="Times New Roman" w:eastAsia="宋体" w:cs="Times New Roman"/>
                <w:color w:val="auto"/>
                <w:kern w:val="2"/>
                <w:sz w:val="24"/>
                <w:szCs w:val="24"/>
                <w:highlight w:val="none"/>
              </w:rPr>
              <w:t>秒，</w:t>
            </w:r>
            <w:r>
              <w:rPr>
                <w:rFonts w:hint="default" w:ascii="Times New Roman" w:hAnsi="Times New Roman" w:eastAsia="宋体" w:cs="Times New Roman"/>
                <w:color w:val="auto"/>
                <w:kern w:val="2"/>
                <w:sz w:val="24"/>
                <w:szCs w:val="24"/>
                <w:highlight w:val="none"/>
                <w:u w:val="single"/>
                <w:lang w:val="en-US" w:eastAsia="zh-CN"/>
              </w:rPr>
              <w:t>32</w:t>
            </w:r>
            <w:r>
              <w:rPr>
                <w:rFonts w:hint="default" w:ascii="Times New Roman" w:hAnsi="Times New Roman" w:eastAsia="宋体" w:cs="Times New Roman"/>
                <w:color w:val="auto"/>
                <w:kern w:val="2"/>
                <w:sz w:val="24"/>
                <w:szCs w:val="24"/>
                <w:highlight w:val="none"/>
              </w:rPr>
              <w:t>度</w:t>
            </w:r>
            <w:r>
              <w:rPr>
                <w:rFonts w:hint="default" w:ascii="Times New Roman" w:hAnsi="Times New Roman" w:eastAsia="宋体" w:cs="Times New Roman"/>
                <w:color w:val="auto"/>
                <w:kern w:val="2"/>
                <w:sz w:val="24"/>
                <w:szCs w:val="24"/>
                <w:highlight w:val="none"/>
                <w:u w:val="single"/>
                <w:lang w:val="en-US" w:eastAsia="zh-CN"/>
              </w:rPr>
              <w:t>47</w:t>
            </w:r>
            <w:r>
              <w:rPr>
                <w:rFonts w:hint="default" w:ascii="Times New Roman" w:hAnsi="Times New Roman" w:eastAsia="宋体" w:cs="Times New Roman"/>
                <w:color w:val="auto"/>
                <w:kern w:val="2"/>
                <w:sz w:val="24"/>
                <w:szCs w:val="24"/>
                <w:highlight w:val="none"/>
              </w:rPr>
              <w:t>分</w:t>
            </w:r>
            <w:r>
              <w:rPr>
                <w:rFonts w:hint="default" w:ascii="Times New Roman" w:hAnsi="Times New Roman" w:cs="Times New Roman"/>
                <w:color w:val="auto"/>
                <w:kern w:val="2"/>
                <w:sz w:val="24"/>
                <w:szCs w:val="24"/>
                <w:highlight w:val="none"/>
                <w:u w:val="single"/>
                <w:lang w:val="en-US" w:eastAsia="zh-CN"/>
              </w:rPr>
              <w:t>33.941</w:t>
            </w:r>
            <w:r>
              <w:rPr>
                <w:rFonts w:hint="default" w:ascii="Times New Roman" w:hAnsi="Times New Roman" w:eastAsia="宋体" w:cs="Times New Roman"/>
                <w:color w:val="auto"/>
                <w:kern w:val="2"/>
                <w:sz w:val="24"/>
                <w:szCs w:val="24"/>
                <w:highlight w:val="none"/>
              </w:rPr>
              <w:t>秒）</w:t>
            </w:r>
          </w:p>
        </w:tc>
      </w:tr>
      <w:tr w14:paraId="0341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0" w:type="dxa"/>
            <w:gridSpan w:val="2"/>
            <w:noWrap w:val="0"/>
            <w:vAlign w:val="center"/>
          </w:tcPr>
          <w:p w14:paraId="0015DB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14:paraId="5D007A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行业类别</w:t>
            </w:r>
          </w:p>
        </w:tc>
        <w:tc>
          <w:tcPr>
            <w:tcW w:w="1866" w:type="dxa"/>
            <w:noWrap w:val="0"/>
            <w:vAlign w:val="center"/>
          </w:tcPr>
          <w:p w14:paraId="6FF70C1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C</w:t>
            </w:r>
            <w:r>
              <w:rPr>
                <w:rFonts w:hint="default" w:ascii="Times New Roman" w:hAnsi="Times New Roman" w:cs="Times New Roman"/>
                <w:b w:val="0"/>
                <w:bCs w:val="0"/>
                <w:color w:val="auto"/>
                <w:sz w:val="24"/>
                <w:szCs w:val="24"/>
                <w:highlight w:val="none"/>
                <w:lang w:val="en-US" w:eastAsia="zh-CN"/>
              </w:rPr>
              <w:t>1953</w:t>
            </w:r>
            <w:r>
              <w:rPr>
                <w:rFonts w:hint="default" w:ascii="Times New Roman" w:hAnsi="Times New Roman" w:eastAsia="宋体" w:cs="Times New Roman"/>
                <w:b w:val="0"/>
                <w:bCs w:val="0"/>
                <w:color w:val="auto"/>
                <w:sz w:val="24"/>
                <w:szCs w:val="24"/>
                <w:highlight w:val="none"/>
                <w:lang w:val="en-US" w:eastAsia="zh-CN"/>
              </w:rPr>
              <w:t>塑料</w:t>
            </w:r>
            <w:r>
              <w:rPr>
                <w:rFonts w:hint="default" w:ascii="Times New Roman" w:hAnsi="Times New Roman" w:cs="Times New Roman"/>
                <w:b w:val="0"/>
                <w:bCs w:val="0"/>
                <w:color w:val="auto"/>
                <w:sz w:val="24"/>
                <w:szCs w:val="24"/>
                <w:highlight w:val="none"/>
                <w:lang w:val="en-US" w:eastAsia="zh-CN"/>
              </w:rPr>
              <w:t>鞋</w:t>
            </w:r>
            <w:r>
              <w:rPr>
                <w:rFonts w:hint="default" w:ascii="Times New Roman" w:hAnsi="Times New Roman" w:eastAsia="宋体" w:cs="Times New Roman"/>
                <w:b w:val="0"/>
                <w:bCs w:val="0"/>
                <w:color w:val="auto"/>
                <w:sz w:val="24"/>
                <w:szCs w:val="24"/>
                <w:highlight w:val="none"/>
                <w:lang w:val="en-US" w:eastAsia="zh-CN"/>
              </w:rPr>
              <w:t>制造</w:t>
            </w:r>
            <w:r>
              <w:rPr>
                <w:rFonts w:hint="default" w:ascii="Times New Roman" w:hAnsi="Times New Roman" w:cs="Times New Roman"/>
                <w:b w:val="0"/>
                <w:bCs w:val="0"/>
                <w:color w:val="auto"/>
                <w:sz w:val="24"/>
                <w:szCs w:val="24"/>
                <w:highlight w:val="none"/>
                <w:lang w:val="en-US" w:eastAsia="zh-CN"/>
              </w:rPr>
              <w:t>、C1</w:t>
            </w:r>
            <w:r>
              <w:rPr>
                <w:rFonts w:hint="eastAsia" w:cs="Times New Roman"/>
                <w:b w:val="0"/>
                <w:bCs w:val="0"/>
                <w:color w:val="auto"/>
                <w:sz w:val="24"/>
                <w:szCs w:val="24"/>
                <w:highlight w:val="none"/>
                <w:lang w:val="en-US" w:eastAsia="zh-CN"/>
              </w:rPr>
              <w:t>819其他机织服装制造</w:t>
            </w:r>
          </w:p>
        </w:tc>
        <w:tc>
          <w:tcPr>
            <w:tcW w:w="1633" w:type="dxa"/>
            <w:noWrap w:val="0"/>
            <w:vAlign w:val="center"/>
          </w:tcPr>
          <w:p w14:paraId="47493C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55E490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633" w:type="dxa"/>
            <w:noWrap w:val="0"/>
            <w:vAlign w:val="center"/>
          </w:tcPr>
          <w:p w14:paraId="484A24A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十五、纺织服装、服饰业 18</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服饰制造 183*</w:t>
            </w:r>
          </w:p>
          <w:p w14:paraId="7ADF2E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十六、皮革、皮毛、羽毛及其制品和制鞋业 19，制鞋业195*</w:t>
            </w:r>
          </w:p>
        </w:tc>
      </w:tr>
      <w:tr w14:paraId="6179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0" w:type="dxa"/>
            <w:gridSpan w:val="2"/>
            <w:noWrap w:val="0"/>
            <w:vAlign w:val="center"/>
          </w:tcPr>
          <w:p w14:paraId="616217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sz w:val="24"/>
                <w:szCs w:val="24"/>
                <w:highlight w:val="none"/>
              </w:rPr>
              <w:t>建设性质</w:t>
            </w:r>
          </w:p>
        </w:tc>
        <w:tc>
          <w:tcPr>
            <w:tcW w:w="1866" w:type="dxa"/>
            <w:noWrap w:val="0"/>
            <w:vAlign w:val="center"/>
          </w:tcPr>
          <w:p w14:paraId="74298661">
            <w:pPr>
              <w:pStyle w:val="29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☑新建（迁建）</w:t>
            </w:r>
          </w:p>
          <w:p w14:paraId="3E80C610">
            <w:pPr>
              <w:pStyle w:val="29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4"/>
                <w:szCs w:val="24"/>
                <w:highlight w:val="none"/>
              </w:rPr>
            </w:pPr>
            <w:r>
              <w:rPr>
                <w:rFonts w:hint="eastAsia" w:ascii="Times New Roman" w:hAnsi="Times New Roman"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改建</w:t>
            </w:r>
          </w:p>
          <w:p w14:paraId="7CB06C73">
            <w:pPr>
              <w:pStyle w:val="29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4"/>
                <w:szCs w:val="24"/>
                <w:highlight w:val="none"/>
              </w:rPr>
            </w:pPr>
            <w:r>
              <w:rPr>
                <w:rFonts w:hint="eastAsia" w:ascii="Times New Roman" w:hAnsi="Times New Roman"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扩建</w:t>
            </w:r>
          </w:p>
          <w:p w14:paraId="256C2479">
            <w:pPr>
              <w:pStyle w:val="295"/>
              <w:keepNext w:val="0"/>
              <w:keepLines w:val="0"/>
              <w:suppressLineNumbers w:val="0"/>
              <w:spacing w:before="0" w:beforeAutospacing="0" w:after="0" w:afterAutospacing="0"/>
              <w:ind w:left="0" w:right="0"/>
              <w:jc w:val="left"/>
              <w:rPr>
                <w:rFonts w:hint="default" w:ascii="Times New Roman" w:hAnsi="Times New Roman" w:cs="Times New Roman"/>
                <w:color w:val="auto"/>
                <w:kern w:val="2"/>
                <w:sz w:val="24"/>
                <w:szCs w:val="24"/>
                <w:highlight w:val="none"/>
                <w:lang w:eastAsia="zh-CN"/>
              </w:rPr>
            </w:pPr>
            <w:r>
              <w:rPr>
                <w:rFonts w:hint="eastAsia" w:ascii="Times New Roman" w:hAnsi="Times New Roman"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技术改造</w:t>
            </w:r>
          </w:p>
        </w:tc>
        <w:tc>
          <w:tcPr>
            <w:tcW w:w="1633" w:type="dxa"/>
            <w:noWrap w:val="0"/>
            <w:vAlign w:val="center"/>
          </w:tcPr>
          <w:p w14:paraId="0C96FE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6A89D7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633" w:type="dxa"/>
            <w:noWrap w:val="0"/>
            <w:vAlign w:val="center"/>
          </w:tcPr>
          <w:p w14:paraId="0640FB7E">
            <w:pPr>
              <w:pStyle w:val="29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☑首次申报项目</w:t>
            </w:r>
          </w:p>
          <w:p w14:paraId="2EA11EBD">
            <w:pPr>
              <w:pStyle w:val="29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4"/>
                <w:szCs w:val="24"/>
                <w:highlight w:val="none"/>
              </w:rPr>
            </w:pPr>
            <w:r>
              <w:rPr>
                <w:rFonts w:hint="default" w:ascii="Times New Roman" w:hAnsi="Times New Roman"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不予批准后再次申报项目</w:t>
            </w:r>
          </w:p>
          <w:p w14:paraId="3EBF20E0">
            <w:pPr>
              <w:pStyle w:val="29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4"/>
                <w:szCs w:val="24"/>
                <w:highlight w:val="none"/>
              </w:rPr>
            </w:pPr>
            <w:r>
              <w:rPr>
                <w:rFonts w:hint="default" w:ascii="Times New Roman" w:hAnsi="Times New Roman"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超五年重新审核项目</w:t>
            </w:r>
          </w:p>
          <w:p w14:paraId="42FD5F80">
            <w:pPr>
              <w:pStyle w:val="29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重大变动重新报批项目</w:t>
            </w:r>
          </w:p>
        </w:tc>
      </w:tr>
      <w:tr w14:paraId="6D9C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0" w:type="dxa"/>
            <w:gridSpan w:val="2"/>
            <w:noWrap w:val="0"/>
            <w:vAlign w:val="center"/>
          </w:tcPr>
          <w:p w14:paraId="12CB067D">
            <w:pPr>
              <w:pStyle w:val="295"/>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lang w:val="en-US"/>
              </w:rPr>
            </w:pPr>
            <w:r>
              <w:rPr>
                <w:rFonts w:hint="default" w:ascii="Times New Roman" w:hAnsi="Times New Roman" w:eastAsia="宋体" w:cs="Times New Roman"/>
                <w:color w:val="auto"/>
                <w:kern w:val="2"/>
                <w:highlight w:val="none"/>
              </w:rPr>
              <w:t>项目审批（核准/备案）部门</w:t>
            </w:r>
          </w:p>
        </w:tc>
        <w:tc>
          <w:tcPr>
            <w:tcW w:w="1866" w:type="dxa"/>
            <w:noWrap w:val="0"/>
            <w:vAlign w:val="center"/>
          </w:tcPr>
          <w:p w14:paraId="1199F925">
            <w:pPr>
              <w:pStyle w:val="295"/>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五河县</w:t>
            </w:r>
            <w:r>
              <w:rPr>
                <w:rFonts w:hint="default" w:ascii="Times New Roman" w:hAnsi="Times New Roman" w:cs="Times New Roman"/>
                <w:color w:val="auto"/>
                <w:sz w:val="24"/>
                <w:szCs w:val="24"/>
                <w:highlight w:val="none"/>
                <w:lang w:eastAsia="zh-CN"/>
              </w:rPr>
              <w:t>发展</w:t>
            </w:r>
            <w:r>
              <w:rPr>
                <w:rFonts w:hint="default" w:ascii="Times New Roman" w:hAnsi="Times New Roman" w:cs="Times New Roman"/>
                <w:color w:val="auto"/>
                <w:sz w:val="24"/>
                <w:szCs w:val="24"/>
                <w:highlight w:val="none"/>
                <w:lang w:val="en-US" w:eastAsia="zh-CN"/>
              </w:rPr>
              <w:t>和</w:t>
            </w:r>
            <w:r>
              <w:rPr>
                <w:rFonts w:hint="default" w:ascii="Times New Roman" w:hAnsi="Times New Roman" w:cs="Times New Roman"/>
                <w:color w:val="auto"/>
                <w:sz w:val="24"/>
                <w:szCs w:val="24"/>
                <w:highlight w:val="none"/>
                <w:lang w:eastAsia="zh-CN"/>
              </w:rPr>
              <w:t>改革</w:t>
            </w:r>
            <w:r>
              <w:rPr>
                <w:rFonts w:hint="default" w:ascii="Times New Roman" w:hAnsi="Times New Roman" w:cs="Times New Roman"/>
                <w:color w:val="auto"/>
                <w:sz w:val="24"/>
                <w:szCs w:val="24"/>
                <w:highlight w:val="none"/>
                <w:lang w:val="en-US" w:eastAsia="zh-CN"/>
              </w:rPr>
              <w:t>委员会</w:t>
            </w:r>
          </w:p>
        </w:tc>
        <w:tc>
          <w:tcPr>
            <w:tcW w:w="1633" w:type="dxa"/>
            <w:noWrap w:val="0"/>
            <w:vAlign w:val="center"/>
          </w:tcPr>
          <w:p w14:paraId="11FEC7CB">
            <w:pPr>
              <w:pStyle w:val="295"/>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项目审批（核准/备案）文号</w:t>
            </w:r>
          </w:p>
        </w:tc>
        <w:tc>
          <w:tcPr>
            <w:tcW w:w="2633" w:type="dxa"/>
            <w:noWrap w:val="0"/>
            <w:vAlign w:val="center"/>
          </w:tcPr>
          <w:p w14:paraId="5982EDF7">
            <w:pPr>
              <w:pStyle w:val="295"/>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r>
      <w:tr w14:paraId="4519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0" w:type="dxa"/>
            <w:gridSpan w:val="2"/>
            <w:noWrap w:val="0"/>
            <w:vAlign w:val="center"/>
          </w:tcPr>
          <w:p w14:paraId="14BF7E88">
            <w:pPr>
              <w:pStyle w:val="295"/>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highlight w:val="none"/>
              </w:rPr>
              <w:t>总投资（万元）</w:t>
            </w:r>
          </w:p>
        </w:tc>
        <w:tc>
          <w:tcPr>
            <w:tcW w:w="1866" w:type="dxa"/>
            <w:noWrap w:val="0"/>
            <w:vAlign w:val="center"/>
          </w:tcPr>
          <w:p w14:paraId="6AB12FA0">
            <w:pPr>
              <w:pStyle w:val="295"/>
              <w:keepNext w:val="0"/>
              <w:keepLines w:val="0"/>
              <w:suppressLineNumbers w:val="0"/>
              <w:spacing w:before="0" w:beforeAutospacing="0" w:after="0" w:afterAutospacing="0"/>
              <w:ind w:left="0" w:right="0"/>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10000</w:t>
            </w:r>
          </w:p>
        </w:tc>
        <w:tc>
          <w:tcPr>
            <w:tcW w:w="1633" w:type="dxa"/>
            <w:noWrap w:val="0"/>
            <w:vAlign w:val="center"/>
          </w:tcPr>
          <w:p w14:paraId="0372B7D0">
            <w:pPr>
              <w:pStyle w:val="295"/>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sz w:val="24"/>
                <w:szCs w:val="24"/>
                <w:highlight w:val="none"/>
              </w:rPr>
              <w:t>环保投资（万元）</w:t>
            </w:r>
          </w:p>
        </w:tc>
        <w:tc>
          <w:tcPr>
            <w:tcW w:w="2633" w:type="dxa"/>
            <w:noWrap w:val="0"/>
            <w:vAlign w:val="center"/>
          </w:tcPr>
          <w:p w14:paraId="2427BD12">
            <w:pPr>
              <w:pStyle w:val="295"/>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81</w:t>
            </w:r>
          </w:p>
        </w:tc>
      </w:tr>
      <w:tr w14:paraId="53C7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0" w:type="dxa"/>
            <w:gridSpan w:val="2"/>
            <w:noWrap w:val="0"/>
            <w:vAlign w:val="center"/>
          </w:tcPr>
          <w:p w14:paraId="00C0F960">
            <w:pPr>
              <w:pStyle w:val="295"/>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highlight w:val="none"/>
              </w:rPr>
              <w:t>环保投资占比（%）</w:t>
            </w:r>
          </w:p>
        </w:tc>
        <w:tc>
          <w:tcPr>
            <w:tcW w:w="1866" w:type="dxa"/>
            <w:noWrap w:val="0"/>
            <w:vAlign w:val="center"/>
          </w:tcPr>
          <w:p w14:paraId="308D8089">
            <w:pPr>
              <w:pStyle w:val="295"/>
              <w:keepNext w:val="0"/>
              <w:keepLines w:val="0"/>
              <w:suppressLineNumbers w:val="0"/>
              <w:spacing w:before="0" w:beforeAutospacing="0" w:after="0" w:afterAutospacing="0"/>
              <w:ind w:left="0" w:right="0"/>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0.81</w:t>
            </w:r>
          </w:p>
        </w:tc>
        <w:tc>
          <w:tcPr>
            <w:tcW w:w="1633" w:type="dxa"/>
            <w:noWrap w:val="0"/>
            <w:vAlign w:val="center"/>
          </w:tcPr>
          <w:p w14:paraId="4B6419FB">
            <w:pPr>
              <w:pStyle w:val="295"/>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633" w:type="dxa"/>
            <w:noWrap w:val="0"/>
            <w:vAlign w:val="center"/>
          </w:tcPr>
          <w:p w14:paraId="13ED94E0">
            <w:pPr>
              <w:pStyle w:val="295"/>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rPr>
            </w:pPr>
            <w:r>
              <w:rPr>
                <w:rFonts w:hint="default" w:ascii="Times New Roman" w:hAnsi="Times New Roman" w:cs="Times New Roman"/>
                <w:color w:val="auto"/>
                <w:kern w:val="2"/>
                <w:sz w:val="24"/>
                <w:szCs w:val="24"/>
                <w:highlight w:val="none"/>
                <w:lang w:val="en-US" w:eastAsia="zh-CN"/>
              </w:rPr>
              <w:t>6</w:t>
            </w:r>
            <w:r>
              <w:rPr>
                <w:rFonts w:hint="default" w:ascii="Times New Roman" w:hAnsi="Times New Roman" w:eastAsia="宋体" w:cs="Times New Roman"/>
                <w:color w:val="auto"/>
                <w:kern w:val="2"/>
                <w:sz w:val="24"/>
                <w:szCs w:val="24"/>
                <w:highlight w:val="none"/>
              </w:rPr>
              <w:t>个月</w:t>
            </w:r>
          </w:p>
        </w:tc>
      </w:tr>
      <w:tr w14:paraId="7F031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0" w:type="dxa"/>
            <w:gridSpan w:val="2"/>
            <w:noWrap w:val="0"/>
            <w:vAlign w:val="center"/>
          </w:tcPr>
          <w:p w14:paraId="523DFDB4">
            <w:pPr>
              <w:pStyle w:val="295"/>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highlight w:val="none"/>
              </w:rPr>
              <w:t>是否开工建设</w:t>
            </w:r>
          </w:p>
        </w:tc>
        <w:tc>
          <w:tcPr>
            <w:tcW w:w="1866" w:type="dxa"/>
            <w:noWrap w:val="0"/>
            <w:vAlign w:val="center"/>
          </w:tcPr>
          <w:p w14:paraId="3DE895B0">
            <w:pPr>
              <w:pStyle w:val="29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4"/>
                <w:szCs w:val="24"/>
                <w:highlight w:val="none"/>
              </w:rPr>
            </w:pPr>
            <w:r>
              <w:rPr>
                <w:rFonts w:hint="default" w:ascii="Times New Roman" w:hAnsi="Times New Roman" w:eastAsia="MS Mincho" w:cs="Times New Roman"/>
                <w:color w:val="auto"/>
                <w:kern w:val="2"/>
                <w:sz w:val="24"/>
                <w:szCs w:val="24"/>
                <w:highlight w:val="none"/>
              </w:rPr>
              <w:t>☑</w:t>
            </w:r>
            <w:r>
              <w:rPr>
                <w:rFonts w:hint="default" w:ascii="Times New Roman" w:hAnsi="Times New Roman" w:eastAsia="宋体" w:cs="Times New Roman"/>
                <w:color w:val="auto"/>
                <w:kern w:val="2"/>
                <w:sz w:val="24"/>
                <w:szCs w:val="24"/>
                <w:highlight w:val="none"/>
              </w:rPr>
              <w:t>否</w:t>
            </w:r>
          </w:p>
          <w:p w14:paraId="7CBCFF03">
            <w:pPr>
              <w:pStyle w:val="295"/>
              <w:keepNext w:val="0"/>
              <w:keepLines w:val="0"/>
              <w:suppressLineNumbers w:val="0"/>
              <w:spacing w:before="0" w:beforeAutospacing="0" w:after="0" w:afterAutospacing="0"/>
              <w:ind w:left="0" w:right="0"/>
              <w:jc w:val="left"/>
              <w:rPr>
                <w:rFonts w:hint="default" w:ascii="Times New Roman" w:hAnsi="Times New Roman" w:cs="Times New Roman"/>
                <w:color w:val="auto"/>
                <w:kern w:val="2"/>
                <w:sz w:val="24"/>
                <w:szCs w:val="24"/>
                <w:highlight w:val="none"/>
                <w:lang w:eastAsia="zh-CN"/>
              </w:rPr>
            </w:pPr>
            <w:r>
              <w:rPr>
                <w:rFonts w:hint="eastAsia" w:ascii="Times New Roman" w:hAnsi="Times New Roman"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是：</w:t>
            </w:r>
            <w:r>
              <w:rPr>
                <w:rFonts w:hint="default" w:ascii="Times New Roman" w:hAnsi="Times New Roman" w:eastAsia="宋体" w:cs="Times New Roman"/>
                <w:color w:val="auto"/>
                <w:kern w:val="2"/>
                <w:sz w:val="24"/>
                <w:szCs w:val="24"/>
                <w:highlight w:val="none"/>
                <w:u w:val="single"/>
              </w:rPr>
              <w:t xml:space="preserve">      </w:t>
            </w:r>
          </w:p>
        </w:tc>
        <w:tc>
          <w:tcPr>
            <w:tcW w:w="1633" w:type="dxa"/>
            <w:noWrap w:val="0"/>
            <w:vAlign w:val="center"/>
          </w:tcPr>
          <w:p w14:paraId="0E70B722">
            <w:pPr>
              <w:pStyle w:val="295"/>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用地面积（</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kern w:val="2"/>
                <w:sz w:val="24"/>
                <w:szCs w:val="24"/>
                <w:highlight w:val="none"/>
              </w:rPr>
              <w:t>）</w:t>
            </w:r>
          </w:p>
        </w:tc>
        <w:tc>
          <w:tcPr>
            <w:tcW w:w="2633" w:type="dxa"/>
            <w:noWrap w:val="0"/>
            <w:vAlign w:val="center"/>
          </w:tcPr>
          <w:p w14:paraId="4EAEED59">
            <w:pPr>
              <w:pStyle w:val="295"/>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15761</w:t>
            </w:r>
          </w:p>
        </w:tc>
      </w:tr>
      <w:tr w14:paraId="772BD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0" w:type="dxa"/>
            <w:gridSpan w:val="2"/>
            <w:noWrap w:val="0"/>
            <w:vAlign w:val="center"/>
          </w:tcPr>
          <w:p w14:paraId="4B415B96">
            <w:pPr>
              <w:pStyle w:val="295"/>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highlight w:val="none"/>
              </w:rPr>
              <w:t>专项评价设置情况</w:t>
            </w:r>
          </w:p>
        </w:tc>
        <w:tc>
          <w:tcPr>
            <w:tcW w:w="6132" w:type="dxa"/>
            <w:gridSpan w:val="3"/>
            <w:noWrap w:val="0"/>
            <w:vAlign w:val="center"/>
          </w:tcPr>
          <w:p w14:paraId="455454C5">
            <w:pPr>
              <w:pStyle w:val="295"/>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无</w:t>
            </w:r>
          </w:p>
        </w:tc>
      </w:tr>
      <w:tr w14:paraId="388DB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jc w:val="center"/>
        </w:trPr>
        <w:tc>
          <w:tcPr>
            <w:tcW w:w="1270" w:type="dxa"/>
            <w:noWrap w:val="0"/>
            <w:vAlign w:val="center"/>
          </w:tcPr>
          <w:p w14:paraId="16D8B709">
            <w:pPr>
              <w:pStyle w:val="295"/>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规划情况</w:t>
            </w:r>
          </w:p>
        </w:tc>
        <w:tc>
          <w:tcPr>
            <w:tcW w:w="7252" w:type="dxa"/>
            <w:gridSpan w:val="4"/>
            <w:noWrap w:val="0"/>
            <w:vAlign w:val="center"/>
          </w:tcPr>
          <w:p w14:paraId="617340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color w:val="auto"/>
                <w:szCs w:val="22"/>
                <w:highlight w:val="none"/>
              </w:rPr>
            </w:pPr>
            <w:r>
              <w:rPr>
                <w:rFonts w:hint="default" w:ascii="Times New Roman" w:hAnsi="Times New Roman" w:eastAsia="宋体" w:cs="Times New Roman"/>
                <w:color w:val="auto"/>
                <w:kern w:val="0"/>
                <w:sz w:val="24"/>
                <w:szCs w:val="24"/>
                <w:highlight w:val="none"/>
                <w:lang w:val="en-US" w:eastAsia="zh-CN" w:bidi="ar"/>
              </w:rPr>
              <w:t>①</w:t>
            </w:r>
            <w:r>
              <w:rPr>
                <w:rFonts w:hint="eastAsia" w:cs="Times New Roman"/>
                <w:color w:val="auto"/>
                <w:kern w:val="0"/>
                <w:sz w:val="24"/>
                <w:szCs w:val="24"/>
                <w:highlight w:val="none"/>
                <w:lang w:val="en-US" w:eastAsia="zh-CN" w:bidi="ar"/>
              </w:rPr>
              <w:t>规划名称：</w:t>
            </w:r>
            <w:r>
              <w:rPr>
                <w:rFonts w:hint="default" w:ascii="Times New Roman" w:hAnsi="Times New Roman" w:eastAsia="宋体" w:cs="Times New Roman"/>
                <w:color w:val="auto"/>
                <w:kern w:val="0"/>
                <w:sz w:val="24"/>
                <w:szCs w:val="24"/>
                <w:highlight w:val="none"/>
                <w:lang w:val="en-US" w:eastAsia="zh-CN" w:bidi="ar"/>
              </w:rPr>
              <w:t xml:space="preserve">《安徽五河经济开发区总体发展规划（2012-2030年）》（修编） </w:t>
            </w:r>
          </w:p>
          <w:p w14:paraId="11E07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color w:val="auto"/>
                <w:szCs w:val="22"/>
                <w:highlight w:val="none"/>
              </w:rPr>
            </w:pPr>
            <w:r>
              <w:rPr>
                <w:rFonts w:hint="default" w:ascii="Times New Roman" w:hAnsi="Times New Roman" w:eastAsia="宋体" w:cs="Times New Roman"/>
                <w:color w:val="auto"/>
                <w:kern w:val="0"/>
                <w:sz w:val="24"/>
                <w:szCs w:val="24"/>
                <w:highlight w:val="none"/>
                <w:lang w:val="en-US" w:eastAsia="zh-CN" w:bidi="ar"/>
              </w:rPr>
              <w:t xml:space="preserve">②规划文件审查机关：安徽省人民政府 </w:t>
            </w:r>
          </w:p>
          <w:p w14:paraId="188D2D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color w:val="auto"/>
                <w:szCs w:val="22"/>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③规划文件审查文件名称及文号：</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安徽省人民政府同意安徽五河经济开发区调区的批复</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皖政秘〔2020〕249号文</w:t>
            </w:r>
            <w:r>
              <w:rPr>
                <w:rFonts w:hint="eastAsia" w:cs="Times New Roman"/>
                <w:color w:val="auto"/>
                <w:kern w:val="0"/>
                <w:sz w:val="24"/>
                <w:szCs w:val="24"/>
                <w:highlight w:val="none"/>
                <w:lang w:val="en-US" w:eastAsia="zh-CN" w:bidi="ar"/>
              </w:rPr>
              <w:t>）</w:t>
            </w:r>
          </w:p>
        </w:tc>
      </w:tr>
      <w:tr w14:paraId="2BED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0" w:type="dxa"/>
            <w:shd w:val="clear" w:color="auto" w:fill="auto"/>
            <w:noWrap w:val="0"/>
            <w:vAlign w:val="center"/>
          </w:tcPr>
          <w:p w14:paraId="3C1F6EA1">
            <w:pPr>
              <w:pStyle w:val="295"/>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rPr>
              <w:t>规划环境影响评价情况</w:t>
            </w:r>
          </w:p>
        </w:tc>
        <w:tc>
          <w:tcPr>
            <w:tcW w:w="7252" w:type="dxa"/>
            <w:gridSpan w:val="4"/>
            <w:shd w:val="clear" w:color="auto" w:fill="auto"/>
            <w:noWrap w:val="0"/>
            <w:vAlign w:val="center"/>
          </w:tcPr>
          <w:p w14:paraId="1C145E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color w:val="auto"/>
                <w:szCs w:val="22"/>
                <w:highlight w:val="none"/>
              </w:rPr>
            </w:pPr>
            <w:r>
              <w:rPr>
                <w:rFonts w:hint="default" w:ascii="Times New Roman" w:hAnsi="Times New Roman" w:eastAsia="宋体" w:cs="Times New Roman"/>
                <w:color w:val="auto"/>
                <w:kern w:val="0"/>
                <w:sz w:val="24"/>
                <w:szCs w:val="24"/>
                <w:highlight w:val="none"/>
                <w:lang w:val="en-US" w:eastAsia="zh-CN" w:bidi="ar"/>
              </w:rPr>
              <w:t xml:space="preserve">①规划环评文件名称：《安徽五河经济开发区总体发展规划（2012-2030）（修编）环境影响报告书》 </w:t>
            </w:r>
          </w:p>
          <w:p w14:paraId="0FB484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color w:val="auto"/>
                <w:szCs w:val="22"/>
                <w:highlight w:val="none"/>
              </w:rPr>
            </w:pPr>
            <w:r>
              <w:rPr>
                <w:rFonts w:hint="default" w:ascii="Times New Roman" w:hAnsi="Times New Roman" w:eastAsia="宋体" w:cs="Times New Roman"/>
                <w:color w:val="auto"/>
                <w:kern w:val="0"/>
                <w:sz w:val="24"/>
                <w:szCs w:val="24"/>
                <w:highlight w:val="none"/>
                <w:lang w:val="en-US" w:eastAsia="zh-CN" w:bidi="ar"/>
              </w:rPr>
              <w:t xml:space="preserve">②规划环评文件审查机关：安徽省生态环境厅 </w:t>
            </w:r>
          </w:p>
          <w:p w14:paraId="319021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color w:val="auto"/>
                <w:szCs w:val="22"/>
                <w:highlight w:val="none"/>
              </w:rPr>
            </w:pPr>
            <w:r>
              <w:rPr>
                <w:rFonts w:hint="default" w:ascii="Times New Roman" w:hAnsi="Times New Roman" w:eastAsia="宋体" w:cs="Times New Roman"/>
                <w:color w:val="auto"/>
                <w:kern w:val="0"/>
                <w:sz w:val="24"/>
                <w:szCs w:val="24"/>
                <w:highlight w:val="none"/>
                <w:lang w:val="en-US" w:eastAsia="zh-CN" w:bidi="ar"/>
              </w:rPr>
              <w:t xml:space="preserve">③规划环评文件审查文件名称及文号：《安徽省生态环境厅关于印发&lt;安徽五河经济开发区总体发展规划（2012-2030）（修编）环境影响报告书审查意见&gt;的函》（皖环函〔2020〕501号） </w:t>
            </w:r>
          </w:p>
          <w:p w14:paraId="095478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color w:val="auto"/>
                <w:szCs w:val="22"/>
                <w:highlight w:val="none"/>
              </w:rPr>
            </w:pPr>
            <w:r>
              <w:rPr>
                <w:rFonts w:hint="default" w:ascii="Times New Roman" w:hAnsi="Times New Roman" w:eastAsia="宋体" w:cs="Times New Roman"/>
                <w:color w:val="auto"/>
                <w:kern w:val="0"/>
                <w:sz w:val="24"/>
                <w:szCs w:val="24"/>
                <w:highlight w:val="none"/>
                <w:lang w:val="en-US" w:eastAsia="zh-CN" w:bidi="ar"/>
              </w:rPr>
              <w:t xml:space="preserve">④环境影响跟踪评价文件名称：《安徽五河经济开发区总体发展规划（2012-2030年）（修编）环境影响跟踪评价报告书》 </w:t>
            </w:r>
          </w:p>
          <w:p w14:paraId="369B0D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color w:val="auto"/>
                <w:szCs w:val="22"/>
                <w:highlight w:val="none"/>
              </w:rPr>
            </w:pPr>
            <w:r>
              <w:rPr>
                <w:rFonts w:hint="default" w:ascii="Times New Roman" w:hAnsi="Times New Roman" w:eastAsia="宋体" w:cs="Times New Roman"/>
                <w:color w:val="auto"/>
                <w:kern w:val="0"/>
                <w:sz w:val="24"/>
                <w:szCs w:val="24"/>
                <w:highlight w:val="none"/>
                <w:lang w:val="en-US" w:eastAsia="zh-CN" w:bidi="ar"/>
              </w:rPr>
              <w:t xml:space="preserve">⑤环境影响跟踪评价审查机关：蚌埠市生态环境局 </w:t>
            </w:r>
          </w:p>
          <w:p w14:paraId="3C841D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⑥环境影响跟踪评价审查文件名称及文号：《蚌埠市生态环境局关于印送&lt;安徽五河经济开发区总体发展规划（2012-2030年）（修编）环境影响跟踪评价报告书技术审核意见&gt;的函》（蚌环秘〔2023〕97号）</w:t>
            </w:r>
          </w:p>
        </w:tc>
      </w:tr>
      <w:tr w14:paraId="04ED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0" w:type="dxa"/>
            <w:noWrap w:val="0"/>
            <w:vAlign w:val="center"/>
          </w:tcPr>
          <w:p w14:paraId="4C25652B">
            <w:pPr>
              <w:pStyle w:val="295"/>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sz w:val="24"/>
                <w:szCs w:val="24"/>
                <w:highlight w:val="none"/>
              </w:rPr>
              <w:t>规划及规划环境</w:t>
            </w:r>
            <w:r>
              <w:rPr>
                <w:rFonts w:hint="default" w:ascii="Times New Roman" w:hAnsi="Times New Roman" w:eastAsia="宋体" w:cs="Times New Roman"/>
                <w:color w:val="auto"/>
                <w:kern w:val="2"/>
                <w:sz w:val="24"/>
                <w:szCs w:val="24"/>
                <w:highlight w:val="none"/>
              </w:rPr>
              <w:t>影响评价符合性分析</w:t>
            </w:r>
          </w:p>
        </w:tc>
        <w:tc>
          <w:tcPr>
            <w:tcW w:w="7252" w:type="dxa"/>
            <w:gridSpan w:val="4"/>
            <w:noWrap w:val="0"/>
            <w:vAlign w:val="center"/>
          </w:tcPr>
          <w:p w14:paraId="6BFAC9B5">
            <w:pPr>
              <w:keepNext w:val="0"/>
              <w:keepLines w:val="0"/>
              <w:pageBreakBefore w:val="0"/>
              <w:widowControl w:val="0"/>
              <w:numPr>
                <w:ilvl w:val="0"/>
                <w:numId w:val="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b/>
                <w:bCs/>
                <w:color w:val="auto"/>
                <w:sz w:val="24"/>
                <w:szCs w:val="24"/>
                <w:highlight w:val="none"/>
              </w:rPr>
              <w:t>与</w:t>
            </w:r>
            <w:r>
              <w:rPr>
                <w:rFonts w:hint="default" w:ascii="Times New Roman" w:hAnsi="Times New Roman" w:cs="Times New Roman"/>
                <w:b/>
                <w:bCs/>
                <w:color w:val="auto"/>
                <w:sz w:val="24"/>
                <w:szCs w:val="24"/>
                <w:highlight w:val="none"/>
                <w:lang w:val="en-US" w:eastAsia="zh-CN"/>
              </w:rPr>
              <w:t>规划</w:t>
            </w:r>
            <w:r>
              <w:rPr>
                <w:rFonts w:hint="default" w:ascii="Times New Roman" w:hAnsi="Times New Roman" w:cs="Times New Roman"/>
                <w:b/>
                <w:bCs/>
                <w:color w:val="auto"/>
                <w:sz w:val="24"/>
                <w:szCs w:val="24"/>
                <w:highlight w:val="none"/>
              </w:rPr>
              <w:t>相符性分析</w:t>
            </w:r>
          </w:p>
          <w:p w14:paraId="433DF723">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根据</w:t>
            </w:r>
            <w:r>
              <w:rPr>
                <w:rFonts w:hint="eastAsia" w:ascii="Times New Roman" w:hAnsi="Times New Roman" w:eastAsia="宋体" w:cs="Times New Roman"/>
                <w:color w:val="auto"/>
                <w:kern w:val="0"/>
                <w:sz w:val="24"/>
                <w:szCs w:val="24"/>
                <w:highlight w:val="none"/>
                <w:lang w:val="en-US" w:eastAsia="zh-CN" w:bidi="ar"/>
              </w:rPr>
              <w:t>《安徽五河经济开发区总体发展规划（2012-2030年）（修编）》，规划中与本项目相关的主要内容如下：</w:t>
            </w:r>
          </w:p>
          <w:p w14:paraId="403AA31A">
            <w:pPr>
              <w:keepNext w:val="0"/>
              <w:keepLines w:val="0"/>
              <w:pageBreakBefore w:val="0"/>
              <w:widowControl w:val="0"/>
              <w:numPr>
                <w:ilvl w:val="0"/>
                <w:numId w:val="3"/>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规划主导产业</w:t>
            </w:r>
          </w:p>
          <w:p w14:paraId="3CB57962">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安徽五河经济开发区的主导产业为纺织服装、机械制造、农产品加工业。 </w:t>
            </w:r>
          </w:p>
          <w:p w14:paraId="2444E9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（2）规划目标 </w:t>
            </w:r>
          </w:p>
          <w:p w14:paraId="260DA9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以科学发展观为统领，以推进皖江城市带承接产业转移示范区建设为契机，积极推进发展方式转变、东向发展战略和承接产业转移，努力提高对外开放水平，力争建设成为产业规模较大、产业特色突出、创新能力增强、创业活力显著、生态环境良好、城市功能齐全、社会和谐发展的工业园区。 </w:t>
            </w:r>
          </w:p>
          <w:p w14:paraId="0A2627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（3）产业空间组织 </w:t>
            </w:r>
          </w:p>
          <w:p w14:paraId="19B8FE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安徽五河经济开发区的建设是为产业发展提供空间载体，为未来产业的落实提供发展平台，五河经济开发区是一个功能相对完备的现代化产业园区，因此规划针对安徽五河经济开发区的不同产业发展门类需要，有机划分各门类产业发展空间，使门类相似及生产相关产业相对集中发展，更好的促进安徽五河经济开发区内产业发展。围绕总规及园区配套形成的功能相对独立、空间相对集聚、配套完善齐全的功能组团，包括纺织服装业组团、农产品加工业组团、机械制造业组团、综合配套组团。 </w:t>
            </w:r>
          </w:p>
          <w:p w14:paraId="520E54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纺织服装业组团：位于开发区东部，徐明高速以东。由五福路、惠民路、龙岗路、女山路、沱湖大道、南环线等围合的区域，总面积约485.0公顷，其中印染板块规划用地约37.1公顷。 </w:t>
            </w:r>
          </w:p>
          <w:p w14:paraId="00A7F5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农产品加工业组团：位于开发区西北部，由沱湖大道、兴漴路、头安路围合而成。总面积约80.5公顷。 </w:t>
            </w:r>
          </w:p>
          <w:p w14:paraId="414123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机械制造业组团：位于开发区西部，分为南北两块布局。北部由沱湖大道、兴漴路、徐明高速等围合的区域，面接约135公顷。南部由头安路、南环线、创业路等围合。面积约77.0公顷。 </w:t>
            </w:r>
          </w:p>
          <w:p w14:paraId="33F232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综合配套组团：分东西两个片区。东片位于安徽五河经济开发区东北部，毗邻县城，面积约307.9公顷。西片位于安徽五河经济开发区西部，面积约156.0公顷。 </w:t>
            </w:r>
          </w:p>
          <w:p w14:paraId="48F5F9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本项目选址位于五河县经济开发区工业五路中</w:t>
            </w:r>
            <w:r>
              <w:rPr>
                <w:rFonts w:hint="eastAsia" w:cs="Times New Roman"/>
                <w:color w:val="auto"/>
                <w:kern w:val="0"/>
                <w:sz w:val="24"/>
                <w:szCs w:val="24"/>
                <w:highlight w:val="none"/>
                <w:lang w:val="en-US" w:eastAsia="zh-CN" w:bidi="ar"/>
              </w:rPr>
              <w:t>段</w:t>
            </w:r>
            <w:r>
              <w:rPr>
                <w:rFonts w:hint="default" w:ascii="Times New Roman" w:hAnsi="Times New Roman" w:eastAsia="宋体" w:cs="Times New Roman"/>
                <w:color w:val="auto"/>
                <w:kern w:val="0"/>
                <w:sz w:val="24"/>
                <w:szCs w:val="24"/>
                <w:highlight w:val="none"/>
                <w:lang w:val="en-US" w:eastAsia="zh-CN" w:bidi="ar"/>
              </w:rPr>
              <w:t>南侧，属于纺织服装业组团规划范围内，根据土地证可知项目用地性质为工业用地，符合园区用地规划要求。</w:t>
            </w:r>
          </w:p>
          <w:p w14:paraId="7729BFA6">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default" w:ascii="Times New Roman" w:hAnsi="Times New Roman" w:cs="Times New Roman"/>
                <w:b/>
                <w:bCs/>
                <w:color w:val="auto"/>
                <w:kern w:val="0"/>
                <w:sz w:val="24"/>
                <w:szCs w:val="24"/>
                <w:highlight w:val="none"/>
                <w:lang w:val="en-US" w:eastAsia="zh-CN"/>
              </w:rPr>
            </w:pPr>
            <w:r>
              <w:rPr>
                <w:rFonts w:hint="default" w:ascii="Times New Roman" w:hAnsi="Times New Roman" w:cs="Times New Roman"/>
                <w:b/>
                <w:bCs/>
                <w:color w:val="auto"/>
                <w:kern w:val="0"/>
                <w:sz w:val="24"/>
                <w:szCs w:val="24"/>
                <w:highlight w:val="none"/>
                <w:lang w:val="en-US" w:eastAsia="zh-CN"/>
              </w:rPr>
              <w:t>与规划环评相符性分析</w:t>
            </w:r>
          </w:p>
          <w:p w14:paraId="5AE0CD0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（1）项</w:t>
            </w:r>
            <w:r>
              <w:rPr>
                <w:rFonts w:hint="eastAsia" w:ascii="Times New Roman" w:hAnsi="Times New Roman" w:eastAsia="宋体" w:cs="Times New Roman"/>
                <w:color w:val="auto"/>
                <w:kern w:val="0"/>
                <w:sz w:val="24"/>
                <w:szCs w:val="24"/>
                <w:highlight w:val="none"/>
                <w:lang w:val="en-US" w:eastAsia="zh-CN" w:bidi="ar"/>
              </w:rPr>
              <w:t>目与《安徽五河经济开发区总体发展规划（</w:t>
            </w:r>
            <w:r>
              <w:rPr>
                <w:rFonts w:hint="default" w:ascii="Times New Roman" w:hAnsi="Times New Roman" w:eastAsia="宋体" w:cs="Times New Roman"/>
                <w:color w:val="auto"/>
                <w:kern w:val="0"/>
                <w:sz w:val="24"/>
                <w:szCs w:val="24"/>
                <w:highlight w:val="none"/>
                <w:lang w:val="en-US" w:eastAsia="zh-CN" w:bidi="ar"/>
              </w:rPr>
              <w:t>2012-2030</w:t>
            </w:r>
            <w:r>
              <w:rPr>
                <w:rFonts w:hint="eastAsia" w:ascii="Times New Roman" w:hAnsi="Times New Roman" w:eastAsia="宋体" w:cs="Times New Roman"/>
                <w:color w:val="auto"/>
                <w:kern w:val="0"/>
                <w:sz w:val="24"/>
                <w:szCs w:val="24"/>
                <w:highlight w:val="none"/>
                <w:lang w:val="en-US" w:eastAsia="zh-CN" w:bidi="ar"/>
              </w:rPr>
              <w:t>）（修编）环境影响报告书》及审查意见（皖环函〔</w:t>
            </w:r>
            <w:r>
              <w:rPr>
                <w:rFonts w:hint="default" w:ascii="Times New Roman" w:hAnsi="Times New Roman" w:eastAsia="宋体" w:cs="Times New Roman"/>
                <w:color w:val="auto"/>
                <w:kern w:val="0"/>
                <w:sz w:val="24"/>
                <w:szCs w:val="24"/>
                <w:highlight w:val="none"/>
                <w:lang w:val="en-US" w:eastAsia="zh-CN" w:bidi="ar"/>
              </w:rPr>
              <w:t>2020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501</w:t>
            </w:r>
            <w:r>
              <w:rPr>
                <w:rFonts w:hint="eastAsia" w:ascii="Times New Roman" w:hAnsi="Times New Roman" w:eastAsia="宋体" w:cs="Times New Roman"/>
                <w:color w:val="auto"/>
                <w:kern w:val="0"/>
                <w:sz w:val="24"/>
                <w:szCs w:val="24"/>
                <w:highlight w:val="none"/>
                <w:lang w:val="en-US" w:eastAsia="zh-CN" w:bidi="ar"/>
              </w:rPr>
              <w:t>号）符合性分析如下</w:t>
            </w:r>
            <w:r>
              <w:rPr>
                <w:rFonts w:hint="default" w:ascii="Times New Roman" w:hAnsi="Times New Roman" w:eastAsia="宋体" w:cs="Times New Roman"/>
                <w:color w:val="auto"/>
                <w:kern w:val="0"/>
                <w:sz w:val="24"/>
                <w:szCs w:val="24"/>
                <w:highlight w:val="none"/>
                <w:lang w:val="en-US" w:eastAsia="zh-CN" w:bidi="ar"/>
              </w:rPr>
              <w:t>：</w:t>
            </w:r>
          </w:p>
          <w:p w14:paraId="2ABF4C5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color w:val="auto"/>
                <w:sz w:val="21"/>
                <w:szCs w:val="21"/>
                <w:highlight w:val="none"/>
                <w:lang w:eastAsia="zh-CN"/>
              </w:rPr>
              <w:t>表1-</w:t>
            </w:r>
            <w:r>
              <w:rPr>
                <w:rFonts w:hint="default" w:ascii="Times New Roman" w:hAnsi="Times New Roman" w:cs="Times New Roman"/>
                <w:b/>
                <w:color w:val="auto"/>
                <w:sz w:val="21"/>
                <w:szCs w:val="21"/>
                <w:highlight w:val="none"/>
                <w:lang w:val="en-US" w:eastAsia="zh-CN"/>
              </w:rPr>
              <w:t>1</w:t>
            </w:r>
            <w:r>
              <w:rPr>
                <w:rFonts w:hint="default" w:ascii="Times New Roman" w:hAnsi="Times New Roman" w:eastAsia="宋体" w:cs="Times New Roman"/>
                <w:b/>
                <w:color w:val="auto"/>
                <w:sz w:val="21"/>
                <w:szCs w:val="21"/>
                <w:highlight w:val="none"/>
                <w:lang w:val="en-US" w:eastAsia="zh-CN"/>
              </w:rPr>
              <w:t xml:space="preserve">  </w:t>
            </w:r>
            <w:r>
              <w:rPr>
                <w:rFonts w:hint="eastAsia" w:ascii="Times New Roman" w:hAnsi="Times New Roman" w:cs="Times New Roman"/>
                <w:b/>
                <w:color w:val="auto"/>
                <w:sz w:val="21"/>
                <w:szCs w:val="21"/>
                <w:highlight w:val="none"/>
                <w:lang w:val="en-US" w:eastAsia="zh-CN"/>
              </w:rPr>
              <w:t>项目</w:t>
            </w:r>
            <w:r>
              <w:rPr>
                <w:rFonts w:hint="default" w:ascii="Times New Roman" w:hAnsi="Times New Roman" w:eastAsia="宋体" w:cs="Times New Roman"/>
                <w:b/>
                <w:color w:val="auto"/>
                <w:sz w:val="21"/>
                <w:szCs w:val="21"/>
                <w:highlight w:val="none"/>
                <w:lang w:eastAsia="zh-CN"/>
              </w:rPr>
              <w:t>与</w:t>
            </w:r>
            <w:r>
              <w:rPr>
                <w:rFonts w:hint="default" w:ascii="Times New Roman" w:hAnsi="Times New Roman" w:cs="Times New Roman"/>
                <w:b/>
                <w:color w:val="auto"/>
                <w:sz w:val="21"/>
                <w:szCs w:val="21"/>
                <w:highlight w:val="none"/>
                <w:lang w:val="en-US" w:eastAsia="zh-CN"/>
              </w:rPr>
              <w:t>规划环评</w:t>
            </w:r>
            <w:r>
              <w:rPr>
                <w:rFonts w:hint="default" w:ascii="Times New Roman" w:hAnsi="Times New Roman" w:eastAsia="宋体" w:cs="Times New Roman"/>
                <w:b/>
                <w:color w:val="auto"/>
                <w:sz w:val="21"/>
                <w:szCs w:val="21"/>
                <w:highlight w:val="none"/>
                <w:lang w:val="en-US" w:eastAsia="zh-CN"/>
              </w:rPr>
              <w:t>相符性分析</w:t>
            </w:r>
          </w:p>
          <w:tbl>
            <w:tblPr>
              <w:tblStyle w:val="3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2"/>
              <w:gridCol w:w="2467"/>
              <w:gridCol w:w="739"/>
              <w:gridCol w:w="7"/>
            </w:tblGrid>
            <w:tr w14:paraId="75CA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340" w:hRule="atLeast"/>
                <w:jc w:val="center"/>
              </w:trPr>
              <w:tc>
                <w:tcPr>
                  <w:tcW w:w="2712" w:type="pct"/>
                  <w:noWrap w:val="0"/>
                  <w:vAlign w:val="center"/>
                </w:tcPr>
                <w:p w14:paraId="4DE62503">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规划环评</w:t>
                  </w:r>
                  <w:r>
                    <w:rPr>
                      <w:rFonts w:hint="eastAsia" w:ascii="Times New Roman" w:cs="Times New Roman"/>
                      <w:b/>
                      <w:bCs w:val="0"/>
                      <w:color w:val="auto"/>
                      <w:sz w:val="21"/>
                      <w:szCs w:val="21"/>
                      <w:highlight w:val="none"/>
                      <w:lang w:val="en-US" w:eastAsia="zh-CN"/>
                    </w:rPr>
                    <w:t>（摘录）</w:t>
                  </w:r>
                  <w:r>
                    <w:rPr>
                      <w:rFonts w:hint="eastAsia"/>
                      <w:color w:val="auto"/>
                      <w:highlight w:val="none"/>
                      <w:lang w:val="en-US" w:eastAsia="zh-CN"/>
                    </w:rPr>
                    <w:t xml:space="preserve"> </w:t>
                  </w:r>
                </w:p>
              </w:tc>
              <w:tc>
                <w:tcPr>
                  <w:tcW w:w="1755" w:type="pct"/>
                  <w:noWrap w:val="0"/>
                  <w:vAlign w:val="center"/>
                </w:tcPr>
                <w:p w14:paraId="7B9C3FB5">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本项目情况</w:t>
                  </w:r>
                </w:p>
              </w:tc>
              <w:tc>
                <w:tcPr>
                  <w:tcW w:w="526" w:type="pct"/>
                  <w:noWrap w:val="0"/>
                  <w:vAlign w:val="center"/>
                </w:tcPr>
                <w:p w14:paraId="696B9016">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相符性</w:t>
                  </w:r>
                </w:p>
              </w:tc>
            </w:tr>
            <w:tr w14:paraId="0D4F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noWrap w:val="0"/>
                  <w:vAlign w:val="center"/>
                </w:tcPr>
                <w:p w14:paraId="36C360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VOCs</w:t>
                  </w:r>
                  <w:r>
                    <w:rPr>
                      <w:rFonts w:hint="eastAsia" w:ascii="宋体" w:hAnsi="宋体" w:eastAsia="宋体" w:cs="宋体"/>
                      <w:color w:val="auto"/>
                      <w:kern w:val="0"/>
                      <w:sz w:val="21"/>
                      <w:szCs w:val="21"/>
                      <w:highlight w:val="none"/>
                      <w:lang w:val="en-US" w:eastAsia="zh-CN" w:bidi="ar"/>
                    </w:rPr>
                    <w:t>排放类项目建设要求：把</w:t>
                  </w:r>
                  <w:r>
                    <w:rPr>
                      <w:rFonts w:hint="default" w:ascii="Times New Roman" w:hAnsi="Times New Roman" w:eastAsia="宋体" w:cs="Times New Roman"/>
                      <w:color w:val="auto"/>
                      <w:kern w:val="0"/>
                      <w:sz w:val="21"/>
                      <w:szCs w:val="21"/>
                      <w:highlight w:val="none"/>
                      <w:lang w:val="en-US" w:eastAsia="zh-CN" w:bidi="ar"/>
                    </w:rPr>
                    <w:t xml:space="preserve">VOCs </w:t>
                  </w:r>
                  <w:r>
                    <w:rPr>
                      <w:rFonts w:hint="eastAsia" w:ascii="宋体" w:hAnsi="宋体" w:eastAsia="宋体" w:cs="宋体"/>
                      <w:color w:val="auto"/>
                      <w:kern w:val="0"/>
                      <w:sz w:val="21"/>
                      <w:szCs w:val="21"/>
                      <w:highlight w:val="none"/>
                      <w:lang w:val="en-US" w:eastAsia="zh-CN" w:bidi="ar"/>
                    </w:rPr>
                    <w:t>污染控制作为重点行业建设项目环境影响评价的重要内容，针对新引进产生</w:t>
                  </w:r>
                  <w:r>
                    <w:rPr>
                      <w:rFonts w:hint="default" w:ascii="Times New Roman" w:hAnsi="Times New Roman" w:eastAsia="宋体" w:cs="Times New Roman"/>
                      <w:color w:val="auto"/>
                      <w:kern w:val="0"/>
                      <w:sz w:val="21"/>
                      <w:szCs w:val="21"/>
                      <w:highlight w:val="none"/>
                      <w:lang w:val="en-US" w:eastAsia="zh-CN" w:bidi="ar"/>
                    </w:rPr>
                    <w:t>VOCs</w:t>
                  </w:r>
                  <w:r>
                    <w:rPr>
                      <w:rFonts w:hint="eastAsia" w:ascii="宋体" w:hAnsi="宋体" w:eastAsia="宋体" w:cs="宋体"/>
                      <w:color w:val="auto"/>
                      <w:kern w:val="0"/>
                      <w:sz w:val="21"/>
                      <w:szCs w:val="21"/>
                      <w:highlight w:val="none"/>
                      <w:lang w:val="en-US" w:eastAsia="zh-CN" w:bidi="ar"/>
                    </w:rPr>
                    <w:t>项目，特别是印染项目，应提升企业的装备水平，针对有</w:t>
                  </w:r>
                  <w:r>
                    <w:rPr>
                      <w:rFonts w:hint="default" w:ascii="Times New Roman" w:hAnsi="Times New Roman" w:eastAsia="宋体" w:cs="Times New Roman"/>
                      <w:color w:val="auto"/>
                      <w:kern w:val="0"/>
                      <w:sz w:val="21"/>
                      <w:szCs w:val="21"/>
                      <w:highlight w:val="none"/>
                      <w:lang w:val="en-US" w:eastAsia="zh-CN" w:bidi="ar"/>
                    </w:rPr>
                    <w:t>VOCs</w:t>
                  </w:r>
                  <w:r>
                    <w:rPr>
                      <w:rFonts w:hint="eastAsia" w:ascii="宋体" w:hAnsi="宋体" w:eastAsia="宋体" w:cs="宋体"/>
                      <w:color w:val="auto"/>
                      <w:kern w:val="0"/>
                      <w:sz w:val="21"/>
                      <w:szCs w:val="21"/>
                      <w:highlight w:val="none"/>
                      <w:lang w:val="en-US" w:eastAsia="zh-CN" w:bidi="ar"/>
                    </w:rPr>
                    <w:t>挥发的原料、中间产品与成品应密封储存；排放</w:t>
                  </w:r>
                  <w:r>
                    <w:rPr>
                      <w:rFonts w:hint="default" w:ascii="Times New Roman" w:hAnsi="Times New Roman" w:eastAsia="宋体" w:cs="Times New Roman"/>
                      <w:color w:val="auto"/>
                      <w:kern w:val="0"/>
                      <w:sz w:val="21"/>
                      <w:szCs w:val="21"/>
                      <w:highlight w:val="none"/>
                      <w:lang w:val="en-US" w:eastAsia="zh-CN" w:bidi="ar"/>
                    </w:rPr>
                    <w:t>VOCs</w:t>
                  </w:r>
                  <w:r>
                    <w:rPr>
                      <w:rFonts w:hint="eastAsia" w:ascii="宋体" w:hAnsi="宋体" w:eastAsia="宋体" w:cs="宋体"/>
                      <w:color w:val="auto"/>
                      <w:kern w:val="0"/>
                      <w:sz w:val="21"/>
                      <w:szCs w:val="21"/>
                      <w:highlight w:val="none"/>
                      <w:lang w:val="en-US" w:eastAsia="zh-CN" w:bidi="ar"/>
                    </w:rPr>
                    <w:t>的生产工序应在密闭空间或设备中实施，产生的</w:t>
                  </w:r>
                  <w:r>
                    <w:rPr>
                      <w:rFonts w:hint="default" w:ascii="Times New Roman" w:hAnsi="Times New Roman" w:eastAsia="宋体" w:cs="Times New Roman"/>
                      <w:color w:val="auto"/>
                      <w:kern w:val="0"/>
                      <w:sz w:val="21"/>
                      <w:szCs w:val="21"/>
                      <w:highlight w:val="none"/>
                      <w:lang w:val="en-US" w:eastAsia="zh-CN" w:bidi="ar"/>
                    </w:rPr>
                    <w:t>VOCs</w:t>
                  </w:r>
                  <w:r>
                    <w:rPr>
                      <w:rFonts w:hint="eastAsia" w:ascii="宋体" w:hAnsi="宋体" w:eastAsia="宋体" w:cs="宋体"/>
                      <w:color w:val="auto"/>
                      <w:kern w:val="0"/>
                      <w:sz w:val="21"/>
                      <w:szCs w:val="21"/>
                      <w:highlight w:val="none"/>
                      <w:lang w:val="en-US" w:eastAsia="zh-CN" w:bidi="ar"/>
                    </w:rPr>
                    <w:t>集中收集净化处理，在日常运行过程中，做好废气净化设施的维护保养，确保净化效率达到环保要求。</w:t>
                  </w:r>
                </w:p>
              </w:tc>
              <w:tc>
                <w:tcPr>
                  <w:tcW w:w="1755" w:type="pct"/>
                  <w:noWrap w:val="0"/>
                  <w:vAlign w:val="center"/>
                </w:tcPr>
                <w:p w14:paraId="4ADE776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本项目涉及</w:t>
                  </w:r>
                  <w:r>
                    <w:rPr>
                      <w:rFonts w:hint="default" w:ascii="Times New Roman" w:hAnsi="Times New Roman" w:eastAsia="宋体" w:cs="Times New Roman"/>
                      <w:color w:val="auto"/>
                      <w:kern w:val="0"/>
                      <w:sz w:val="21"/>
                      <w:szCs w:val="21"/>
                      <w:highlight w:val="none"/>
                      <w:lang w:val="en-US" w:eastAsia="zh-CN" w:bidi="ar"/>
                    </w:rPr>
                    <w:t>VOCs</w:t>
                  </w:r>
                  <w:r>
                    <w:rPr>
                      <w:rFonts w:hint="eastAsia" w:ascii="宋体" w:hAnsi="宋体" w:eastAsia="宋体" w:cs="宋体"/>
                      <w:color w:val="auto"/>
                      <w:kern w:val="0"/>
                      <w:sz w:val="21"/>
                      <w:szCs w:val="21"/>
                      <w:highlight w:val="none"/>
                      <w:lang w:val="en-US" w:eastAsia="zh-CN" w:bidi="ar"/>
                    </w:rPr>
                    <w:t>挥发的原料主要为聚氨酯原液和脱模剂，均为密闭桶装，存放</w:t>
                  </w:r>
                  <w:r>
                    <w:rPr>
                      <w:rFonts w:hint="eastAsia" w:ascii="宋体" w:hAnsi="宋体" w:cs="宋体"/>
                      <w:color w:val="auto"/>
                      <w:kern w:val="0"/>
                      <w:sz w:val="21"/>
                      <w:szCs w:val="21"/>
                      <w:highlight w:val="none"/>
                      <w:lang w:val="en-US" w:eastAsia="zh-CN" w:bidi="ar"/>
                    </w:rPr>
                    <w:t>于</w:t>
                  </w:r>
                  <w:r>
                    <w:rPr>
                      <w:rFonts w:hint="eastAsia" w:ascii="宋体" w:hAnsi="宋体" w:eastAsia="宋体" w:cs="宋体"/>
                      <w:color w:val="auto"/>
                      <w:kern w:val="0"/>
                      <w:sz w:val="21"/>
                      <w:szCs w:val="21"/>
                      <w:highlight w:val="none"/>
                      <w:lang w:val="en-US" w:eastAsia="zh-CN" w:bidi="ar"/>
                    </w:rPr>
                    <w:t>化学品库内，产生的</w:t>
                  </w:r>
                  <w:r>
                    <w:rPr>
                      <w:rFonts w:hint="default" w:ascii="Times New Roman" w:hAnsi="Times New Roman" w:eastAsia="宋体" w:cs="Times New Roman"/>
                      <w:color w:val="auto"/>
                      <w:kern w:val="0"/>
                      <w:sz w:val="21"/>
                      <w:szCs w:val="21"/>
                      <w:highlight w:val="none"/>
                      <w:lang w:val="en-US" w:eastAsia="zh-CN" w:bidi="ar"/>
                    </w:rPr>
                    <w:t>VOCs</w:t>
                  </w:r>
                  <w:r>
                    <w:rPr>
                      <w:rFonts w:hint="eastAsia" w:ascii="宋体" w:hAnsi="宋体" w:eastAsia="宋体" w:cs="宋体"/>
                      <w:color w:val="auto"/>
                      <w:kern w:val="0"/>
                      <w:sz w:val="21"/>
                      <w:szCs w:val="21"/>
                      <w:highlight w:val="none"/>
                      <w:lang w:val="en-US" w:eastAsia="zh-CN" w:bidi="ar"/>
                    </w:rPr>
                    <w:t>废气收集后通过活性炭吸附处理，日常运行过程中，建设单位须定期更换活性炭等，保证净化效率达到环保要求。</w:t>
                  </w:r>
                </w:p>
              </w:tc>
              <w:tc>
                <w:tcPr>
                  <w:tcW w:w="531" w:type="pct"/>
                  <w:gridSpan w:val="2"/>
                  <w:noWrap w:val="0"/>
                  <w:vAlign w:val="center"/>
                </w:tcPr>
                <w:p w14:paraId="45E02FDC">
                  <w:pPr>
                    <w:keepNext w:val="0"/>
                    <w:keepLines w:val="0"/>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符合</w:t>
                  </w:r>
                </w:p>
              </w:tc>
            </w:tr>
            <w:tr w14:paraId="7D07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3" w:hRule="atLeast"/>
                <w:jc w:val="center"/>
              </w:trPr>
              <w:tc>
                <w:tcPr>
                  <w:tcW w:w="2712" w:type="pct"/>
                  <w:noWrap w:val="0"/>
                  <w:vAlign w:val="center"/>
                </w:tcPr>
                <w:p w14:paraId="5369C9A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eastAsia" w:ascii="宋体" w:hAnsi="宋体" w:eastAsia="宋体" w:cs="宋体"/>
                      <w:color w:val="auto"/>
                      <w:kern w:val="0"/>
                      <w:sz w:val="21"/>
                      <w:szCs w:val="21"/>
                      <w:highlight w:val="none"/>
                      <w:lang w:val="en-US" w:eastAsia="zh-CN" w:bidi="ar"/>
                    </w:rPr>
                    <w:t>环境风险控制要求：由于开发区紧邻淮河岸线，区内规划还有配套区域，区域环境较敏感，要求开发区严格控制引入构成重大危险源、生产或使用剧毒化学品项目。 区内新增或改扩建存在环境风险的项目，在建设项目环评阶段须重点开展环境风险评价，与项目周边环境敏感目标之前控制合理的风险控制距离，提出并落实风险防范措施及应急联动要求，编制应急预案，并与开发区的应急预案联动，在开发区进行环境风险源、应急设备、物资等的备案。</w:t>
                  </w:r>
                </w:p>
              </w:tc>
              <w:tc>
                <w:tcPr>
                  <w:tcW w:w="1755" w:type="pct"/>
                  <w:noWrap w:val="0"/>
                  <w:vAlign w:val="center"/>
                </w:tcPr>
                <w:p w14:paraId="08AC81D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本项目不涉及生产或使用剧毒化学品，不会构成重大危险源，环评阶段已开展环境风险评价，要求建设单位落实风险防范措施及应急联动要求，编制应急预案等。</w:t>
                  </w:r>
                </w:p>
              </w:tc>
              <w:tc>
                <w:tcPr>
                  <w:tcW w:w="531" w:type="pct"/>
                  <w:gridSpan w:val="2"/>
                  <w:noWrap w:val="0"/>
                  <w:vAlign w:val="center"/>
                </w:tcPr>
                <w:p w14:paraId="7A1C9EF9">
                  <w:pPr>
                    <w:keepNext w:val="0"/>
                    <w:keepLines w:val="0"/>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符合</w:t>
                  </w:r>
                </w:p>
              </w:tc>
            </w:tr>
            <w:tr w14:paraId="7E56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noWrap w:val="0"/>
                  <w:vAlign w:val="center"/>
                </w:tcPr>
                <w:p w14:paraId="0030078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eastAsia" w:ascii="宋体" w:hAnsi="宋体" w:eastAsia="宋体" w:cs="宋体"/>
                      <w:color w:val="auto"/>
                      <w:kern w:val="0"/>
                      <w:sz w:val="21"/>
                      <w:szCs w:val="21"/>
                      <w:highlight w:val="none"/>
                      <w:lang w:val="en-US" w:eastAsia="zh-CN" w:bidi="ar"/>
                    </w:rPr>
                    <w:t>资源能源消耗指标要求：引进项目的能源、水资源消耗水平应低于《国家生态工业示范园区标准》（</w:t>
                  </w:r>
                  <w:r>
                    <w:rPr>
                      <w:rFonts w:hint="default" w:ascii="Times New Roman" w:hAnsi="Times New Roman" w:eastAsia="宋体" w:cs="Times New Roman"/>
                      <w:color w:val="auto"/>
                      <w:kern w:val="0"/>
                      <w:sz w:val="21"/>
                      <w:szCs w:val="21"/>
                      <w:highlight w:val="none"/>
                      <w:lang w:val="en-US" w:eastAsia="zh-CN" w:bidi="ar"/>
                    </w:rPr>
                    <w:t>HJ274-2015</w:t>
                  </w:r>
                  <w:r>
                    <w:rPr>
                      <w:rFonts w:hint="eastAsia" w:ascii="宋体" w:hAnsi="宋体" w:eastAsia="宋体" w:cs="宋体"/>
                      <w:color w:val="auto"/>
                      <w:kern w:val="0"/>
                      <w:sz w:val="21"/>
                      <w:szCs w:val="21"/>
                      <w:highlight w:val="none"/>
                      <w:lang w:val="en-US" w:eastAsia="zh-CN" w:bidi="ar"/>
                    </w:rPr>
                    <w:t>）中相应指标要求；引进项目必须使用清洁能源。</w:t>
                  </w:r>
                </w:p>
              </w:tc>
              <w:tc>
                <w:tcPr>
                  <w:tcW w:w="1755" w:type="pct"/>
                  <w:noWrap w:val="0"/>
                  <w:vAlign w:val="center"/>
                </w:tcPr>
                <w:p w14:paraId="5474AAD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本项目使用的能源为电能，为清洁能源。</w:t>
                  </w:r>
                </w:p>
              </w:tc>
              <w:tc>
                <w:tcPr>
                  <w:tcW w:w="531" w:type="pct"/>
                  <w:gridSpan w:val="2"/>
                  <w:noWrap w:val="0"/>
                  <w:vAlign w:val="center"/>
                </w:tcPr>
                <w:p w14:paraId="4B7C7029">
                  <w:pPr>
                    <w:keepNext w:val="0"/>
                    <w:keepLines w:val="0"/>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符合</w:t>
                  </w:r>
                </w:p>
              </w:tc>
            </w:tr>
          </w:tbl>
          <w:p w14:paraId="5D255F14">
            <w:pPr>
              <w:keepNext w:val="0"/>
              <w:keepLines w:val="0"/>
              <w:pageBreakBefore w:val="0"/>
              <w:widowControl w:val="0"/>
              <w:suppressLineNumbers w:val="0"/>
              <w:kinsoku/>
              <w:wordWrap/>
              <w:overflowPunct/>
              <w:topLinePunct w:val="0"/>
              <w:autoSpaceDE w:val="0"/>
              <w:autoSpaceDN w:val="0"/>
              <w:bidi w:val="0"/>
              <w:adjustRightInd w:val="0"/>
              <w:snapToGrid/>
              <w:spacing w:before="157" w:beforeLines="50" w:beforeAutospacing="0" w:after="0" w:afterAutospacing="0"/>
              <w:ind w:left="0" w:right="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color w:val="auto"/>
                <w:sz w:val="21"/>
                <w:szCs w:val="21"/>
                <w:highlight w:val="none"/>
                <w:lang w:eastAsia="zh-CN"/>
              </w:rPr>
              <w:t>表1-</w:t>
            </w:r>
            <w:r>
              <w:rPr>
                <w:rFonts w:hint="eastAsia"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lang w:val="en-US" w:eastAsia="zh-CN"/>
              </w:rPr>
              <w:t xml:space="preserve">  </w:t>
            </w:r>
            <w:r>
              <w:rPr>
                <w:rFonts w:hint="eastAsia" w:ascii="Times New Roman" w:hAnsi="Times New Roman" w:cs="Times New Roman"/>
                <w:b/>
                <w:color w:val="auto"/>
                <w:sz w:val="21"/>
                <w:szCs w:val="21"/>
                <w:highlight w:val="none"/>
                <w:lang w:val="en-US" w:eastAsia="zh-CN"/>
              </w:rPr>
              <w:t>项目</w:t>
            </w:r>
            <w:r>
              <w:rPr>
                <w:rFonts w:hint="default" w:ascii="Times New Roman" w:hAnsi="Times New Roman" w:eastAsia="宋体" w:cs="Times New Roman"/>
                <w:b/>
                <w:color w:val="auto"/>
                <w:sz w:val="21"/>
                <w:szCs w:val="21"/>
                <w:highlight w:val="none"/>
                <w:lang w:eastAsia="zh-CN"/>
              </w:rPr>
              <w:t>与</w:t>
            </w:r>
            <w:r>
              <w:rPr>
                <w:rFonts w:hint="default" w:ascii="Times New Roman" w:hAnsi="Times New Roman" w:cs="Times New Roman"/>
                <w:b/>
                <w:color w:val="auto"/>
                <w:sz w:val="21"/>
                <w:szCs w:val="21"/>
                <w:highlight w:val="none"/>
                <w:lang w:val="en-US" w:eastAsia="zh-CN"/>
              </w:rPr>
              <w:t>规划环评</w:t>
            </w:r>
            <w:r>
              <w:rPr>
                <w:rFonts w:hint="eastAsia" w:cs="Times New Roman"/>
                <w:b/>
                <w:color w:val="auto"/>
                <w:sz w:val="21"/>
                <w:szCs w:val="21"/>
                <w:highlight w:val="none"/>
                <w:lang w:val="en-US" w:eastAsia="zh-CN"/>
              </w:rPr>
              <w:t>审查意见</w:t>
            </w:r>
            <w:r>
              <w:rPr>
                <w:rFonts w:hint="default" w:ascii="Times New Roman" w:hAnsi="Times New Roman" w:eastAsia="宋体" w:cs="Times New Roman"/>
                <w:b/>
                <w:color w:val="auto"/>
                <w:sz w:val="21"/>
                <w:szCs w:val="21"/>
                <w:highlight w:val="none"/>
                <w:lang w:val="en-US" w:eastAsia="zh-CN"/>
              </w:rPr>
              <w:t>相符性分析</w:t>
            </w:r>
          </w:p>
          <w:tbl>
            <w:tblPr>
              <w:tblStyle w:val="3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1"/>
              <w:gridCol w:w="2345"/>
              <w:gridCol w:w="730"/>
              <w:gridCol w:w="9"/>
            </w:tblGrid>
            <w:tr w14:paraId="17A9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340" w:hRule="atLeast"/>
                <w:jc w:val="center"/>
              </w:trPr>
              <w:tc>
                <w:tcPr>
                  <w:tcW w:w="2805" w:type="pct"/>
                  <w:noWrap w:val="0"/>
                  <w:vAlign w:val="center"/>
                </w:tcPr>
                <w:p w14:paraId="00B113DB">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规划环评</w:t>
                  </w:r>
                  <w:r>
                    <w:rPr>
                      <w:rFonts w:hint="eastAsia" w:ascii="Times New Roman" w:cs="Times New Roman"/>
                      <w:b/>
                      <w:bCs w:val="0"/>
                      <w:color w:val="auto"/>
                      <w:sz w:val="21"/>
                      <w:szCs w:val="21"/>
                      <w:highlight w:val="none"/>
                      <w:lang w:val="en-US" w:eastAsia="zh-CN"/>
                    </w:rPr>
                    <w:t>审查意见（摘录）</w:t>
                  </w:r>
                </w:p>
              </w:tc>
              <w:tc>
                <w:tcPr>
                  <w:tcW w:w="1668" w:type="pct"/>
                  <w:noWrap w:val="0"/>
                  <w:vAlign w:val="center"/>
                </w:tcPr>
                <w:p w14:paraId="04ACC140">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本项目情况</w:t>
                  </w:r>
                </w:p>
              </w:tc>
              <w:tc>
                <w:tcPr>
                  <w:tcW w:w="519" w:type="pct"/>
                  <w:noWrap w:val="0"/>
                  <w:vAlign w:val="center"/>
                </w:tcPr>
                <w:p w14:paraId="73C6C19A">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相符性</w:t>
                  </w:r>
                </w:p>
              </w:tc>
            </w:tr>
            <w:tr w14:paraId="728A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5" w:type="pct"/>
                  <w:noWrap w:val="0"/>
                  <w:vAlign w:val="center"/>
                </w:tcPr>
                <w:p w14:paraId="174057E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加强《规划》引领，坚持绿色协调发展。开发区位于淮河干流沿岸，应坚持生态优先、高效集约发展。《规划》应与《淮河流域水污染防治暂行条例》《安徽省淮河流域水污染防治条例》《安徽省饮用水水源环境保护条例》等相符合，统筹与五河县国土空间规划的衔接。加强《规划》与《安徽省关于全面打造水清岸绿产业优美丽长江（安徽）经济带的实施意见》、安徽省污染防治攻坚战行动方案、省市“三线一单”的协调衔接。按照省政府对开发区的批复要求和最新生态环境管理要求，着力推进开发区产业转型升级和结构优化。对现有不符合开发区发展定位、国土空间规划和生态环境保护要求的企业应逐步升级改造或搬迁、淘汰，确保产业发展与区域生态环境保护、人居环境质量保障相协调。</w:t>
                  </w:r>
                </w:p>
              </w:tc>
              <w:tc>
                <w:tcPr>
                  <w:tcW w:w="1668" w:type="pct"/>
                  <w:noWrap w:val="0"/>
                  <w:vAlign w:val="center"/>
                </w:tcPr>
                <w:p w14:paraId="17F68177">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本项目C1953塑料鞋制造</w:t>
                  </w:r>
                  <w:r>
                    <w:rPr>
                      <w:color w:val="auto"/>
                      <w:sz w:val="21"/>
                      <w:szCs w:val="21"/>
                      <w:highlight w:val="none"/>
                    </w:rPr>
                    <w:t>符合产业政策和清洁生产要求</w:t>
                  </w:r>
                  <w:r>
                    <w:rPr>
                      <w:rFonts w:hint="eastAsia"/>
                      <w:color w:val="auto"/>
                      <w:sz w:val="21"/>
                      <w:szCs w:val="21"/>
                      <w:highlight w:val="none"/>
                      <w:lang w:val="en-US" w:eastAsia="zh-CN"/>
                    </w:rPr>
                    <w:t>，属于</w:t>
                  </w:r>
                  <w:r>
                    <w:rPr>
                      <w:rFonts w:hint="default" w:ascii="Times New Roman" w:hAnsi="Times New Roman" w:eastAsia="宋体" w:cs="Times New Roman"/>
                      <w:color w:val="auto"/>
                      <w:kern w:val="0"/>
                      <w:sz w:val="21"/>
                      <w:szCs w:val="21"/>
                      <w:highlight w:val="none"/>
                      <w:lang w:val="en-US" w:eastAsia="zh-CN" w:bidi="ar"/>
                    </w:rPr>
                    <w:t>五河经济开发区产业准入指导清单中</w:t>
                  </w:r>
                  <w:r>
                    <w:rPr>
                      <w:rFonts w:hint="eastAsia"/>
                      <w:color w:val="auto"/>
                      <w:sz w:val="21"/>
                      <w:szCs w:val="21"/>
                      <w:highlight w:val="none"/>
                    </w:rPr>
                    <w:t>允许</w:t>
                  </w:r>
                  <w:r>
                    <w:rPr>
                      <w:color w:val="auto"/>
                      <w:sz w:val="21"/>
                      <w:szCs w:val="21"/>
                      <w:highlight w:val="none"/>
                    </w:rPr>
                    <w:t>进入</w:t>
                  </w:r>
                  <w:r>
                    <w:rPr>
                      <w:rFonts w:hint="eastAsia"/>
                      <w:color w:val="auto"/>
                      <w:sz w:val="21"/>
                      <w:szCs w:val="21"/>
                      <w:highlight w:val="none"/>
                      <w:lang w:val="en-US" w:eastAsia="zh-CN"/>
                    </w:rPr>
                    <w:t>项目</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C1819其他机织服装制造</w:t>
                  </w:r>
                  <w:r>
                    <w:rPr>
                      <w:color w:val="auto"/>
                      <w:sz w:val="21"/>
                      <w:szCs w:val="21"/>
                      <w:highlight w:val="none"/>
                    </w:rPr>
                    <w:t>符合产业政策和清洁生产要求</w:t>
                  </w:r>
                  <w:r>
                    <w:rPr>
                      <w:rFonts w:hint="eastAsia"/>
                      <w:color w:val="auto"/>
                      <w:sz w:val="21"/>
                      <w:szCs w:val="21"/>
                      <w:highlight w:val="none"/>
                      <w:lang w:val="en-US" w:eastAsia="zh-CN"/>
                    </w:rPr>
                    <w:t>，属于</w:t>
                  </w:r>
                  <w:r>
                    <w:rPr>
                      <w:rFonts w:hint="default" w:ascii="Times New Roman" w:hAnsi="Times New Roman" w:eastAsia="宋体" w:cs="Times New Roman"/>
                      <w:color w:val="auto"/>
                      <w:kern w:val="0"/>
                      <w:sz w:val="21"/>
                      <w:szCs w:val="21"/>
                      <w:highlight w:val="none"/>
                      <w:lang w:val="en-US" w:eastAsia="zh-CN" w:bidi="ar"/>
                    </w:rPr>
                    <w:t>五河经济开发区产业准入指导清单中</w:t>
                  </w:r>
                  <w:r>
                    <w:rPr>
                      <w:rFonts w:hint="eastAsia"/>
                      <w:color w:val="auto"/>
                      <w:sz w:val="21"/>
                      <w:szCs w:val="21"/>
                      <w:highlight w:val="none"/>
                      <w:lang w:val="en-US" w:eastAsia="zh-CN"/>
                    </w:rPr>
                    <w:t>优先</w:t>
                  </w:r>
                  <w:r>
                    <w:rPr>
                      <w:color w:val="auto"/>
                      <w:sz w:val="21"/>
                      <w:szCs w:val="21"/>
                      <w:highlight w:val="none"/>
                    </w:rPr>
                    <w:t>进入</w:t>
                  </w:r>
                  <w:r>
                    <w:rPr>
                      <w:rFonts w:hint="eastAsia"/>
                      <w:color w:val="auto"/>
                      <w:sz w:val="21"/>
                      <w:szCs w:val="21"/>
                      <w:highlight w:val="none"/>
                      <w:lang w:val="en-US" w:eastAsia="zh-CN"/>
                    </w:rPr>
                    <w:t>项目</w:t>
                  </w:r>
                  <w:r>
                    <w:rPr>
                      <w:rFonts w:hint="default" w:ascii="Times New Roman" w:hAnsi="Times New Roman" w:eastAsia="宋体" w:cs="Times New Roman"/>
                      <w:color w:val="auto"/>
                      <w:kern w:val="0"/>
                      <w:sz w:val="21"/>
                      <w:szCs w:val="21"/>
                      <w:highlight w:val="none"/>
                      <w:lang w:val="en-US" w:eastAsia="zh-CN" w:bidi="ar"/>
                    </w:rPr>
                    <w:t>，符合</w:t>
                  </w:r>
                  <w:r>
                    <w:rPr>
                      <w:rFonts w:hint="eastAsia" w:cs="Times New Roman"/>
                      <w:color w:val="auto"/>
                      <w:kern w:val="0"/>
                      <w:sz w:val="21"/>
                      <w:szCs w:val="21"/>
                      <w:highlight w:val="none"/>
                      <w:lang w:val="en-US" w:eastAsia="zh-CN" w:bidi="ar"/>
                    </w:rPr>
                    <w:t>经开</w:t>
                  </w:r>
                  <w:r>
                    <w:rPr>
                      <w:rFonts w:hint="default" w:ascii="Times New Roman" w:hAnsi="Times New Roman" w:eastAsia="宋体" w:cs="Times New Roman"/>
                      <w:color w:val="auto"/>
                      <w:kern w:val="0"/>
                      <w:sz w:val="21"/>
                      <w:szCs w:val="21"/>
                      <w:highlight w:val="none"/>
                      <w:lang w:val="en-US" w:eastAsia="zh-CN" w:bidi="ar"/>
                    </w:rPr>
                    <w:t>区发展定位。</w:t>
                  </w:r>
                </w:p>
                <w:p w14:paraId="4F882A5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lang w:eastAsia="zh-CN"/>
                    </w:rPr>
                  </w:pPr>
                </w:p>
              </w:tc>
              <w:tc>
                <w:tcPr>
                  <w:tcW w:w="525" w:type="pct"/>
                  <w:gridSpan w:val="2"/>
                  <w:noWrap w:val="0"/>
                  <w:vAlign w:val="center"/>
                </w:tcPr>
                <w:p w14:paraId="633FABF8">
                  <w:pPr>
                    <w:keepNext w:val="0"/>
                    <w:keepLines w:val="0"/>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符合</w:t>
                  </w:r>
                </w:p>
              </w:tc>
            </w:tr>
            <w:tr w14:paraId="4D3B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4" w:hRule="atLeast"/>
                <w:jc w:val="center"/>
              </w:trPr>
              <w:tc>
                <w:tcPr>
                  <w:tcW w:w="2805" w:type="pct"/>
                  <w:noWrap w:val="0"/>
                  <w:vAlign w:val="center"/>
                </w:tcPr>
                <w:p w14:paraId="47E92BF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eastAsia" w:ascii="宋体" w:hAnsi="宋体" w:eastAsia="宋体" w:cs="宋体"/>
                      <w:color w:val="auto"/>
                      <w:kern w:val="0"/>
                      <w:sz w:val="21"/>
                      <w:szCs w:val="21"/>
                      <w:highlight w:val="none"/>
                      <w:lang w:val="en-US" w:eastAsia="zh-CN" w:bidi="ar"/>
                    </w:rPr>
                    <w:t>严守环境质量底线，落实区域环境质量管控措施。根据国家和我省大气、水、土壤、固体污染防治相关要求，结合开发区现有生态环境问题，制定污染防控方案、污染物总量管控要求和现有环境问题整改方案。切实保障区域项目达标排放，区域环境质量持续优化，下游跨境断面水质稳定，区域环境问题得到妥善解决。</w:t>
                  </w:r>
                </w:p>
              </w:tc>
              <w:tc>
                <w:tcPr>
                  <w:tcW w:w="1668" w:type="pct"/>
                  <w:noWrap w:val="0"/>
                  <w:vAlign w:val="center"/>
                </w:tcPr>
                <w:p w14:paraId="647B7D2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本项目属于</w:t>
                  </w:r>
                  <w:r>
                    <w:rPr>
                      <w:rFonts w:hint="default" w:ascii="Times New Roman" w:hAnsi="Times New Roman" w:eastAsia="宋体" w:cs="Times New Roman"/>
                      <w:color w:val="auto"/>
                      <w:kern w:val="0"/>
                      <w:sz w:val="21"/>
                      <w:szCs w:val="21"/>
                      <w:highlight w:val="none"/>
                      <w:lang w:val="en-US" w:eastAsia="zh-CN" w:bidi="ar"/>
                    </w:rPr>
                    <w:t>C1953塑料鞋制造、</w:t>
                  </w:r>
                  <w:r>
                    <w:rPr>
                      <w:rFonts w:hint="eastAsia" w:ascii="Times New Roman" w:hAnsi="Times New Roman" w:eastAsia="宋体" w:cs="Times New Roman"/>
                      <w:color w:val="auto"/>
                      <w:kern w:val="0"/>
                      <w:sz w:val="21"/>
                      <w:szCs w:val="21"/>
                      <w:highlight w:val="none"/>
                      <w:lang w:val="en-US" w:eastAsia="zh-CN" w:bidi="ar"/>
                    </w:rPr>
                    <w:t>C1819其他机织服装制造</w:t>
                  </w:r>
                  <w:r>
                    <w:rPr>
                      <w:rFonts w:hint="eastAsia" w:ascii="宋体" w:hAnsi="宋体" w:eastAsia="宋体" w:cs="宋体"/>
                      <w:color w:val="auto"/>
                      <w:kern w:val="0"/>
                      <w:sz w:val="21"/>
                      <w:szCs w:val="21"/>
                      <w:highlight w:val="none"/>
                      <w:lang w:val="en-US" w:eastAsia="zh-CN" w:bidi="ar"/>
                    </w:rPr>
                    <w:t>，建设性质为新建，采用先进生产工艺和装备，采用相应的污染治理措施，能够确保污染治理设施稳定运行，可以使污染物达标排放。</w:t>
                  </w:r>
                </w:p>
              </w:tc>
              <w:tc>
                <w:tcPr>
                  <w:tcW w:w="525" w:type="pct"/>
                  <w:gridSpan w:val="2"/>
                  <w:noWrap w:val="0"/>
                  <w:vAlign w:val="center"/>
                </w:tcPr>
                <w:p w14:paraId="1340DF7C">
                  <w:pPr>
                    <w:keepNext w:val="0"/>
                    <w:keepLines w:val="0"/>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符合</w:t>
                  </w:r>
                </w:p>
              </w:tc>
            </w:tr>
            <w:tr w14:paraId="5846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5" w:type="pct"/>
                  <w:noWrap w:val="0"/>
                  <w:vAlign w:val="center"/>
                </w:tcPr>
                <w:p w14:paraId="68E9934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eastAsia" w:ascii="宋体" w:hAnsi="宋体" w:eastAsia="宋体" w:cs="宋体"/>
                      <w:color w:val="auto"/>
                      <w:kern w:val="0"/>
                      <w:sz w:val="21"/>
                      <w:szCs w:val="21"/>
                      <w:highlight w:val="none"/>
                      <w:lang w:val="en-US" w:eastAsia="zh-CN" w:bidi="ar"/>
                    </w:rPr>
                    <w:t>优化产业布局，加强生态空间保护。结合开发区产业定位，合理规划不同功能区的环境保护空间。加强开发区内临近淮河干流、怀洪新河以及下游五河县城南水厂饮用水水源保护区等生态空间保护，严禁不符合管控要求的各类开发建设活动。做好开发区建设生产、生活服务空间之间的隔离和管控。实现产业发展与区域生态环境保护相协调。</w:t>
                  </w:r>
                </w:p>
              </w:tc>
              <w:tc>
                <w:tcPr>
                  <w:tcW w:w="1668" w:type="pct"/>
                  <w:noWrap w:val="0"/>
                  <w:vAlign w:val="center"/>
                </w:tcPr>
                <w:p w14:paraId="7511387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本项目属于</w:t>
                  </w:r>
                  <w:r>
                    <w:rPr>
                      <w:rFonts w:hint="default" w:ascii="Times New Roman" w:hAnsi="Times New Roman" w:eastAsia="宋体" w:cs="Times New Roman"/>
                      <w:color w:val="auto"/>
                      <w:kern w:val="0"/>
                      <w:sz w:val="21"/>
                      <w:szCs w:val="21"/>
                      <w:highlight w:val="none"/>
                      <w:lang w:val="en-US" w:eastAsia="zh-CN" w:bidi="ar"/>
                    </w:rPr>
                    <w:t>C1953塑料鞋制造、</w:t>
                  </w:r>
                  <w:r>
                    <w:rPr>
                      <w:rFonts w:hint="eastAsia" w:ascii="Times New Roman" w:hAnsi="Times New Roman" w:eastAsia="宋体" w:cs="Times New Roman"/>
                      <w:color w:val="auto"/>
                      <w:kern w:val="0"/>
                      <w:sz w:val="21"/>
                      <w:szCs w:val="21"/>
                      <w:highlight w:val="none"/>
                      <w:lang w:val="en-US" w:eastAsia="zh-CN" w:bidi="ar"/>
                    </w:rPr>
                    <w:t>C1819其他机织服装制造</w:t>
                  </w:r>
                  <w:r>
                    <w:rPr>
                      <w:rFonts w:hint="eastAsia" w:ascii="宋体" w:hAnsi="宋体" w:eastAsia="宋体" w:cs="宋体"/>
                      <w:color w:val="auto"/>
                      <w:kern w:val="0"/>
                      <w:sz w:val="21"/>
                      <w:szCs w:val="21"/>
                      <w:highlight w:val="none"/>
                      <w:lang w:val="en-US" w:eastAsia="zh-CN" w:bidi="ar"/>
                    </w:rPr>
                    <w:t>，不属于不符合管控要求的各类开发建设活动。</w:t>
                  </w:r>
                </w:p>
              </w:tc>
              <w:tc>
                <w:tcPr>
                  <w:tcW w:w="525" w:type="pct"/>
                  <w:gridSpan w:val="2"/>
                  <w:noWrap w:val="0"/>
                  <w:vAlign w:val="center"/>
                </w:tcPr>
                <w:p w14:paraId="71AA09D9">
                  <w:pPr>
                    <w:keepNext w:val="0"/>
                    <w:keepLines w:val="0"/>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符合</w:t>
                  </w:r>
                </w:p>
              </w:tc>
            </w:tr>
            <w:tr w14:paraId="33BD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5" w:type="pct"/>
                  <w:noWrap w:val="0"/>
                  <w:vAlign w:val="center"/>
                </w:tcPr>
                <w:p w14:paraId="3E77357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eastAsia" w:ascii="宋体" w:hAnsi="宋体" w:eastAsia="宋体" w:cs="宋体"/>
                      <w:color w:val="auto"/>
                      <w:kern w:val="0"/>
                      <w:sz w:val="21"/>
                      <w:szCs w:val="21"/>
                      <w:highlight w:val="none"/>
                      <w:lang w:val="en-US" w:eastAsia="zh-CN" w:bidi="ar"/>
                    </w:rPr>
                    <w:t>完善环保基础设施建设，强化环境污染防控。加快五河城南污水处理厂和污水管网建设，统筹五河城南污水处理厂中水回用工程建设，提升中水回用水平。结合区域供水、排水和供气（供热）等规划，合理确定开发规模。结合区域环境质量现状，细化污染防治基础设施建设要求。尽快完成开发区重点行业大气污染治理升级改造、锅炉及工业炉窑整治行动，限期完成工业企业地下水禁采整改。</w:t>
                  </w:r>
                </w:p>
              </w:tc>
              <w:tc>
                <w:tcPr>
                  <w:tcW w:w="1668" w:type="pct"/>
                  <w:noWrap w:val="0"/>
                  <w:vAlign w:val="center"/>
                </w:tcPr>
                <w:p w14:paraId="663E0263">
                  <w:pPr>
                    <w:keepNext w:val="0"/>
                    <w:keepLines w:val="0"/>
                    <w:widowControl/>
                    <w:suppressLineNumbers w:val="0"/>
                    <w:spacing w:before="0" w:beforeAutospacing="0" w:after="0" w:afterAutospacing="0"/>
                    <w:ind w:left="0" w:right="0"/>
                    <w:jc w:val="center"/>
                    <w:rPr>
                      <w:color w:val="auto"/>
                      <w:sz w:val="21"/>
                      <w:szCs w:val="21"/>
                      <w:highlight w:val="none"/>
                    </w:rPr>
                  </w:pPr>
                  <w:r>
                    <w:rPr>
                      <w:rFonts w:hint="eastAsia" w:ascii="宋体" w:hAnsi="宋体" w:eastAsia="宋体" w:cs="宋体"/>
                      <w:color w:val="auto"/>
                      <w:kern w:val="0"/>
                      <w:sz w:val="21"/>
                      <w:szCs w:val="21"/>
                      <w:highlight w:val="none"/>
                      <w:lang w:val="en-US" w:eastAsia="zh-CN" w:bidi="ar"/>
                    </w:rPr>
                    <w:t>食堂废水经隔油池、生活污水</w:t>
                  </w:r>
                  <w:r>
                    <w:rPr>
                      <w:rFonts w:hint="eastAsia" w:ascii="宋体" w:hAnsi="宋体" w:cs="宋体"/>
                      <w:color w:val="auto"/>
                      <w:kern w:val="0"/>
                      <w:sz w:val="21"/>
                      <w:szCs w:val="21"/>
                      <w:highlight w:val="none"/>
                      <w:lang w:val="en-US" w:eastAsia="zh-CN" w:bidi="ar"/>
                    </w:rPr>
                    <w:t>经</w:t>
                  </w:r>
                  <w:r>
                    <w:rPr>
                      <w:rFonts w:hint="eastAsia" w:ascii="宋体" w:hAnsi="宋体" w:eastAsia="宋体" w:cs="宋体"/>
                      <w:color w:val="auto"/>
                      <w:kern w:val="0"/>
                      <w:sz w:val="21"/>
                      <w:szCs w:val="21"/>
                      <w:highlight w:val="none"/>
                      <w:lang w:val="en-US" w:eastAsia="zh-CN" w:bidi="ar"/>
                    </w:rPr>
                    <w:t>化粪池处理后</w:t>
                  </w:r>
                  <w:r>
                    <w:rPr>
                      <w:rFonts w:hint="eastAsia" w:ascii="宋体" w:hAnsi="宋体" w:cs="宋体"/>
                      <w:color w:val="auto"/>
                      <w:kern w:val="0"/>
                      <w:sz w:val="21"/>
                      <w:szCs w:val="21"/>
                      <w:highlight w:val="none"/>
                      <w:lang w:val="en-US" w:eastAsia="zh-CN" w:bidi="ar"/>
                    </w:rPr>
                    <w:t>，和地坪保洁废水、循环冷却废水一并</w:t>
                  </w:r>
                  <w:r>
                    <w:rPr>
                      <w:rFonts w:hint="eastAsia" w:ascii="宋体" w:hAnsi="宋体" w:eastAsia="宋体" w:cs="宋体"/>
                      <w:color w:val="auto"/>
                      <w:kern w:val="0"/>
                      <w:sz w:val="21"/>
                      <w:szCs w:val="21"/>
                      <w:highlight w:val="none"/>
                      <w:lang w:val="en-US" w:eastAsia="zh-CN" w:bidi="ar"/>
                    </w:rPr>
                    <w:t>排入市政管网进入五河县城南污水处理厂深度处理。</w:t>
                  </w:r>
                </w:p>
                <w:p w14:paraId="7F40C6F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lang w:val="en-US" w:eastAsia="zh-CN"/>
                    </w:rPr>
                  </w:pPr>
                </w:p>
              </w:tc>
              <w:tc>
                <w:tcPr>
                  <w:tcW w:w="525" w:type="pct"/>
                  <w:gridSpan w:val="2"/>
                  <w:noWrap w:val="0"/>
                  <w:vAlign w:val="center"/>
                </w:tcPr>
                <w:p w14:paraId="69C44EBB">
                  <w:pPr>
                    <w:keepNext w:val="0"/>
                    <w:keepLines w:val="0"/>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符合</w:t>
                  </w:r>
                </w:p>
              </w:tc>
            </w:tr>
            <w:tr w14:paraId="02ED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5" w:type="pct"/>
                  <w:noWrap w:val="0"/>
                  <w:vAlign w:val="center"/>
                </w:tcPr>
                <w:p w14:paraId="1CE5168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eastAsia" w:ascii="宋体" w:hAnsi="宋体" w:eastAsia="宋体" w:cs="宋体"/>
                      <w:color w:val="auto"/>
                      <w:kern w:val="0"/>
                      <w:sz w:val="21"/>
                      <w:szCs w:val="21"/>
                      <w:highlight w:val="none"/>
                      <w:lang w:val="en-US" w:eastAsia="zh-CN" w:bidi="ar"/>
                    </w:rPr>
                    <w:t>细化生态环境准入清单，推动高质量发展。根据国家和区域发展战略，结合区域生态环境质量等，严格开发区产业的生态环境准入。印染项目进驻要满足区域水资源承载力和水环境质量管控要求，单独设立片区，远离各类保护区和农产品加工区，仅用于配套开发区内纺织项目。限制与主导产业不相关且污染物排放量大的项目入区，明确入区企业的行业准入要求。</w:t>
                  </w:r>
                </w:p>
              </w:tc>
              <w:tc>
                <w:tcPr>
                  <w:tcW w:w="1668" w:type="pct"/>
                  <w:noWrap w:val="0"/>
                  <w:vAlign w:val="center"/>
                </w:tcPr>
                <w:p w14:paraId="7D1E03B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本项目属于</w:t>
                  </w:r>
                  <w:r>
                    <w:rPr>
                      <w:rFonts w:hint="default" w:ascii="Times New Roman" w:hAnsi="Times New Roman" w:eastAsia="宋体" w:cs="Times New Roman"/>
                      <w:color w:val="auto"/>
                      <w:kern w:val="0"/>
                      <w:sz w:val="21"/>
                      <w:szCs w:val="21"/>
                      <w:highlight w:val="none"/>
                      <w:lang w:val="en-US" w:eastAsia="zh-CN" w:bidi="ar"/>
                    </w:rPr>
                    <w:t>C1953塑料鞋制造、</w:t>
                  </w:r>
                  <w:r>
                    <w:rPr>
                      <w:rFonts w:hint="eastAsia" w:ascii="Times New Roman" w:hAnsi="Times New Roman" w:eastAsia="宋体" w:cs="Times New Roman"/>
                      <w:color w:val="auto"/>
                      <w:kern w:val="0"/>
                      <w:sz w:val="21"/>
                      <w:szCs w:val="21"/>
                      <w:highlight w:val="none"/>
                      <w:lang w:val="en-US" w:eastAsia="zh-CN" w:bidi="ar"/>
                    </w:rPr>
                    <w:t>C1819其他机织服装制造</w:t>
                  </w:r>
                  <w:r>
                    <w:rPr>
                      <w:rFonts w:hint="eastAsia" w:ascii="宋体" w:hAnsi="宋体" w:eastAsia="宋体" w:cs="宋体"/>
                      <w:color w:val="auto"/>
                      <w:kern w:val="0"/>
                      <w:sz w:val="21"/>
                      <w:szCs w:val="21"/>
                      <w:highlight w:val="none"/>
                      <w:lang w:val="en-US" w:eastAsia="zh-CN" w:bidi="ar"/>
                    </w:rPr>
                    <w:t>，与安徽五河经济开发区主导产业相符，符合安徽五河经济开发区产业定位要求。</w:t>
                  </w:r>
                </w:p>
              </w:tc>
              <w:tc>
                <w:tcPr>
                  <w:tcW w:w="525" w:type="pct"/>
                  <w:gridSpan w:val="2"/>
                  <w:noWrap w:val="0"/>
                  <w:vAlign w:val="center"/>
                </w:tcPr>
                <w:p w14:paraId="185F6122">
                  <w:pPr>
                    <w:keepNext w:val="0"/>
                    <w:keepLines w:val="0"/>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符合</w:t>
                  </w:r>
                </w:p>
              </w:tc>
            </w:tr>
            <w:tr w14:paraId="4AE8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5" w:type="pct"/>
                  <w:noWrap w:val="0"/>
                  <w:vAlign w:val="center"/>
                </w:tcPr>
                <w:p w14:paraId="3EE84AC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eastAsia" w:ascii="宋体" w:hAnsi="宋体" w:eastAsia="宋体" w:cs="宋体"/>
                      <w:color w:val="auto"/>
                      <w:kern w:val="0"/>
                      <w:sz w:val="21"/>
                      <w:szCs w:val="21"/>
                      <w:highlight w:val="none"/>
                      <w:lang w:val="en-US" w:eastAsia="zh-CN" w:bidi="ar"/>
                    </w:rPr>
                    <w:t>完善环境监测体系，加强生态环境风险防控。统筹考虑区内污染物排放、水环境保护、环境风险防范、环境管理和下游五河县城南水厂饮用水水源保护区等，健全区域风险防范体系和生态安全保障体系，加强开发区内重要环境风险源的管控，完善环境风险防范应急措施。</w:t>
                  </w:r>
                </w:p>
              </w:tc>
              <w:tc>
                <w:tcPr>
                  <w:tcW w:w="1668" w:type="pct"/>
                  <w:noWrap w:val="0"/>
                  <w:vAlign w:val="center"/>
                </w:tcPr>
                <w:p w14:paraId="4B5480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本项目属于</w:t>
                  </w:r>
                  <w:r>
                    <w:rPr>
                      <w:rFonts w:hint="default" w:ascii="Times New Roman" w:hAnsi="Times New Roman" w:eastAsia="宋体" w:cs="Times New Roman"/>
                      <w:color w:val="auto"/>
                      <w:kern w:val="0"/>
                      <w:sz w:val="21"/>
                      <w:szCs w:val="21"/>
                      <w:highlight w:val="none"/>
                      <w:lang w:val="en-US" w:eastAsia="zh-CN" w:bidi="ar"/>
                    </w:rPr>
                    <w:t>C1953塑料鞋制造、</w:t>
                  </w:r>
                  <w:r>
                    <w:rPr>
                      <w:rFonts w:hint="eastAsia" w:ascii="Times New Roman" w:hAnsi="Times New Roman" w:eastAsia="宋体" w:cs="Times New Roman"/>
                      <w:color w:val="auto"/>
                      <w:kern w:val="0"/>
                      <w:sz w:val="21"/>
                      <w:szCs w:val="21"/>
                      <w:highlight w:val="none"/>
                      <w:lang w:val="en-US" w:eastAsia="zh-CN" w:bidi="ar"/>
                    </w:rPr>
                    <w:t>C1819其他机织服装制造</w:t>
                  </w:r>
                  <w:r>
                    <w:rPr>
                      <w:rFonts w:hint="eastAsia" w:ascii="宋体" w:hAnsi="宋体" w:eastAsia="宋体" w:cs="宋体"/>
                      <w:color w:val="auto"/>
                      <w:kern w:val="0"/>
                      <w:sz w:val="21"/>
                      <w:szCs w:val="21"/>
                      <w:highlight w:val="none"/>
                      <w:lang w:val="en-US" w:eastAsia="zh-CN" w:bidi="ar"/>
                    </w:rPr>
                    <w:t>，采用相应的污染治理措施，能够确保污染治理设施稳定运行，可以使污染物达标排放。</w:t>
                  </w:r>
                </w:p>
              </w:tc>
              <w:tc>
                <w:tcPr>
                  <w:tcW w:w="525" w:type="pct"/>
                  <w:gridSpan w:val="2"/>
                  <w:noWrap w:val="0"/>
                  <w:vAlign w:val="center"/>
                </w:tcPr>
                <w:p w14:paraId="0610423D">
                  <w:pPr>
                    <w:keepNext w:val="0"/>
                    <w:keepLines w:val="0"/>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符合</w:t>
                  </w:r>
                </w:p>
              </w:tc>
            </w:tr>
            <w:tr w14:paraId="4C9A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5" w:type="pct"/>
                  <w:noWrap w:val="0"/>
                  <w:vAlign w:val="center"/>
                </w:tcPr>
                <w:p w14:paraId="053F3DE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eastAsia" w:ascii="宋体" w:hAnsi="宋体" w:eastAsia="宋体" w:cs="宋体"/>
                      <w:color w:val="auto"/>
                      <w:kern w:val="0"/>
                      <w:sz w:val="21"/>
                      <w:szCs w:val="21"/>
                      <w:highlight w:val="none"/>
                      <w:lang w:val="en-US" w:eastAsia="zh-CN" w:bidi="ar"/>
                    </w:rPr>
                    <w:t>加强日常环境监管，落实区域环境管理要求。严格落实环境管理要求，加强开发区环境管理队伍建设，严格落实环境影响评价和排污许可制度，督促现有入园建设项目及时完成环境保护设施验收。适时开展环境影响跟踪评价。</w:t>
                  </w:r>
                </w:p>
              </w:tc>
              <w:tc>
                <w:tcPr>
                  <w:tcW w:w="1668" w:type="pct"/>
                  <w:noWrap w:val="0"/>
                  <w:vAlign w:val="center"/>
                </w:tcPr>
                <w:p w14:paraId="46E4FCA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本项目严格落实环境管理要求，正在履行环境影响评价手续，要求企业后续进行排污许可</w:t>
                  </w:r>
                  <w:r>
                    <w:rPr>
                      <w:rFonts w:hint="eastAsia" w:ascii="宋体" w:hAnsi="宋体" w:cs="宋体"/>
                      <w:color w:val="auto"/>
                      <w:kern w:val="0"/>
                      <w:sz w:val="21"/>
                      <w:szCs w:val="21"/>
                      <w:highlight w:val="none"/>
                      <w:lang w:val="en-US" w:eastAsia="zh-CN" w:bidi="ar"/>
                    </w:rPr>
                    <w:t>填报</w:t>
                  </w:r>
                  <w:r>
                    <w:rPr>
                      <w:rFonts w:hint="eastAsia" w:ascii="宋体" w:hAnsi="宋体" w:eastAsia="宋体" w:cs="宋体"/>
                      <w:color w:val="auto"/>
                      <w:kern w:val="0"/>
                      <w:sz w:val="21"/>
                      <w:szCs w:val="21"/>
                      <w:highlight w:val="none"/>
                      <w:lang w:val="en-US" w:eastAsia="zh-CN" w:bidi="ar"/>
                    </w:rPr>
                    <w:t>及验收等</w:t>
                  </w:r>
                  <w:r>
                    <w:rPr>
                      <w:rFonts w:hint="eastAsia" w:ascii="宋体" w:hAnsi="宋体" w:cs="宋体"/>
                      <w:color w:val="auto"/>
                      <w:kern w:val="0"/>
                      <w:sz w:val="21"/>
                      <w:szCs w:val="21"/>
                      <w:highlight w:val="none"/>
                      <w:lang w:val="en-US" w:eastAsia="zh-CN" w:bidi="ar"/>
                    </w:rPr>
                    <w:t>；营运过程中如实际环境影响范围和程度有较大差别时，需开展</w:t>
                  </w:r>
                  <w:r>
                    <w:rPr>
                      <w:rFonts w:hint="eastAsia" w:ascii="宋体" w:hAnsi="宋体" w:eastAsia="宋体" w:cs="宋体"/>
                      <w:color w:val="auto"/>
                      <w:kern w:val="0"/>
                      <w:sz w:val="21"/>
                      <w:szCs w:val="21"/>
                      <w:highlight w:val="none"/>
                      <w:lang w:val="en-US" w:eastAsia="zh-CN" w:bidi="ar"/>
                    </w:rPr>
                    <w:t>环境影响跟踪评价。</w:t>
                  </w:r>
                </w:p>
              </w:tc>
              <w:tc>
                <w:tcPr>
                  <w:tcW w:w="525" w:type="pct"/>
                  <w:gridSpan w:val="2"/>
                  <w:noWrap w:val="0"/>
                  <w:vAlign w:val="center"/>
                </w:tcPr>
                <w:p w14:paraId="268A0023">
                  <w:pPr>
                    <w:keepNext w:val="0"/>
                    <w:keepLines w:val="0"/>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符合</w:t>
                  </w:r>
                </w:p>
              </w:tc>
            </w:tr>
          </w:tbl>
          <w:p w14:paraId="2B90FCE6">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left"/>
              <w:textAlignment w:val="auto"/>
              <w:rPr>
                <w:rFonts w:hint="eastAsia" w:eastAsia="宋体"/>
                <w:color w:val="auto"/>
                <w:sz w:val="24"/>
                <w:szCs w:val="24"/>
                <w:highlight w:val="none"/>
                <w:lang w:eastAsia="zh-CN"/>
              </w:rPr>
            </w:pPr>
            <w:r>
              <w:rPr>
                <w:rFonts w:hint="eastAsia" w:ascii="Times New Roman" w:hAnsi="Times New Roman"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lang w:val="en-US" w:eastAsia="zh-CN"/>
              </w:rPr>
              <w:t>2</w:t>
            </w:r>
            <w:r>
              <w:rPr>
                <w:rFonts w:hint="eastAsia" w:ascii="Times New Roman" w:hAnsi="Times New Roman"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lang w:val="en-US" w:eastAsia="zh-CN"/>
              </w:rPr>
              <w:t>项</w:t>
            </w:r>
            <w:r>
              <w:rPr>
                <w:rFonts w:hint="eastAsia" w:ascii="宋体" w:hAnsi="宋体" w:eastAsia="宋体" w:cs="宋体"/>
                <w:color w:val="auto"/>
                <w:kern w:val="0"/>
                <w:sz w:val="24"/>
                <w:szCs w:val="24"/>
                <w:highlight w:val="none"/>
                <w:lang w:val="en-US" w:eastAsia="zh-CN" w:bidi="ar"/>
              </w:rPr>
              <w:t>目与《安徽五河经济开发区总体发展规划（</w:t>
            </w:r>
            <w:r>
              <w:rPr>
                <w:rFonts w:hint="default" w:ascii="Times New Roman" w:hAnsi="Times New Roman" w:eastAsia="宋体" w:cs="Times New Roman"/>
                <w:color w:val="auto"/>
                <w:kern w:val="0"/>
                <w:sz w:val="24"/>
                <w:szCs w:val="24"/>
                <w:highlight w:val="none"/>
                <w:lang w:val="en-US" w:eastAsia="zh-CN" w:bidi="ar"/>
              </w:rPr>
              <w:t xml:space="preserve">2012-2030 </w:t>
            </w:r>
            <w:r>
              <w:rPr>
                <w:rFonts w:hint="eastAsia" w:ascii="宋体" w:hAnsi="宋体" w:eastAsia="宋体" w:cs="宋体"/>
                <w:color w:val="auto"/>
                <w:kern w:val="0"/>
                <w:sz w:val="24"/>
                <w:szCs w:val="24"/>
                <w:highlight w:val="none"/>
                <w:lang w:val="en-US" w:eastAsia="zh-CN" w:bidi="ar"/>
              </w:rPr>
              <w:t>年）（修编）环境影响跟踪评价报告书》及审查意见（蚌环秘〔</w:t>
            </w:r>
            <w:r>
              <w:rPr>
                <w:rFonts w:hint="default" w:ascii="Times New Roman" w:hAnsi="Times New Roman" w:eastAsia="宋体" w:cs="Times New Roman"/>
                <w:color w:val="auto"/>
                <w:kern w:val="0"/>
                <w:sz w:val="24"/>
                <w:szCs w:val="24"/>
                <w:highlight w:val="none"/>
                <w:lang w:val="en-US" w:eastAsia="zh-CN" w:bidi="ar"/>
              </w:rPr>
              <w:t>2023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97</w:t>
            </w:r>
            <w:r>
              <w:rPr>
                <w:rFonts w:hint="eastAsia" w:ascii="宋体" w:hAnsi="宋体" w:eastAsia="宋体" w:cs="宋体"/>
                <w:color w:val="auto"/>
                <w:kern w:val="0"/>
                <w:sz w:val="24"/>
                <w:szCs w:val="24"/>
                <w:highlight w:val="none"/>
                <w:lang w:val="en-US" w:eastAsia="zh-CN" w:bidi="ar"/>
              </w:rPr>
              <w:t>号）符合性分析如下</w:t>
            </w:r>
            <w:r>
              <w:rPr>
                <w:rFonts w:hint="eastAsia" w:eastAsia="宋体"/>
                <w:color w:val="auto"/>
                <w:sz w:val="24"/>
                <w:szCs w:val="24"/>
                <w:highlight w:val="none"/>
                <w:lang w:eastAsia="zh-CN"/>
              </w:rPr>
              <w:t>：</w:t>
            </w:r>
          </w:p>
          <w:p w14:paraId="3B7FAA42">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color w:val="auto"/>
                <w:sz w:val="21"/>
                <w:szCs w:val="21"/>
                <w:highlight w:val="none"/>
                <w:lang w:eastAsia="zh-CN"/>
              </w:rPr>
              <w:t>表1-</w:t>
            </w:r>
            <w:r>
              <w:rPr>
                <w:rFonts w:hint="eastAsia"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lang w:val="en-US" w:eastAsia="zh-CN"/>
              </w:rPr>
              <w:t xml:space="preserve">  </w:t>
            </w:r>
            <w:r>
              <w:rPr>
                <w:rFonts w:hint="eastAsia" w:ascii="Times New Roman" w:hAnsi="Times New Roman" w:cs="Times New Roman"/>
                <w:b/>
                <w:color w:val="auto"/>
                <w:sz w:val="21"/>
                <w:szCs w:val="21"/>
                <w:highlight w:val="none"/>
                <w:lang w:val="en-US" w:eastAsia="zh-CN"/>
              </w:rPr>
              <w:t>项目</w:t>
            </w:r>
            <w:r>
              <w:rPr>
                <w:rFonts w:hint="default" w:ascii="Times New Roman" w:hAnsi="Times New Roman" w:eastAsia="宋体" w:cs="Times New Roman"/>
                <w:b/>
                <w:color w:val="auto"/>
                <w:sz w:val="21"/>
                <w:szCs w:val="21"/>
                <w:highlight w:val="none"/>
                <w:lang w:eastAsia="zh-CN"/>
              </w:rPr>
              <w:t>与</w:t>
            </w:r>
            <w:r>
              <w:rPr>
                <w:rFonts w:hint="eastAsia" w:cs="Times New Roman"/>
                <w:b/>
                <w:color w:val="auto"/>
                <w:sz w:val="21"/>
                <w:szCs w:val="21"/>
                <w:highlight w:val="none"/>
                <w:lang w:val="en-US" w:eastAsia="zh-CN"/>
              </w:rPr>
              <w:t>跟踪评价</w:t>
            </w:r>
            <w:r>
              <w:rPr>
                <w:rFonts w:hint="default" w:ascii="Times New Roman" w:hAnsi="Times New Roman" w:eastAsia="宋体" w:cs="Times New Roman"/>
                <w:b/>
                <w:color w:val="auto"/>
                <w:sz w:val="21"/>
                <w:szCs w:val="21"/>
                <w:highlight w:val="none"/>
                <w:lang w:val="en-US" w:eastAsia="zh-CN"/>
              </w:rPr>
              <w:t>相符性分析</w:t>
            </w:r>
          </w:p>
          <w:tbl>
            <w:tblPr>
              <w:tblStyle w:val="3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4"/>
              <w:gridCol w:w="2045"/>
              <w:gridCol w:w="739"/>
              <w:gridCol w:w="7"/>
            </w:tblGrid>
            <w:tr w14:paraId="7348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3013" w:type="pct"/>
                  <w:noWrap w:val="0"/>
                  <w:vAlign w:val="center"/>
                </w:tcPr>
                <w:p w14:paraId="03DC06B8">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跟踪评价内容</w:t>
                  </w:r>
                </w:p>
              </w:tc>
              <w:tc>
                <w:tcPr>
                  <w:tcW w:w="1455" w:type="pct"/>
                  <w:noWrap w:val="0"/>
                  <w:vAlign w:val="center"/>
                </w:tcPr>
                <w:p w14:paraId="3642BCE5">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本项目情况</w:t>
                  </w:r>
                </w:p>
              </w:tc>
              <w:tc>
                <w:tcPr>
                  <w:tcW w:w="525" w:type="pct"/>
                  <w:noWrap w:val="0"/>
                  <w:vAlign w:val="center"/>
                </w:tcPr>
                <w:p w14:paraId="1B40904A">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相符性</w:t>
                  </w:r>
                </w:p>
              </w:tc>
            </w:tr>
            <w:tr w14:paraId="7F59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1" w:hRule="atLeast"/>
                <w:jc w:val="center"/>
              </w:trPr>
              <w:tc>
                <w:tcPr>
                  <w:tcW w:w="3013" w:type="pct"/>
                  <w:noWrap w:val="0"/>
                  <w:vAlign w:val="center"/>
                </w:tcPr>
                <w:p w14:paraId="7B7A3A02">
                  <w:pPr>
                    <w:keepNext w:val="0"/>
                    <w:keepLines w:val="0"/>
                    <w:widowControl/>
                    <w:suppressLineNumbers w:val="0"/>
                    <w:spacing w:before="0" w:beforeAutospacing="0" w:after="0" w:afterAutospacing="0"/>
                    <w:ind w:left="0" w:right="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一、强化空间管控，优化空间开发格局。 </w:t>
                  </w:r>
                </w:p>
                <w:p w14:paraId="019B112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eastAsia" w:ascii="宋体" w:hAnsi="宋体" w:eastAsia="宋体" w:cs="宋体"/>
                      <w:color w:val="auto"/>
                      <w:kern w:val="0"/>
                      <w:sz w:val="21"/>
                      <w:szCs w:val="21"/>
                      <w:highlight w:val="none"/>
                      <w:lang w:val="en-US" w:eastAsia="zh-CN" w:bidi="ar"/>
                    </w:rPr>
                    <w:t>靠近规划居住用地的二类工业用地安排污染较轻的项目，并满足相关防护距离要求，并加强后续入区企业的风险防范。禁止占用生态防护和绿化系统用地，完善规划区内绿地景观建设。开发区内现有的天然水体应予以保留。引导后续入区企业按功能分区入驻，结合五河县国土空间规划，进一步优化园区产业结构和布局。根据规划未实施部分的开发进度，结合国土空间规划用地性质，加快现有村庄（安置区）的搬迁进度。 依据五河县“三区三线”成果及《五河县国土空间规划（</w:t>
                  </w:r>
                  <w:r>
                    <w:rPr>
                      <w:rFonts w:hint="default" w:ascii="Times New Roman" w:hAnsi="Times New Roman" w:eastAsia="宋体" w:cs="Times New Roman"/>
                      <w:color w:val="auto"/>
                      <w:kern w:val="0"/>
                      <w:sz w:val="21"/>
                      <w:szCs w:val="21"/>
                      <w:highlight w:val="none"/>
                      <w:lang w:val="en-US" w:eastAsia="zh-CN" w:bidi="ar"/>
                    </w:rPr>
                    <w:t>2021-2035</w:t>
                  </w:r>
                  <w:r>
                    <w:rPr>
                      <w:rFonts w:hint="eastAsia" w:ascii="宋体" w:hAnsi="宋体" w:eastAsia="宋体" w:cs="宋体"/>
                      <w:color w:val="auto"/>
                      <w:kern w:val="0"/>
                      <w:sz w:val="21"/>
                      <w:szCs w:val="21"/>
                      <w:highlight w:val="none"/>
                      <w:lang w:val="en-US" w:eastAsia="zh-CN" w:bidi="ar"/>
                    </w:rPr>
                    <w:t>）年》，下一步规划实施应对开发区的土地利用性质进行优化调整，按照自然资源部自然资发〔</w:t>
                  </w:r>
                  <w:r>
                    <w:rPr>
                      <w:rFonts w:hint="default" w:ascii="Times New Roman" w:hAnsi="Times New Roman" w:eastAsia="宋体" w:cs="Times New Roman"/>
                      <w:color w:val="auto"/>
                      <w:kern w:val="0"/>
                      <w:sz w:val="21"/>
                      <w:szCs w:val="21"/>
                      <w:highlight w:val="none"/>
                      <w:lang w:val="en-US" w:eastAsia="zh-CN" w:bidi="ar"/>
                    </w:rPr>
                    <w:t>2023</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193 </w:t>
                  </w:r>
                  <w:r>
                    <w:rPr>
                      <w:rFonts w:hint="eastAsia" w:ascii="宋体" w:hAnsi="宋体" w:eastAsia="宋体" w:cs="宋体"/>
                      <w:color w:val="auto"/>
                      <w:kern w:val="0"/>
                      <w:sz w:val="21"/>
                      <w:szCs w:val="21"/>
                      <w:highlight w:val="none"/>
                      <w:lang w:val="en-US" w:eastAsia="zh-CN" w:bidi="ar"/>
                    </w:rPr>
                    <w:t>号文的要求，做好开发区范围内处于城镇开发边界外的用地的开发利用工作，不符合用地要求的现状企业应逐步有序退出，不符合要求的城镇开发边界外用地应禁止开发。</w:t>
                  </w:r>
                </w:p>
              </w:tc>
              <w:tc>
                <w:tcPr>
                  <w:tcW w:w="1455" w:type="pct"/>
                  <w:noWrap w:val="0"/>
                  <w:vAlign w:val="center"/>
                </w:tcPr>
                <w:p w14:paraId="006631E3">
                  <w:pPr>
                    <w:keepNext w:val="0"/>
                    <w:keepLines w:val="0"/>
                    <w:widowControl/>
                    <w:suppressLineNumbers w:val="0"/>
                    <w:spacing w:before="0" w:beforeAutospacing="0" w:after="0" w:afterAutospacing="0"/>
                    <w:ind w:left="0" w:right="0"/>
                    <w:jc w:val="center"/>
                    <w:rPr>
                      <w:color w:val="auto"/>
                      <w:sz w:val="21"/>
                      <w:szCs w:val="21"/>
                      <w:highlight w:val="none"/>
                    </w:rPr>
                  </w:pPr>
                  <w:r>
                    <w:rPr>
                      <w:rFonts w:hint="eastAsia" w:ascii="宋体" w:hAnsi="宋体" w:eastAsia="宋体" w:cs="宋体"/>
                      <w:color w:val="auto"/>
                      <w:kern w:val="0"/>
                      <w:sz w:val="21"/>
                      <w:szCs w:val="21"/>
                      <w:highlight w:val="none"/>
                      <w:lang w:val="en-US" w:eastAsia="zh-CN" w:bidi="ar"/>
                    </w:rPr>
                    <w:t>本项目位于五河县城南工业园区工业五路中</w:t>
                  </w:r>
                  <w:r>
                    <w:rPr>
                      <w:rFonts w:hint="eastAsia" w:ascii="宋体" w:hAnsi="宋体" w:cs="宋体"/>
                      <w:color w:val="auto"/>
                      <w:kern w:val="0"/>
                      <w:sz w:val="21"/>
                      <w:szCs w:val="21"/>
                      <w:highlight w:val="none"/>
                      <w:lang w:val="en-US" w:eastAsia="zh-CN" w:bidi="ar"/>
                    </w:rPr>
                    <w:t>段</w:t>
                  </w:r>
                  <w:r>
                    <w:rPr>
                      <w:rFonts w:hint="eastAsia" w:ascii="宋体" w:hAnsi="宋体" w:eastAsia="宋体" w:cs="宋体"/>
                      <w:color w:val="auto"/>
                      <w:kern w:val="0"/>
                      <w:sz w:val="21"/>
                      <w:szCs w:val="21"/>
                      <w:highlight w:val="none"/>
                      <w:lang w:val="en-US" w:eastAsia="zh-CN" w:bidi="ar"/>
                    </w:rPr>
                    <w:t>南侧，用地属于工业用地，对照五河县“三区三线”成果，位于城镇开发边界内；采用相应的污染治理措施，能够确保污染治理设施稳定运行，可以使污染物达标排放。</w:t>
                  </w:r>
                </w:p>
                <w:p w14:paraId="7F27D492">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bCs/>
                      <w:snapToGrid w:val="0"/>
                      <w:color w:val="auto"/>
                      <w:sz w:val="21"/>
                      <w:szCs w:val="21"/>
                      <w:highlight w:val="none"/>
                      <w:lang w:eastAsia="zh-CN"/>
                    </w:rPr>
                  </w:pPr>
                </w:p>
              </w:tc>
              <w:tc>
                <w:tcPr>
                  <w:tcW w:w="530" w:type="pct"/>
                  <w:gridSpan w:val="2"/>
                  <w:noWrap w:val="0"/>
                  <w:vAlign w:val="center"/>
                </w:tcPr>
                <w:p w14:paraId="584252DB">
                  <w:pPr>
                    <w:keepNext w:val="0"/>
                    <w:keepLines w:val="0"/>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符合</w:t>
                  </w:r>
                </w:p>
              </w:tc>
            </w:tr>
            <w:tr w14:paraId="75A6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3013" w:type="pct"/>
                  <w:noWrap w:val="0"/>
                  <w:vAlign w:val="center"/>
                </w:tcPr>
                <w:p w14:paraId="2FE48138">
                  <w:pPr>
                    <w:keepNext w:val="0"/>
                    <w:keepLines w:val="0"/>
                    <w:widowControl/>
                    <w:suppressLineNumbers w:val="0"/>
                    <w:spacing w:before="0" w:beforeAutospacing="0" w:after="0" w:afterAutospacing="0"/>
                    <w:ind w:left="0" w:right="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二、明确环境准入，推动产业转型升级。 </w:t>
                  </w:r>
                </w:p>
                <w:p w14:paraId="60BF85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eastAsia" w:ascii="宋体" w:hAnsi="宋体" w:eastAsia="宋体" w:cs="宋体"/>
                      <w:color w:val="auto"/>
                      <w:kern w:val="0"/>
                      <w:sz w:val="21"/>
                      <w:szCs w:val="21"/>
                      <w:highlight w:val="none"/>
                      <w:lang w:val="en-US" w:eastAsia="zh-CN" w:bidi="ar"/>
                    </w:rPr>
                    <w:t>开发区后续实施部分应根据最新的环境保护政策规划、总量管控要求、清洁生产标准等，进一步明确并优化开发区应控制或禁止的产业准入清单。跟踪评价基于五河县环境空气质量不断改善，结合《安徽省“两高”项目管理目录（试行）》等最新环境政策文件的要求，为促进五河经济开发区循环经济发展，建议将“</w:t>
                  </w:r>
                  <w:r>
                    <w:rPr>
                      <w:rFonts w:hint="default" w:ascii="Times New Roman" w:hAnsi="Times New Roman" w:eastAsia="宋体" w:cs="Times New Roman"/>
                      <w:color w:val="auto"/>
                      <w:kern w:val="0"/>
                      <w:sz w:val="21"/>
                      <w:szCs w:val="21"/>
                      <w:highlight w:val="none"/>
                      <w:lang w:val="en-US" w:eastAsia="zh-CN" w:bidi="ar"/>
                    </w:rPr>
                    <w:t xml:space="preserve">C32 </w:t>
                  </w:r>
                  <w:r>
                    <w:rPr>
                      <w:rFonts w:hint="eastAsia" w:ascii="宋体" w:hAnsi="宋体" w:eastAsia="宋体" w:cs="宋体"/>
                      <w:color w:val="auto"/>
                      <w:kern w:val="0"/>
                      <w:sz w:val="21"/>
                      <w:szCs w:val="21"/>
                      <w:highlight w:val="none"/>
                      <w:lang w:val="en-US" w:eastAsia="zh-CN" w:bidi="ar"/>
                    </w:rPr>
                    <w:t>有色金属冶炼和压延加工业有原规划环评确定的“禁止进入”调整为“列入安徽省“两高”项目管理的禁止进入”。 开发区后续规划实施尽可能引入清洁生产水平高、耗能低、排污少、资源化利用高、产值高的企业。强化主导产业的产业链延伸，做大做强园区主导产业，推动产业转型升级。</w:t>
                  </w:r>
                </w:p>
              </w:tc>
              <w:tc>
                <w:tcPr>
                  <w:tcW w:w="1455" w:type="pct"/>
                  <w:noWrap w:val="0"/>
                  <w:vAlign w:val="center"/>
                </w:tcPr>
                <w:p w14:paraId="2D70BE7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本项目C1953塑料鞋制造</w:t>
                  </w:r>
                  <w:r>
                    <w:rPr>
                      <w:color w:val="auto"/>
                      <w:sz w:val="21"/>
                      <w:szCs w:val="21"/>
                      <w:highlight w:val="none"/>
                    </w:rPr>
                    <w:t>符合产业政策和清洁生产要求</w:t>
                  </w:r>
                  <w:r>
                    <w:rPr>
                      <w:rFonts w:hint="eastAsia"/>
                      <w:color w:val="auto"/>
                      <w:sz w:val="21"/>
                      <w:szCs w:val="21"/>
                      <w:highlight w:val="none"/>
                      <w:lang w:val="en-US" w:eastAsia="zh-CN"/>
                    </w:rPr>
                    <w:t>，属于</w:t>
                  </w:r>
                  <w:r>
                    <w:rPr>
                      <w:rFonts w:hint="default" w:ascii="Times New Roman" w:hAnsi="Times New Roman" w:eastAsia="宋体" w:cs="Times New Roman"/>
                      <w:color w:val="auto"/>
                      <w:kern w:val="0"/>
                      <w:sz w:val="21"/>
                      <w:szCs w:val="21"/>
                      <w:highlight w:val="none"/>
                      <w:lang w:val="en-US" w:eastAsia="zh-CN" w:bidi="ar"/>
                    </w:rPr>
                    <w:t>五河经济开发区产业准入指导清单中</w:t>
                  </w:r>
                  <w:r>
                    <w:rPr>
                      <w:rFonts w:hint="eastAsia"/>
                      <w:color w:val="auto"/>
                      <w:sz w:val="21"/>
                      <w:szCs w:val="21"/>
                      <w:highlight w:val="none"/>
                    </w:rPr>
                    <w:t>允许</w:t>
                  </w:r>
                  <w:r>
                    <w:rPr>
                      <w:color w:val="auto"/>
                      <w:sz w:val="21"/>
                      <w:szCs w:val="21"/>
                      <w:highlight w:val="none"/>
                    </w:rPr>
                    <w:t>进入</w:t>
                  </w:r>
                  <w:r>
                    <w:rPr>
                      <w:rFonts w:hint="eastAsia"/>
                      <w:color w:val="auto"/>
                      <w:sz w:val="21"/>
                      <w:szCs w:val="21"/>
                      <w:highlight w:val="none"/>
                      <w:lang w:val="en-US" w:eastAsia="zh-CN"/>
                    </w:rPr>
                    <w:t>项目</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C1819其他机织服装制造</w:t>
                  </w:r>
                  <w:r>
                    <w:rPr>
                      <w:color w:val="auto"/>
                      <w:sz w:val="21"/>
                      <w:szCs w:val="21"/>
                      <w:highlight w:val="none"/>
                    </w:rPr>
                    <w:t>符合产业政策和清洁生产要求</w:t>
                  </w:r>
                  <w:r>
                    <w:rPr>
                      <w:rFonts w:hint="eastAsia"/>
                      <w:color w:val="auto"/>
                      <w:sz w:val="21"/>
                      <w:szCs w:val="21"/>
                      <w:highlight w:val="none"/>
                      <w:lang w:val="en-US" w:eastAsia="zh-CN"/>
                    </w:rPr>
                    <w:t>，属于</w:t>
                  </w:r>
                  <w:r>
                    <w:rPr>
                      <w:rFonts w:hint="default" w:ascii="Times New Roman" w:hAnsi="Times New Roman" w:eastAsia="宋体" w:cs="Times New Roman"/>
                      <w:color w:val="auto"/>
                      <w:kern w:val="0"/>
                      <w:sz w:val="21"/>
                      <w:szCs w:val="21"/>
                      <w:highlight w:val="none"/>
                      <w:lang w:val="en-US" w:eastAsia="zh-CN" w:bidi="ar"/>
                    </w:rPr>
                    <w:t>五河经济开发区产业准入指导清单中</w:t>
                  </w:r>
                  <w:r>
                    <w:rPr>
                      <w:rFonts w:hint="eastAsia"/>
                      <w:color w:val="auto"/>
                      <w:sz w:val="21"/>
                      <w:szCs w:val="21"/>
                      <w:highlight w:val="none"/>
                      <w:lang w:val="en-US" w:eastAsia="zh-CN"/>
                    </w:rPr>
                    <w:t>优先</w:t>
                  </w:r>
                  <w:r>
                    <w:rPr>
                      <w:color w:val="auto"/>
                      <w:sz w:val="21"/>
                      <w:szCs w:val="21"/>
                      <w:highlight w:val="none"/>
                    </w:rPr>
                    <w:t>进入</w:t>
                  </w:r>
                  <w:r>
                    <w:rPr>
                      <w:rFonts w:hint="eastAsia"/>
                      <w:color w:val="auto"/>
                      <w:sz w:val="21"/>
                      <w:szCs w:val="21"/>
                      <w:highlight w:val="none"/>
                      <w:lang w:val="en-US" w:eastAsia="zh-CN"/>
                    </w:rPr>
                    <w:t>项目</w:t>
                  </w:r>
                  <w:r>
                    <w:rPr>
                      <w:rFonts w:hint="eastAsia" w:ascii="宋体" w:hAnsi="宋体" w:eastAsia="宋体" w:cs="宋体"/>
                      <w:color w:val="auto"/>
                      <w:kern w:val="0"/>
                      <w:sz w:val="21"/>
                      <w:szCs w:val="21"/>
                      <w:highlight w:val="none"/>
                      <w:lang w:val="en-US" w:eastAsia="zh-CN" w:bidi="ar"/>
                    </w:rPr>
                    <w:t>，符合</w:t>
                  </w:r>
                  <w:r>
                    <w:rPr>
                      <w:rFonts w:hint="eastAsia" w:ascii="宋体" w:hAnsi="宋体" w:cs="宋体"/>
                      <w:color w:val="auto"/>
                      <w:kern w:val="0"/>
                      <w:sz w:val="21"/>
                      <w:szCs w:val="21"/>
                      <w:highlight w:val="none"/>
                      <w:lang w:val="en-US" w:eastAsia="zh-CN" w:bidi="ar"/>
                    </w:rPr>
                    <w:t>经开区</w:t>
                  </w:r>
                  <w:r>
                    <w:rPr>
                      <w:rFonts w:hint="eastAsia" w:ascii="宋体" w:hAnsi="宋体" w:eastAsia="宋体" w:cs="宋体"/>
                      <w:color w:val="auto"/>
                      <w:kern w:val="0"/>
                      <w:sz w:val="21"/>
                      <w:szCs w:val="21"/>
                      <w:highlight w:val="none"/>
                      <w:lang w:val="en-US" w:eastAsia="zh-CN" w:bidi="ar"/>
                    </w:rPr>
                    <w:t>发展定位。</w:t>
                  </w:r>
                </w:p>
              </w:tc>
              <w:tc>
                <w:tcPr>
                  <w:tcW w:w="530" w:type="pct"/>
                  <w:gridSpan w:val="2"/>
                  <w:noWrap w:val="0"/>
                  <w:vAlign w:val="center"/>
                </w:tcPr>
                <w:p w14:paraId="5715D219">
                  <w:pPr>
                    <w:keepNext w:val="0"/>
                    <w:keepLines w:val="0"/>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p>
              </w:tc>
            </w:tr>
            <w:tr w14:paraId="47CE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3" w:hRule="atLeast"/>
                <w:jc w:val="center"/>
              </w:trPr>
              <w:tc>
                <w:tcPr>
                  <w:tcW w:w="3013" w:type="pct"/>
                  <w:noWrap w:val="0"/>
                  <w:vAlign w:val="center"/>
                </w:tcPr>
                <w:p w14:paraId="4664B76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eastAsia" w:ascii="宋体" w:hAnsi="宋体" w:eastAsia="宋体" w:cs="宋体"/>
                      <w:color w:val="auto"/>
                      <w:kern w:val="0"/>
                      <w:sz w:val="21"/>
                      <w:szCs w:val="21"/>
                      <w:highlight w:val="none"/>
                      <w:lang w:val="en-US" w:eastAsia="zh-CN" w:bidi="ar"/>
                    </w:rPr>
                    <w:t>三、加强污染管控，改善环境质量。加强规划未实施部分开发建设过程中的大气污染防治，后续入区企业严格落实环评提出的各项大气污染防治措施。进一步强化开发区雨污分流排查及改造工作，加快城南污水处理厂二期工程及尾水湿地的建设，确保开发区污水</w:t>
                  </w:r>
                  <w:r>
                    <w:rPr>
                      <w:rFonts w:hint="default" w:ascii="Times New Roman" w:hAnsi="Times New Roman" w:eastAsia="宋体" w:cs="Times New Roman"/>
                      <w:color w:val="auto"/>
                      <w:kern w:val="0"/>
                      <w:sz w:val="21"/>
                      <w:szCs w:val="21"/>
                      <w:highlight w:val="none"/>
                      <w:lang w:val="en-US" w:eastAsia="zh-CN" w:bidi="ar"/>
                    </w:rPr>
                    <w:t>100%</w:t>
                  </w:r>
                  <w:r>
                    <w:rPr>
                      <w:rFonts w:hint="eastAsia" w:ascii="宋体" w:hAnsi="宋体" w:eastAsia="宋体" w:cs="宋体"/>
                      <w:color w:val="auto"/>
                      <w:kern w:val="0"/>
                      <w:sz w:val="21"/>
                      <w:szCs w:val="21"/>
                      <w:highlight w:val="none"/>
                      <w:lang w:val="en-US" w:eastAsia="zh-CN" w:bidi="ar"/>
                    </w:rPr>
                    <w:t>全部通过城南污水处理厂达标处理后排放。从污染物的产生、入渗、扩散、应急响应全阶段实施地下水污染防治措施，加强巡查，严禁入区企业私自采用地下水。园区固废实施分类管理，危险废物地收集、运送、贮存、处置（利用）活动实施全过程管理，细化危险废物管理流程，使危险废物有序转移，合法处置，防止危险废物交接环节出现失控现象。加强园区噪声防治，保证厂界噪声排放达标及居住区声环境质量达标；加强开发区内绿化与生态景观建设。</w:t>
                  </w:r>
                </w:p>
              </w:tc>
              <w:tc>
                <w:tcPr>
                  <w:tcW w:w="1455" w:type="pct"/>
                  <w:noWrap w:val="0"/>
                  <w:vAlign w:val="center"/>
                </w:tcPr>
                <w:p w14:paraId="1DA8756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本项目废气污染物采用相应污染防治措施均能稳定达标排放；食堂废水</w:t>
                  </w:r>
                  <w:r>
                    <w:rPr>
                      <w:rFonts w:hint="eastAsia" w:ascii="宋体" w:hAnsi="宋体" w:cs="宋体"/>
                      <w:color w:val="auto"/>
                      <w:kern w:val="0"/>
                      <w:sz w:val="21"/>
                      <w:szCs w:val="21"/>
                      <w:highlight w:val="none"/>
                      <w:lang w:val="en-US" w:eastAsia="zh-CN" w:bidi="ar"/>
                    </w:rPr>
                    <w:t>经隔油池、</w:t>
                  </w:r>
                  <w:r>
                    <w:rPr>
                      <w:rFonts w:hint="eastAsia" w:ascii="宋体" w:hAnsi="宋体" w:eastAsia="宋体" w:cs="宋体"/>
                      <w:color w:val="auto"/>
                      <w:kern w:val="0"/>
                      <w:sz w:val="21"/>
                      <w:szCs w:val="21"/>
                      <w:highlight w:val="none"/>
                      <w:lang w:val="en-US" w:eastAsia="zh-CN" w:bidi="ar"/>
                    </w:rPr>
                    <w:t>生活污水经化粪池收集处理后</w:t>
                  </w:r>
                  <w:r>
                    <w:rPr>
                      <w:rFonts w:hint="eastAsia" w:ascii="宋体" w:hAnsi="宋体" w:cs="宋体"/>
                      <w:color w:val="auto"/>
                      <w:kern w:val="0"/>
                      <w:sz w:val="21"/>
                      <w:szCs w:val="21"/>
                      <w:highlight w:val="none"/>
                      <w:lang w:val="en-US" w:eastAsia="zh-CN" w:bidi="ar"/>
                    </w:rPr>
                    <w:t>，和地坪保洁废水、循环冷却废水一并经市政污水管网</w:t>
                  </w:r>
                  <w:r>
                    <w:rPr>
                      <w:rFonts w:hint="eastAsia" w:ascii="宋体" w:hAnsi="宋体" w:eastAsia="宋体" w:cs="宋体"/>
                      <w:color w:val="auto"/>
                      <w:kern w:val="0"/>
                      <w:sz w:val="21"/>
                      <w:szCs w:val="21"/>
                      <w:highlight w:val="none"/>
                      <w:lang w:val="en-US" w:eastAsia="zh-CN" w:bidi="ar"/>
                    </w:rPr>
                    <w:t>排入五河县城南污水处理厂处理；固废分类处置，一般固废存放在固废暂存间内，危废存放在危废暂存库内，定期委托有资质单位处置；产噪设备采用隔声减振措施降低噪声，确保厂界噪声排放达标。</w:t>
                  </w:r>
                </w:p>
              </w:tc>
              <w:tc>
                <w:tcPr>
                  <w:tcW w:w="530" w:type="pct"/>
                  <w:gridSpan w:val="2"/>
                  <w:noWrap w:val="0"/>
                  <w:vAlign w:val="center"/>
                </w:tcPr>
                <w:p w14:paraId="5B2C6803">
                  <w:pPr>
                    <w:keepNext w:val="0"/>
                    <w:keepLines w:val="0"/>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符合</w:t>
                  </w:r>
                </w:p>
              </w:tc>
            </w:tr>
            <w:tr w14:paraId="6690A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3" w:type="pct"/>
                  <w:noWrap w:val="0"/>
                  <w:vAlign w:val="center"/>
                </w:tcPr>
                <w:p w14:paraId="58A2989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eastAsia" w:ascii="宋体" w:hAnsi="宋体" w:eastAsia="宋体" w:cs="宋体"/>
                      <w:color w:val="auto"/>
                      <w:kern w:val="0"/>
                      <w:sz w:val="21"/>
                      <w:szCs w:val="21"/>
                      <w:highlight w:val="none"/>
                      <w:lang w:val="en-US" w:eastAsia="zh-CN" w:bidi="ar"/>
                    </w:rPr>
                    <w:t>四、加强环境管理，提高环境风险防范能力。不断强化完善园区环保部门力量，利用好第三方“环保管家”团队，加强园区企业危废监督管理，不断完善园区应急预案，定期组织应急演练，要求后续入区企业根据环境管理要求设置消防水池、事故应急池、环境防护距离和编制企业应急预案。加快园区污染源在线监测监控系统建设，加强园区污染源在线监控企业的管理，建设园区环境管理信息系统。敦促符合验收条件的企业及时开展自主验收。加强与生态环境主管部门的沟通联系、协商，力求通过提高上游沿河污水接管率、加强环保执法监管等措施，确保上游来水水质稳定达标。积极配合生态环境主管部门，根据要求全面推行排污许可证制度，督促入区企业及时申领排污许可证，做到排污企业持证排污。</w:t>
                  </w:r>
                </w:p>
              </w:tc>
              <w:tc>
                <w:tcPr>
                  <w:tcW w:w="1455" w:type="pct"/>
                  <w:noWrap w:val="0"/>
                  <w:vAlign w:val="center"/>
                </w:tcPr>
                <w:p w14:paraId="2D89B07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本项目需按要求编制突发环境事件应急预案，定期开展应急演练，要求企业后续进行排污许可</w:t>
                  </w:r>
                  <w:r>
                    <w:rPr>
                      <w:rFonts w:hint="eastAsia" w:ascii="宋体" w:hAnsi="宋体" w:cs="宋体"/>
                      <w:color w:val="auto"/>
                      <w:kern w:val="0"/>
                      <w:sz w:val="21"/>
                      <w:szCs w:val="21"/>
                      <w:highlight w:val="none"/>
                      <w:lang w:val="en-US" w:eastAsia="zh-CN" w:bidi="ar"/>
                    </w:rPr>
                    <w:t>登记填报</w:t>
                  </w:r>
                  <w:r>
                    <w:rPr>
                      <w:rFonts w:hint="eastAsia" w:ascii="宋体" w:hAnsi="宋体" w:eastAsia="宋体" w:cs="宋体"/>
                      <w:color w:val="auto"/>
                      <w:kern w:val="0"/>
                      <w:sz w:val="21"/>
                      <w:szCs w:val="21"/>
                      <w:highlight w:val="none"/>
                      <w:lang w:val="en-US" w:eastAsia="zh-CN" w:bidi="ar"/>
                    </w:rPr>
                    <w:t>及</w:t>
                  </w:r>
                  <w:r>
                    <w:rPr>
                      <w:rFonts w:hint="eastAsia" w:ascii="宋体" w:hAnsi="宋体" w:cs="宋体"/>
                      <w:color w:val="auto"/>
                      <w:kern w:val="0"/>
                      <w:sz w:val="21"/>
                      <w:szCs w:val="21"/>
                      <w:highlight w:val="none"/>
                      <w:lang w:val="en-US" w:eastAsia="zh-CN" w:bidi="ar"/>
                    </w:rPr>
                    <w:t>自主</w:t>
                  </w:r>
                  <w:r>
                    <w:rPr>
                      <w:rFonts w:hint="eastAsia" w:ascii="宋体" w:hAnsi="宋体" w:eastAsia="宋体" w:cs="宋体"/>
                      <w:color w:val="auto"/>
                      <w:kern w:val="0"/>
                      <w:sz w:val="21"/>
                      <w:szCs w:val="21"/>
                      <w:highlight w:val="none"/>
                      <w:lang w:val="en-US" w:eastAsia="zh-CN" w:bidi="ar"/>
                    </w:rPr>
                    <w:t>验收。</w:t>
                  </w:r>
                </w:p>
              </w:tc>
              <w:tc>
                <w:tcPr>
                  <w:tcW w:w="530" w:type="pct"/>
                  <w:gridSpan w:val="2"/>
                  <w:noWrap w:val="0"/>
                  <w:vAlign w:val="center"/>
                </w:tcPr>
                <w:p w14:paraId="5D568BCF">
                  <w:pPr>
                    <w:keepNext w:val="0"/>
                    <w:keepLines w:val="0"/>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符合</w:t>
                  </w:r>
                </w:p>
              </w:tc>
            </w:tr>
          </w:tbl>
          <w:p w14:paraId="2EB9A1C6">
            <w:pPr>
              <w:keepNext w:val="0"/>
              <w:keepLines w:val="0"/>
              <w:pageBreakBefore w:val="0"/>
              <w:widowControl w:val="0"/>
              <w:suppressLineNumbers w:val="0"/>
              <w:kinsoku/>
              <w:wordWrap/>
              <w:overflowPunct/>
              <w:topLinePunct w:val="0"/>
              <w:autoSpaceDE w:val="0"/>
              <w:autoSpaceDN w:val="0"/>
              <w:bidi w:val="0"/>
              <w:adjustRightInd w:val="0"/>
              <w:snapToGrid/>
              <w:spacing w:before="157" w:beforeLines="50" w:beforeAutospacing="0" w:after="0" w:afterAutospacing="0"/>
              <w:ind w:left="0" w:right="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color w:val="auto"/>
                <w:sz w:val="21"/>
                <w:szCs w:val="21"/>
                <w:highlight w:val="none"/>
                <w:lang w:eastAsia="zh-CN"/>
              </w:rPr>
              <w:t>表1-</w:t>
            </w:r>
            <w:r>
              <w:rPr>
                <w:rFonts w:hint="eastAsia"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lang w:val="en-US" w:eastAsia="zh-CN"/>
              </w:rPr>
              <w:t xml:space="preserve">  </w:t>
            </w:r>
            <w:r>
              <w:rPr>
                <w:rFonts w:hint="eastAsia" w:ascii="Times New Roman" w:hAnsi="Times New Roman" w:cs="Times New Roman"/>
                <w:b/>
                <w:color w:val="auto"/>
                <w:sz w:val="21"/>
                <w:szCs w:val="21"/>
                <w:highlight w:val="none"/>
                <w:lang w:val="en-US" w:eastAsia="zh-CN"/>
              </w:rPr>
              <w:t>项目</w:t>
            </w:r>
            <w:r>
              <w:rPr>
                <w:rFonts w:hint="default" w:ascii="Times New Roman" w:hAnsi="Times New Roman" w:eastAsia="宋体" w:cs="Times New Roman"/>
                <w:b/>
                <w:color w:val="auto"/>
                <w:sz w:val="21"/>
                <w:szCs w:val="21"/>
                <w:highlight w:val="none"/>
                <w:lang w:eastAsia="zh-CN"/>
              </w:rPr>
              <w:t>与</w:t>
            </w:r>
            <w:r>
              <w:rPr>
                <w:rFonts w:hint="eastAsia" w:cs="Times New Roman"/>
                <w:b/>
                <w:color w:val="auto"/>
                <w:sz w:val="21"/>
                <w:szCs w:val="21"/>
                <w:highlight w:val="none"/>
                <w:lang w:val="en-US" w:eastAsia="zh-CN"/>
              </w:rPr>
              <w:t>跟踪评价审查意见</w:t>
            </w:r>
            <w:r>
              <w:rPr>
                <w:rFonts w:hint="default" w:ascii="Times New Roman" w:hAnsi="Times New Roman" w:eastAsia="宋体" w:cs="Times New Roman"/>
                <w:b/>
                <w:color w:val="auto"/>
                <w:sz w:val="21"/>
                <w:szCs w:val="21"/>
                <w:highlight w:val="none"/>
                <w:lang w:val="en-US" w:eastAsia="zh-CN"/>
              </w:rPr>
              <w:t>相符性分析</w:t>
            </w:r>
          </w:p>
          <w:tbl>
            <w:tblPr>
              <w:tblStyle w:val="3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9"/>
              <w:gridCol w:w="2700"/>
              <w:gridCol w:w="739"/>
              <w:gridCol w:w="7"/>
            </w:tblGrid>
            <w:tr w14:paraId="6FAD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340" w:hRule="atLeast"/>
                <w:jc w:val="center"/>
              </w:trPr>
              <w:tc>
                <w:tcPr>
                  <w:tcW w:w="2546" w:type="pct"/>
                  <w:noWrap w:val="0"/>
                  <w:vAlign w:val="center"/>
                </w:tcPr>
                <w:p w14:paraId="636744DB">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跟踪评价审查意见批复</w:t>
                  </w:r>
                </w:p>
              </w:tc>
              <w:tc>
                <w:tcPr>
                  <w:tcW w:w="1921" w:type="pct"/>
                  <w:noWrap w:val="0"/>
                  <w:vAlign w:val="center"/>
                </w:tcPr>
                <w:p w14:paraId="12C4919A">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本项目情况</w:t>
                  </w:r>
                </w:p>
              </w:tc>
              <w:tc>
                <w:tcPr>
                  <w:tcW w:w="526" w:type="pct"/>
                  <w:noWrap w:val="0"/>
                  <w:vAlign w:val="center"/>
                </w:tcPr>
                <w:p w14:paraId="4E7772EA">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相符性</w:t>
                  </w:r>
                </w:p>
              </w:tc>
            </w:tr>
            <w:tr w14:paraId="1055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6" w:type="pct"/>
                  <w:noWrap w:val="0"/>
                  <w:vAlign w:val="center"/>
                </w:tcPr>
                <w:p w14:paraId="4971C3D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eastAsia" w:ascii="宋体" w:hAnsi="宋体" w:eastAsia="宋体" w:cs="宋体"/>
                      <w:color w:val="auto"/>
                      <w:kern w:val="0"/>
                      <w:sz w:val="21"/>
                      <w:szCs w:val="21"/>
                      <w:highlight w:val="none"/>
                      <w:lang w:val="en-US" w:eastAsia="zh-CN" w:bidi="ar"/>
                    </w:rPr>
                    <w:t>结合国土空间规划，优化产业布局。开发区现状部分不符合国土空间规划。进一步优化调整各产业组团的功能布局，不符合功能布局的现状企业控制发展规模，必要时按产业分区适时进行调区，特别是纺织服装业组团内食品企业应逐步引导至相应的功能片区。</w:t>
                  </w:r>
                </w:p>
              </w:tc>
              <w:tc>
                <w:tcPr>
                  <w:tcW w:w="1921" w:type="pct"/>
                  <w:noWrap w:val="0"/>
                  <w:vAlign w:val="center"/>
                </w:tcPr>
                <w:p w14:paraId="7E00A61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本项目位于五河县城南工业园区工业五路中</w:t>
                  </w:r>
                  <w:r>
                    <w:rPr>
                      <w:rFonts w:hint="eastAsia" w:ascii="宋体" w:hAnsi="宋体" w:cs="宋体"/>
                      <w:color w:val="auto"/>
                      <w:kern w:val="0"/>
                      <w:sz w:val="21"/>
                      <w:szCs w:val="21"/>
                      <w:highlight w:val="none"/>
                      <w:lang w:val="en-US" w:eastAsia="zh-CN" w:bidi="ar"/>
                    </w:rPr>
                    <w:t>段</w:t>
                  </w:r>
                  <w:r>
                    <w:rPr>
                      <w:rFonts w:hint="eastAsia" w:ascii="宋体" w:hAnsi="宋体" w:eastAsia="宋体" w:cs="宋体"/>
                      <w:color w:val="auto"/>
                      <w:kern w:val="0"/>
                      <w:sz w:val="21"/>
                      <w:szCs w:val="21"/>
                      <w:highlight w:val="none"/>
                      <w:lang w:val="en-US" w:eastAsia="zh-CN" w:bidi="ar"/>
                    </w:rPr>
                    <w:t>南侧，符合开发区产业分区要求。项目用地对照五河县“三区三线”成果，位于城镇开发边界内；用地性质为工业用地，满足五河县国土空间规划要求。</w:t>
                  </w:r>
                </w:p>
              </w:tc>
              <w:tc>
                <w:tcPr>
                  <w:tcW w:w="531" w:type="pct"/>
                  <w:gridSpan w:val="2"/>
                  <w:noWrap w:val="0"/>
                  <w:vAlign w:val="center"/>
                </w:tcPr>
                <w:p w14:paraId="6646621B">
                  <w:pPr>
                    <w:keepNext w:val="0"/>
                    <w:keepLines w:val="0"/>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符合</w:t>
                  </w:r>
                </w:p>
              </w:tc>
            </w:tr>
            <w:tr w14:paraId="778E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546" w:type="pct"/>
                  <w:noWrap w:val="0"/>
                  <w:vAlign w:val="center"/>
                </w:tcPr>
                <w:p w14:paraId="407BF0E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eastAsia" w:ascii="宋体" w:hAnsi="宋体" w:eastAsia="宋体" w:cs="宋体"/>
                      <w:color w:val="auto"/>
                      <w:kern w:val="0"/>
                      <w:sz w:val="21"/>
                      <w:szCs w:val="21"/>
                      <w:highlight w:val="none"/>
                      <w:lang w:val="en-US" w:eastAsia="zh-CN" w:bidi="ar"/>
                    </w:rPr>
                    <w:t>完善环境风险防控。定期开展应急演练；督促相关企业落实环境风险管理要求。</w:t>
                  </w:r>
                </w:p>
              </w:tc>
              <w:tc>
                <w:tcPr>
                  <w:tcW w:w="1921" w:type="pct"/>
                  <w:noWrap w:val="0"/>
                  <w:vAlign w:val="center"/>
                </w:tcPr>
                <w:p w14:paraId="6A7B856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本项目建成后需编制突发环境事件应急预案，定期开展应急演练。</w:t>
                  </w:r>
                </w:p>
              </w:tc>
              <w:tc>
                <w:tcPr>
                  <w:tcW w:w="531" w:type="pct"/>
                  <w:gridSpan w:val="2"/>
                  <w:noWrap w:val="0"/>
                  <w:vAlign w:val="center"/>
                </w:tcPr>
                <w:p w14:paraId="540EFD10">
                  <w:pPr>
                    <w:keepNext w:val="0"/>
                    <w:keepLines w:val="0"/>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符合</w:t>
                  </w:r>
                </w:p>
              </w:tc>
            </w:tr>
            <w:tr w14:paraId="6EDA7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6" w:type="pct"/>
                  <w:noWrap w:val="0"/>
                  <w:vAlign w:val="center"/>
                </w:tcPr>
                <w:p w14:paraId="51898E8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eastAsia" w:ascii="宋体" w:hAnsi="宋体" w:eastAsia="宋体" w:cs="宋体"/>
                      <w:color w:val="auto"/>
                      <w:kern w:val="0"/>
                      <w:sz w:val="21"/>
                      <w:szCs w:val="21"/>
                      <w:highlight w:val="none"/>
                      <w:lang w:val="en-US" w:eastAsia="zh-CN" w:bidi="ar"/>
                    </w:rPr>
                    <w:t>加大污染防控力度。入驻企业应加强并落实环境影响减缓措施和排污许可证制度，加强对污染治理设施的维护，确保污染治理设施正常运行、稳定达标排放。</w:t>
                  </w:r>
                </w:p>
              </w:tc>
              <w:tc>
                <w:tcPr>
                  <w:tcW w:w="1921" w:type="pct"/>
                  <w:noWrap w:val="0"/>
                  <w:vAlign w:val="center"/>
                </w:tcPr>
                <w:p w14:paraId="7A7155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加大污染防控力度。入驻企业应加强并落实环境影响减缓措施和排污许可证制度，加强对污染治理设施的维护，确保污染治理设施正常运行、稳定达标排放。</w:t>
                  </w:r>
                </w:p>
              </w:tc>
              <w:tc>
                <w:tcPr>
                  <w:tcW w:w="531" w:type="pct"/>
                  <w:gridSpan w:val="2"/>
                  <w:noWrap w:val="0"/>
                  <w:vAlign w:val="center"/>
                </w:tcPr>
                <w:p w14:paraId="15A2D062">
                  <w:pPr>
                    <w:keepNext w:val="0"/>
                    <w:keepLines w:val="0"/>
                    <w:suppressLineNumbers w:val="0"/>
                    <w:spacing w:before="0" w:beforeAutospacing="0" w:after="0" w:afterAutospacing="0"/>
                    <w:ind w:left="0" w:right="0"/>
                    <w:jc w:val="center"/>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符合</w:t>
                  </w:r>
                </w:p>
              </w:tc>
            </w:tr>
          </w:tbl>
          <w:p w14:paraId="2795A74D">
            <w:pPr>
              <w:pStyle w:val="16"/>
              <w:keepNext w:val="0"/>
              <w:keepLines w:val="0"/>
              <w:suppressLineNumbers w:val="0"/>
              <w:spacing w:before="0" w:beforeAutospacing="0" w:afterAutospacing="0"/>
              <w:ind w:left="0" w:leftChars="0" w:right="0" w:firstLine="0" w:firstLineChars="0"/>
              <w:rPr>
                <w:rFonts w:hint="eastAsia"/>
                <w:color w:val="auto"/>
                <w:highlight w:val="none"/>
                <w:lang w:eastAsia="zh-CN"/>
              </w:rPr>
            </w:pPr>
          </w:p>
        </w:tc>
      </w:tr>
      <w:tr w14:paraId="0FB24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1270" w:type="dxa"/>
            <w:noWrap w:val="0"/>
            <w:vAlign w:val="center"/>
          </w:tcPr>
          <w:p w14:paraId="2F23358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Cs w:val="22"/>
                <w:highlight w:val="none"/>
              </w:rPr>
            </w:pPr>
            <w:r>
              <w:rPr>
                <w:rFonts w:hint="default" w:ascii="Times New Roman" w:hAnsi="Times New Roman" w:eastAsia="宋体" w:cs="Times New Roman"/>
                <w:color w:val="auto"/>
                <w:sz w:val="24"/>
                <w:szCs w:val="24"/>
                <w:highlight w:val="none"/>
              </w:rPr>
              <w:t>其他符合性分析</w:t>
            </w:r>
          </w:p>
        </w:tc>
        <w:tc>
          <w:tcPr>
            <w:tcW w:w="7252" w:type="dxa"/>
            <w:gridSpan w:val="4"/>
            <w:noWrap w:val="0"/>
            <w:vAlign w:val="center"/>
          </w:tcPr>
          <w:p w14:paraId="33ACE8C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b/>
                <w:color w:val="auto"/>
                <w:kern w:val="0"/>
                <w:sz w:val="24"/>
                <w:szCs w:val="22"/>
                <w:highlight w:val="none"/>
                <w:lang w:val="en-US" w:eastAsia="zh-CN"/>
              </w:rPr>
              <w:t>1、产业政策符合性</w:t>
            </w:r>
            <w:r>
              <w:rPr>
                <w:rFonts w:hint="default" w:ascii="Times New Roman" w:hAnsi="Times New Roman" w:cs="Times New Roman"/>
                <w:b/>
                <w:color w:val="auto"/>
                <w:kern w:val="0"/>
                <w:sz w:val="24"/>
                <w:szCs w:val="22"/>
                <w:highlight w:val="none"/>
              </w:rPr>
              <w:t>分析</w:t>
            </w:r>
          </w:p>
          <w:p w14:paraId="54EDB643">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对照《产业结构调整指导目录（</w:t>
            </w:r>
            <w:r>
              <w:rPr>
                <w:rFonts w:hint="default" w:ascii="Times New Roman" w:hAnsi="Times New Roman" w:eastAsia="宋体" w:cs="Times New Roman"/>
                <w:color w:val="auto"/>
                <w:kern w:val="2"/>
                <w:sz w:val="24"/>
                <w:szCs w:val="24"/>
                <w:highlight w:val="none"/>
                <w:lang w:val="en-US" w:eastAsia="zh-CN" w:bidi="ar-SA"/>
              </w:rPr>
              <w:t>2024</w:t>
            </w:r>
            <w:r>
              <w:rPr>
                <w:rFonts w:hint="eastAsia" w:ascii="Times New Roman" w:hAnsi="Times New Roman" w:eastAsia="宋体" w:cs="Times New Roman"/>
                <w:color w:val="auto"/>
                <w:kern w:val="2"/>
                <w:sz w:val="24"/>
                <w:szCs w:val="24"/>
                <w:highlight w:val="none"/>
                <w:lang w:val="en-US" w:eastAsia="zh-CN" w:bidi="ar-SA"/>
              </w:rPr>
              <w:t>年本）》，新建项目不属于“鼓励类”、“限制类”和“淘汰类”项目，</w:t>
            </w:r>
            <w:r>
              <w:rPr>
                <w:rFonts w:hint="default" w:ascii="Times New Roman" w:hAnsi="Times New Roman" w:cs="Times New Roman"/>
                <w:color w:val="auto"/>
                <w:sz w:val="24"/>
                <w:szCs w:val="22"/>
                <w:highlight w:val="none"/>
              </w:rPr>
              <w:t>且符合国家有关法律、法规和政策规定</w:t>
            </w:r>
            <w:r>
              <w:rPr>
                <w:rFonts w:hint="default" w:ascii="Times New Roman" w:hAnsi="Times New Roman" w:cs="Times New Roman"/>
                <w:color w:val="auto"/>
                <w:sz w:val="24"/>
                <w:szCs w:val="22"/>
                <w:highlight w:val="none"/>
                <w:lang w:eastAsia="zh-CN"/>
              </w:rPr>
              <w:t>，</w:t>
            </w:r>
            <w:r>
              <w:rPr>
                <w:rFonts w:hint="eastAsia" w:ascii="Times New Roman" w:hAnsi="Times New Roman" w:eastAsia="宋体" w:cs="Times New Roman"/>
                <w:color w:val="auto"/>
                <w:kern w:val="2"/>
                <w:sz w:val="24"/>
                <w:szCs w:val="24"/>
                <w:highlight w:val="none"/>
                <w:lang w:val="en-US" w:eastAsia="zh-CN" w:bidi="ar-SA"/>
              </w:rPr>
              <w:t xml:space="preserve">视为允许类，符合国家产业政策。 </w:t>
            </w:r>
          </w:p>
          <w:p w14:paraId="272BAA04">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202</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年</w:t>
            </w: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月</w:t>
            </w:r>
            <w:r>
              <w:rPr>
                <w:rFonts w:hint="default" w:ascii="Times New Roman" w:hAnsi="Times New Roman" w:eastAsia="宋体" w:cs="Times New Roman"/>
                <w:color w:val="auto"/>
                <w:kern w:val="2"/>
                <w:sz w:val="24"/>
                <w:szCs w:val="24"/>
                <w:highlight w:val="none"/>
                <w:lang w:val="en-US" w:eastAsia="zh-CN" w:bidi="ar-SA"/>
              </w:rPr>
              <w:t>1</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 xml:space="preserve">日，五河县发展和改革委员会同意本项目备案，项目代码为 </w:t>
            </w:r>
            <w:r>
              <w:rPr>
                <w:rFonts w:hint="default" w:ascii="Times New Roman" w:hAnsi="Times New Roman" w:eastAsia="宋体" w:cs="Times New Roman"/>
                <w:color w:val="auto"/>
                <w:kern w:val="2"/>
                <w:sz w:val="24"/>
                <w:szCs w:val="24"/>
                <w:highlight w:val="none"/>
                <w:lang w:val="en-US" w:eastAsia="zh-CN" w:bidi="ar-SA"/>
              </w:rPr>
              <w:t>2</w:t>
            </w:r>
            <w:r>
              <w:rPr>
                <w:rFonts w:hint="eastAsia" w:cs="Times New Roman"/>
                <w:color w:val="auto"/>
                <w:kern w:val="2"/>
                <w:sz w:val="24"/>
                <w:szCs w:val="24"/>
                <w:highlight w:val="none"/>
                <w:lang w:val="en-US" w:eastAsia="zh-CN" w:bidi="ar-SA"/>
              </w:rPr>
              <w:t>503</w:t>
            </w:r>
            <w:r>
              <w:rPr>
                <w:rFonts w:hint="default" w:ascii="Times New Roman" w:hAnsi="Times New Roman" w:eastAsia="宋体" w:cs="Times New Roman"/>
                <w:color w:val="auto"/>
                <w:kern w:val="2"/>
                <w:sz w:val="24"/>
                <w:szCs w:val="24"/>
                <w:highlight w:val="none"/>
                <w:lang w:val="en-US" w:eastAsia="zh-CN" w:bidi="ar-SA"/>
              </w:rPr>
              <w:t>-340322-04-0</w:t>
            </w:r>
            <w:r>
              <w:rPr>
                <w:rFonts w:hint="eastAsia"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-1</w:t>
            </w:r>
            <w:r>
              <w:rPr>
                <w:rFonts w:hint="eastAsia" w:cs="Times New Roman"/>
                <w:color w:val="auto"/>
                <w:kern w:val="2"/>
                <w:sz w:val="24"/>
                <w:szCs w:val="24"/>
                <w:highlight w:val="none"/>
                <w:lang w:val="en-US" w:eastAsia="zh-CN" w:bidi="ar-SA"/>
              </w:rPr>
              <w:t>80136</w:t>
            </w:r>
            <w:r>
              <w:rPr>
                <w:rFonts w:hint="eastAsia" w:ascii="Times New Roman" w:hAnsi="Times New Roman" w:eastAsia="宋体" w:cs="Times New Roman"/>
                <w:color w:val="auto"/>
                <w:kern w:val="2"/>
                <w:sz w:val="24"/>
                <w:szCs w:val="24"/>
                <w:highlight w:val="none"/>
                <w:lang w:val="en-US" w:eastAsia="zh-CN" w:bidi="ar-SA"/>
              </w:rPr>
              <w:t xml:space="preserve">。 </w:t>
            </w:r>
          </w:p>
          <w:p w14:paraId="5E2BB471">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综上所述，项目的建设符合国家现行产业政策和地方产业政策。</w:t>
            </w:r>
          </w:p>
          <w:p w14:paraId="4F3B8AA5">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jc w:val="left"/>
              <w:textAlignment w:val="auto"/>
              <w:rPr>
                <w:rFonts w:hint="eastAsia" w:ascii="Times New Roman" w:hAnsi="Times New Roman" w:cs="Times New Roman"/>
                <w:b/>
                <w:color w:val="auto"/>
                <w:kern w:val="0"/>
                <w:sz w:val="24"/>
                <w:szCs w:val="22"/>
                <w:highlight w:val="none"/>
                <w:lang w:val="en-US" w:eastAsia="zh-CN"/>
              </w:rPr>
            </w:pPr>
            <w:r>
              <w:rPr>
                <w:rFonts w:hint="eastAsia" w:ascii="Times New Roman" w:hAnsi="Times New Roman" w:cs="Times New Roman"/>
                <w:b/>
                <w:color w:val="auto"/>
                <w:kern w:val="0"/>
                <w:sz w:val="24"/>
                <w:szCs w:val="22"/>
                <w:highlight w:val="none"/>
                <w:lang w:val="en-US" w:eastAsia="zh-CN"/>
              </w:rPr>
              <w:t xml:space="preserve">2、与周边环境相容性分析 </w:t>
            </w:r>
          </w:p>
          <w:p w14:paraId="1E587195">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jc w:val="left"/>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本项目位于蚌埠市五河县城南工业园区工业五路中段南侧，项目北侧为五河富民农机有限公司、五河县胡敏服饰有限公司、安徽名辰新材料有限公司和蚌埠市品江塑业有限公司，西侧为安徽巢河渔具有限公司，东侧为五河富强鑫金属制品有限公司，南侧为青松种业、安徽省阳明达新材料科技有限公司和美嘉达纺织科技有限公司</w:t>
            </w:r>
            <w:r>
              <w:rPr>
                <w:rStyle w:val="331"/>
                <w:rFonts w:hint="default" w:ascii="Times New Roman" w:hAnsi="Times New Roman" w:eastAsia="宋体" w:cs="Times New Roman"/>
                <w:color w:val="auto"/>
                <w:highlight w:val="none"/>
                <w:lang w:eastAsia="zh-CN"/>
              </w:rPr>
              <w:t>，</w:t>
            </w:r>
            <w:r>
              <w:rPr>
                <w:rStyle w:val="331"/>
                <w:rFonts w:hint="default" w:ascii="Times New Roman" w:hAnsi="Times New Roman" w:eastAsia="宋体" w:cs="Times New Roman"/>
                <w:color w:val="auto"/>
                <w:highlight w:val="none"/>
                <w:lang w:val="en-US" w:eastAsia="zh-CN"/>
              </w:rPr>
              <w:t>均为生产性企业</w:t>
            </w:r>
            <w:r>
              <w:rPr>
                <w:rFonts w:hint="eastAsia" w:cs="Times New Roman"/>
                <w:color w:val="auto"/>
                <w:kern w:val="2"/>
                <w:sz w:val="24"/>
                <w:szCs w:val="24"/>
                <w:highlight w:val="none"/>
                <w:lang w:val="en-US" w:eastAsia="zh-CN" w:bidi="ar-SA"/>
              </w:rPr>
              <w:t xml:space="preserve">。 </w:t>
            </w:r>
          </w:p>
          <w:p w14:paraId="67E5EBAA">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jc w:val="left"/>
              <w:textAlignment w:val="auto"/>
              <w:rPr>
                <w:rFonts w:hint="eastAsia" w:cs="Times New Roman"/>
                <w:color w:val="auto"/>
                <w:kern w:val="2"/>
                <w:sz w:val="24"/>
                <w:szCs w:val="24"/>
                <w:highlight w:val="none"/>
                <w:lang w:val="en-US" w:eastAsia="zh-CN" w:bidi="ar-SA"/>
              </w:rPr>
            </w:pPr>
            <w:r>
              <w:rPr>
                <w:rFonts w:hint="default" w:cs="Times New Roman"/>
                <w:color w:val="auto"/>
                <w:kern w:val="2"/>
                <w:sz w:val="24"/>
                <w:szCs w:val="24"/>
                <w:highlight w:val="none"/>
                <w:lang w:val="en-US" w:eastAsia="zh-CN" w:bidi="ar-SA"/>
              </w:rPr>
              <w:t>项目评价范围内无自然保护区、风景名胜区、文化遗产保护区、世界文化自然遗产和森林公园、地质公园、湿地公园等保护地以及饮用水水源保护区，评价范围内无明显环境制约因素</w:t>
            </w:r>
            <w:r>
              <w:rPr>
                <w:rFonts w:hint="eastAsia" w:cs="Times New Roman"/>
                <w:color w:val="auto"/>
                <w:kern w:val="2"/>
                <w:sz w:val="24"/>
                <w:szCs w:val="24"/>
                <w:highlight w:val="none"/>
                <w:lang w:val="en-US" w:eastAsia="zh-CN" w:bidi="ar-SA"/>
              </w:rPr>
              <w:t>。因此，项目的选址与周边环境是相容的。</w:t>
            </w:r>
          </w:p>
          <w:p w14:paraId="55876349">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jc w:val="left"/>
              <w:textAlignment w:val="auto"/>
              <w:rPr>
                <w:rFonts w:hint="eastAsia" w:ascii="Times New Roman" w:hAnsi="Times New Roman" w:cs="Times New Roman"/>
                <w:b/>
                <w:bCs/>
                <w:color w:val="auto"/>
                <w:kern w:val="0"/>
                <w:sz w:val="24"/>
                <w:szCs w:val="24"/>
                <w:highlight w:val="none"/>
                <w:lang w:val="en-US" w:eastAsia="zh-CN" w:bidi="ar"/>
              </w:rPr>
            </w:pPr>
            <w:r>
              <w:rPr>
                <w:rFonts w:hint="eastAsia" w:ascii="Times New Roman" w:hAnsi="Times New Roman" w:cs="Times New Roman"/>
                <w:b/>
                <w:bCs/>
                <w:color w:val="auto"/>
                <w:kern w:val="0"/>
                <w:sz w:val="24"/>
                <w:szCs w:val="24"/>
                <w:highlight w:val="none"/>
                <w:lang w:val="en-US" w:eastAsia="zh-CN" w:bidi="ar"/>
              </w:rPr>
              <w:t>3、与“三线一单”相符性分析</w:t>
            </w:r>
          </w:p>
          <w:p w14:paraId="6B70888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76" w:firstLineChars="200"/>
              <w:jc w:val="left"/>
              <w:textAlignment w:val="auto"/>
              <w:rPr>
                <w:color w:val="auto"/>
                <w:spacing w:val="10"/>
                <w:sz w:val="24"/>
                <w:szCs w:val="24"/>
                <w:highlight w:val="none"/>
              </w:rPr>
            </w:pPr>
            <w:r>
              <w:rPr>
                <w:color w:val="auto"/>
                <w:spacing w:val="-1"/>
                <w:sz w:val="24"/>
                <w:szCs w:val="24"/>
                <w:highlight w:val="none"/>
              </w:rPr>
              <w:t>（一）项目与蚌埠市生态环境分区管控成果动态更新情况说明相符性分析</w:t>
            </w:r>
            <w:r>
              <w:rPr>
                <w:color w:val="auto"/>
                <w:spacing w:val="10"/>
                <w:sz w:val="24"/>
                <w:szCs w:val="24"/>
                <w:highlight w:val="none"/>
              </w:rPr>
              <w:t xml:space="preserve"> </w:t>
            </w:r>
          </w:p>
          <w:p w14:paraId="71D2B6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4"/>
                <w:szCs w:val="24"/>
                <w:highlight w:val="none"/>
                <w:lang w:val="en-US" w:eastAsia="zh-CN" w:bidi="ar"/>
              </w:rPr>
            </w:pPr>
            <w:r>
              <w:rPr>
                <w:b/>
                <w:bCs/>
                <w:color w:val="auto"/>
                <w:spacing w:val="-2"/>
                <w:szCs w:val="22"/>
                <w:highlight w:val="none"/>
              </w:rPr>
              <w:t>表</w:t>
            </w:r>
            <w:r>
              <w:rPr>
                <w:color w:val="auto"/>
                <w:spacing w:val="-45"/>
                <w:szCs w:val="22"/>
                <w:highlight w:val="none"/>
              </w:rPr>
              <w:t xml:space="preserve"> </w:t>
            </w:r>
            <w:r>
              <w:rPr>
                <w:rFonts w:ascii="Times New Roman" w:hAnsi="Times New Roman" w:eastAsia="Times New Roman" w:cs="Times New Roman"/>
                <w:b/>
                <w:bCs/>
                <w:color w:val="auto"/>
                <w:spacing w:val="-2"/>
                <w:szCs w:val="22"/>
                <w:highlight w:val="none"/>
              </w:rPr>
              <w:t>1-</w:t>
            </w:r>
            <w:r>
              <w:rPr>
                <w:rFonts w:hint="eastAsia" w:ascii="Times New Roman" w:hAnsi="Times New Roman" w:eastAsia="宋体" w:cs="Times New Roman"/>
                <w:b/>
                <w:bCs/>
                <w:color w:val="auto"/>
                <w:spacing w:val="-2"/>
                <w:szCs w:val="22"/>
                <w:highlight w:val="none"/>
                <w:lang w:val="en-US" w:eastAsia="zh-CN"/>
              </w:rPr>
              <w:t xml:space="preserve">5  </w:t>
            </w:r>
            <w:r>
              <w:rPr>
                <w:b/>
                <w:bCs/>
                <w:color w:val="auto"/>
                <w:spacing w:val="-2"/>
                <w:szCs w:val="22"/>
                <w:highlight w:val="none"/>
              </w:rPr>
              <w:t>与蚌埠市生态环境分区管控成果动态更新情况说明相符性分析</w:t>
            </w:r>
          </w:p>
          <w:tbl>
            <w:tblPr>
              <w:tblStyle w:val="323"/>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2"/>
              <w:gridCol w:w="3755"/>
              <w:gridCol w:w="2055"/>
              <w:gridCol w:w="610"/>
            </w:tblGrid>
            <w:tr w14:paraId="37A60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9" w:type="pct"/>
                  <w:tcBorders>
                    <w:tl2br w:val="nil"/>
                    <w:tr2bl w:val="nil"/>
                  </w:tcBorders>
                  <w:vAlign w:val="center"/>
                </w:tcPr>
                <w:p w14:paraId="182DA9C7">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类别</w:t>
                  </w:r>
                </w:p>
              </w:tc>
              <w:tc>
                <w:tcPr>
                  <w:tcW w:w="2673" w:type="pct"/>
                  <w:tcBorders>
                    <w:tl2br w:val="nil"/>
                    <w:tr2bl w:val="nil"/>
                  </w:tcBorders>
                  <w:vAlign w:val="center"/>
                </w:tcPr>
                <w:p w14:paraId="16F9F542">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蚌埠市“三线一单</w:t>
                  </w:r>
                  <w:r>
                    <w:rPr>
                      <w:rFonts w:hint="default" w:ascii="Times New Roman" w:hAnsi="Times New Roman" w:eastAsia="宋体" w:cs="Times New Roman"/>
                      <w:color w:val="auto"/>
                      <w:spacing w:val="-72"/>
                      <w:sz w:val="21"/>
                      <w:szCs w:val="21"/>
                      <w:highlight w:val="none"/>
                    </w:rPr>
                    <w:t xml:space="preserve"> </w:t>
                  </w:r>
                  <w:r>
                    <w:rPr>
                      <w:rFonts w:hint="default" w:ascii="Times New Roman" w:hAnsi="Times New Roman" w:eastAsia="宋体" w:cs="Times New Roman"/>
                      <w:b/>
                      <w:bCs/>
                      <w:color w:val="auto"/>
                      <w:spacing w:val="5"/>
                      <w:sz w:val="21"/>
                      <w:szCs w:val="21"/>
                      <w:highlight w:val="none"/>
                    </w:rPr>
                    <w:t>”要求</w:t>
                  </w:r>
                </w:p>
              </w:tc>
              <w:tc>
                <w:tcPr>
                  <w:tcW w:w="1463" w:type="pct"/>
                  <w:tcBorders>
                    <w:tl2br w:val="nil"/>
                    <w:tr2bl w:val="nil"/>
                  </w:tcBorders>
                  <w:vAlign w:val="center"/>
                </w:tcPr>
                <w:p w14:paraId="376C1961">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项目情况</w:t>
                  </w:r>
                </w:p>
              </w:tc>
              <w:tc>
                <w:tcPr>
                  <w:tcW w:w="434" w:type="pct"/>
                  <w:tcBorders>
                    <w:tl2br w:val="nil"/>
                    <w:tr2bl w:val="nil"/>
                  </w:tcBorders>
                  <w:vAlign w:val="center"/>
                </w:tcPr>
                <w:p w14:paraId="7062FECC">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相符性</w:t>
                  </w:r>
                </w:p>
              </w:tc>
            </w:tr>
            <w:tr w14:paraId="3DDED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9" w:type="pct"/>
                  <w:tcBorders>
                    <w:tl2br w:val="nil"/>
                    <w:tr2bl w:val="nil"/>
                  </w:tcBorders>
                  <w:vAlign w:val="center"/>
                </w:tcPr>
                <w:p w14:paraId="23F8273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3C42639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7BCD4327">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生态</w:t>
                  </w:r>
                </w:p>
                <w:p w14:paraId="2791D6E0">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保护</w:t>
                  </w:r>
                </w:p>
                <w:p w14:paraId="4521853B">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红线</w:t>
                  </w:r>
                </w:p>
              </w:tc>
              <w:tc>
                <w:tcPr>
                  <w:tcW w:w="2673" w:type="pct"/>
                  <w:tcBorders>
                    <w:tl2br w:val="nil"/>
                    <w:tr2bl w:val="nil"/>
                  </w:tcBorders>
                  <w:vAlign w:val="center"/>
                </w:tcPr>
                <w:p w14:paraId="6A246C4D">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0"/>
                      <w:sz w:val="21"/>
                      <w:szCs w:val="21"/>
                      <w:highlight w:val="none"/>
                    </w:rPr>
                    <w:t>依据中共中央办公厅、国务院办公厅印发的《关</w:t>
                  </w:r>
                  <w:r>
                    <w:rPr>
                      <w:rFonts w:hint="default" w:ascii="Times New Roman" w:hAnsi="Times New Roman" w:eastAsia="宋体" w:cs="Times New Roman"/>
                      <w:color w:val="auto"/>
                      <w:spacing w:val="11"/>
                      <w:sz w:val="21"/>
                      <w:szCs w:val="21"/>
                      <w:highlight w:val="none"/>
                    </w:rPr>
                    <w:t>于划定并严守生态保护红线的若干意见》，</w:t>
                  </w:r>
                  <w:r>
                    <w:rPr>
                      <w:rFonts w:hint="default" w:ascii="Times New Roman" w:hAnsi="Times New Roman" w:eastAsia="宋体" w:cs="Times New Roman"/>
                      <w:color w:val="auto"/>
                      <w:spacing w:val="10"/>
                      <w:sz w:val="21"/>
                      <w:szCs w:val="21"/>
                      <w:highlight w:val="none"/>
                    </w:rPr>
                    <w:t>生态保护</w:t>
                  </w:r>
                  <w:r>
                    <w:rPr>
                      <w:rFonts w:hint="default" w:ascii="Times New Roman" w:hAnsi="Times New Roman" w:eastAsia="宋体" w:cs="Times New Roman"/>
                      <w:color w:val="auto"/>
                      <w:spacing w:val="11"/>
                      <w:sz w:val="21"/>
                      <w:szCs w:val="21"/>
                      <w:highlight w:val="none"/>
                    </w:rPr>
                    <w:t>红线原则上按禁止开发区域的要求进行管理</w:t>
                  </w:r>
                  <w:r>
                    <w:rPr>
                      <w:rFonts w:hint="default" w:ascii="Times New Roman" w:hAnsi="Times New Roman" w:eastAsia="宋体" w:cs="Times New Roman"/>
                      <w:color w:val="auto"/>
                      <w:spacing w:val="10"/>
                      <w:sz w:val="21"/>
                      <w:szCs w:val="21"/>
                      <w:highlight w:val="none"/>
                    </w:rPr>
                    <w:t>。严禁不</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11"/>
                      <w:sz w:val="21"/>
                      <w:szCs w:val="21"/>
                      <w:highlight w:val="none"/>
                    </w:rPr>
                    <w:t>符合主体功能定位的各类开发活动，严禁任</w:t>
                  </w:r>
                  <w:r>
                    <w:rPr>
                      <w:rFonts w:hint="default" w:ascii="Times New Roman" w:hAnsi="Times New Roman" w:eastAsia="宋体" w:cs="Times New Roman"/>
                      <w:color w:val="auto"/>
                      <w:spacing w:val="10"/>
                      <w:sz w:val="21"/>
                      <w:szCs w:val="21"/>
                      <w:highlight w:val="none"/>
                    </w:rPr>
                    <w:t>意改变用</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11"/>
                      <w:sz w:val="21"/>
                      <w:szCs w:val="21"/>
                      <w:highlight w:val="none"/>
                    </w:rPr>
                    <w:t>途，确保生态保护红线的生态功能不降低、</w:t>
                  </w:r>
                  <w:r>
                    <w:rPr>
                      <w:rFonts w:hint="default" w:ascii="Times New Roman" w:hAnsi="Times New Roman" w:eastAsia="宋体" w:cs="Times New Roman"/>
                      <w:color w:val="auto"/>
                      <w:spacing w:val="10"/>
                      <w:sz w:val="21"/>
                      <w:szCs w:val="21"/>
                      <w:highlight w:val="none"/>
                    </w:rPr>
                    <w:t>面积不减</w:t>
                  </w:r>
                  <w:r>
                    <w:rPr>
                      <w:rFonts w:hint="default" w:ascii="Times New Roman" w:hAnsi="Times New Roman" w:eastAsia="宋体" w:cs="Times New Roman"/>
                      <w:color w:val="auto"/>
                      <w:spacing w:val="24"/>
                      <w:sz w:val="21"/>
                      <w:szCs w:val="21"/>
                      <w:highlight w:val="none"/>
                    </w:rPr>
                    <w:t>少</w:t>
                  </w:r>
                  <w:r>
                    <w:rPr>
                      <w:rFonts w:hint="default" w:ascii="Times New Roman" w:hAnsi="Times New Roman" w:eastAsia="宋体" w:cs="Times New Roman"/>
                      <w:color w:val="auto"/>
                      <w:spacing w:val="-50"/>
                      <w:sz w:val="21"/>
                      <w:szCs w:val="21"/>
                      <w:highlight w:val="none"/>
                    </w:rPr>
                    <w:t xml:space="preserve"> </w:t>
                  </w:r>
                  <w:r>
                    <w:rPr>
                      <w:rFonts w:hint="default" w:ascii="Times New Roman" w:hAnsi="Times New Roman" w:eastAsia="宋体" w:cs="Times New Roman"/>
                      <w:color w:val="auto"/>
                      <w:spacing w:val="24"/>
                      <w:sz w:val="21"/>
                      <w:szCs w:val="21"/>
                      <w:highlight w:val="none"/>
                    </w:rPr>
                    <w:t>、</w:t>
                  </w:r>
                  <w:r>
                    <w:rPr>
                      <w:rFonts w:hint="default" w:ascii="Times New Roman" w:hAnsi="Times New Roman" w:eastAsia="宋体" w:cs="Times New Roman"/>
                      <w:color w:val="auto"/>
                      <w:spacing w:val="-59"/>
                      <w:sz w:val="21"/>
                      <w:szCs w:val="21"/>
                      <w:highlight w:val="none"/>
                    </w:rPr>
                    <w:t xml:space="preserve"> </w:t>
                  </w:r>
                  <w:r>
                    <w:rPr>
                      <w:rFonts w:hint="default" w:ascii="Times New Roman" w:hAnsi="Times New Roman" w:eastAsia="宋体" w:cs="Times New Roman"/>
                      <w:color w:val="auto"/>
                      <w:spacing w:val="24"/>
                      <w:sz w:val="21"/>
                      <w:szCs w:val="21"/>
                      <w:highlight w:val="none"/>
                    </w:rPr>
                    <w:t>性质不改变</w:t>
                  </w:r>
                  <w:r>
                    <w:rPr>
                      <w:rFonts w:hint="default" w:ascii="Times New Roman" w:hAnsi="Times New Roman" w:eastAsia="宋体" w:cs="Times New Roman"/>
                      <w:color w:val="auto"/>
                      <w:spacing w:val="-48"/>
                      <w:sz w:val="21"/>
                      <w:szCs w:val="21"/>
                      <w:highlight w:val="none"/>
                    </w:rPr>
                    <w:t xml:space="preserve"> </w:t>
                  </w:r>
                  <w:r>
                    <w:rPr>
                      <w:rFonts w:hint="default" w:ascii="Times New Roman" w:hAnsi="Times New Roman" w:eastAsia="宋体" w:cs="Times New Roman"/>
                      <w:color w:val="auto"/>
                      <w:spacing w:val="24"/>
                      <w:sz w:val="21"/>
                      <w:szCs w:val="21"/>
                      <w:highlight w:val="none"/>
                    </w:rPr>
                    <w:t>。蚌埠市生态保护红线总面积为</w:t>
                  </w:r>
                  <w:r>
                    <w:rPr>
                      <w:rFonts w:hint="default" w:ascii="Times New Roman" w:hAnsi="Times New Roman" w:eastAsia="宋体" w:cs="Times New Roman"/>
                      <w:color w:val="auto"/>
                      <w:spacing w:val="2"/>
                      <w:sz w:val="21"/>
                      <w:szCs w:val="21"/>
                      <w:highlight w:val="none"/>
                    </w:rPr>
                    <w:t>242.67</w:t>
                  </w:r>
                  <w:r>
                    <w:rPr>
                      <w:rFonts w:hint="default" w:ascii="Times New Roman" w:hAnsi="Times New Roman" w:eastAsia="宋体" w:cs="Times New Roman"/>
                      <w:color w:val="auto"/>
                      <w:sz w:val="21"/>
                      <w:szCs w:val="21"/>
                      <w:highlight w:val="none"/>
                    </w:rPr>
                    <w:t>km</w:t>
                  </w:r>
                  <w:r>
                    <w:rPr>
                      <w:rFonts w:hint="default" w:ascii="Times New Roman" w:hAnsi="Times New Roman" w:eastAsia="宋体" w:cs="Times New Roman"/>
                      <w:color w:val="auto"/>
                      <w:spacing w:val="2"/>
                      <w:sz w:val="21"/>
                      <w:szCs w:val="21"/>
                      <w:highlight w:val="none"/>
                      <w:vertAlign w:val="superscript"/>
                    </w:rPr>
                    <w:t>2</w:t>
                  </w:r>
                  <w:r>
                    <w:rPr>
                      <w:rFonts w:hint="default" w:ascii="Times New Roman" w:hAnsi="Times New Roman" w:eastAsia="宋体" w:cs="Times New Roman"/>
                      <w:color w:val="auto"/>
                      <w:spacing w:val="-21"/>
                      <w:sz w:val="21"/>
                      <w:szCs w:val="21"/>
                      <w:highlight w:val="none"/>
                    </w:rPr>
                    <w:t xml:space="preserve"> </w:t>
                  </w:r>
                  <w:r>
                    <w:rPr>
                      <w:rFonts w:hint="default" w:ascii="Times New Roman" w:hAnsi="Times New Roman" w:eastAsia="宋体" w:cs="Times New Roman"/>
                      <w:color w:val="auto"/>
                      <w:spacing w:val="2"/>
                      <w:sz w:val="21"/>
                      <w:szCs w:val="21"/>
                      <w:highlight w:val="none"/>
                    </w:rPr>
                    <w:t>，</w:t>
                  </w:r>
                  <w:r>
                    <w:rPr>
                      <w:rFonts w:hint="default" w:ascii="Times New Roman" w:hAnsi="Times New Roman" w:eastAsia="宋体" w:cs="Times New Roman"/>
                      <w:color w:val="auto"/>
                      <w:spacing w:val="-51"/>
                      <w:sz w:val="21"/>
                      <w:szCs w:val="21"/>
                      <w:highlight w:val="none"/>
                    </w:rPr>
                    <w:t xml:space="preserve"> </w:t>
                  </w:r>
                  <w:r>
                    <w:rPr>
                      <w:rFonts w:hint="default" w:ascii="Times New Roman" w:hAnsi="Times New Roman" w:eastAsia="宋体" w:cs="Times New Roman"/>
                      <w:color w:val="auto"/>
                      <w:spacing w:val="2"/>
                      <w:sz w:val="21"/>
                      <w:szCs w:val="21"/>
                      <w:highlight w:val="none"/>
                    </w:rPr>
                    <w:t>占蚌埠市全市总面积的</w:t>
                  </w:r>
                  <w:r>
                    <w:rPr>
                      <w:rFonts w:hint="default" w:ascii="Times New Roman" w:hAnsi="Times New Roman" w:eastAsia="宋体" w:cs="Times New Roman"/>
                      <w:color w:val="auto"/>
                      <w:spacing w:val="-44"/>
                      <w:sz w:val="21"/>
                      <w:szCs w:val="21"/>
                      <w:highlight w:val="none"/>
                    </w:rPr>
                    <w:t xml:space="preserve"> </w:t>
                  </w:r>
                  <w:r>
                    <w:rPr>
                      <w:rFonts w:hint="default" w:ascii="Times New Roman" w:hAnsi="Times New Roman" w:eastAsia="宋体" w:cs="Times New Roman"/>
                      <w:color w:val="auto"/>
                      <w:spacing w:val="2"/>
                      <w:sz w:val="21"/>
                      <w:szCs w:val="21"/>
                      <w:highlight w:val="none"/>
                    </w:rPr>
                    <w:t>4.08%。</w:t>
                  </w:r>
                </w:p>
              </w:tc>
              <w:tc>
                <w:tcPr>
                  <w:tcW w:w="1463" w:type="pct"/>
                  <w:tcBorders>
                    <w:tl2br w:val="nil"/>
                    <w:tr2bl w:val="nil"/>
                  </w:tcBorders>
                  <w:vAlign w:val="center"/>
                </w:tcPr>
                <w:p w14:paraId="01FA4FA0">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项目位于</w:t>
                  </w:r>
                  <w:r>
                    <w:rPr>
                      <w:rFonts w:hint="default" w:ascii="Times New Roman" w:hAnsi="Times New Roman" w:eastAsia="宋体" w:cs="Times New Roman"/>
                      <w:color w:val="auto"/>
                      <w:kern w:val="0"/>
                      <w:sz w:val="21"/>
                      <w:szCs w:val="21"/>
                      <w:highlight w:val="none"/>
                      <w:lang w:val="en-US" w:eastAsia="zh-CN" w:bidi="ar"/>
                    </w:rPr>
                    <w:t>五河县城南工业园区工业五路中</w:t>
                  </w:r>
                  <w:r>
                    <w:rPr>
                      <w:rFonts w:hint="eastAsia" w:ascii="Times New Roman" w:hAnsi="Times New Roman" w:cs="Times New Roman"/>
                      <w:color w:val="auto"/>
                      <w:kern w:val="0"/>
                      <w:sz w:val="21"/>
                      <w:szCs w:val="21"/>
                      <w:highlight w:val="none"/>
                      <w:lang w:val="en-US" w:eastAsia="zh-CN" w:bidi="ar"/>
                    </w:rPr>
                    <w:t>段</w:t>
                  </w:r>
                  <w:r>
                    <w:rPr>
                      <w:rFonts w:hint="default" w:ascii="Times New Roman" w:hAnsi="Times New Roman" w:eastAsia="宋体" w:cs="Times New Roman"/>
                      <w:color w:val="auto"/>
                      <w:kern w:val="0"/>
                      <w:sz w:val="21"/>
                      <w:szCs w:val="21"/>
                      <w:highlight w:val="none"/>
                      <w:lang w:val="en-US" w:eastAsia="zh-CN" w:bidi="ar"/>
                    </w:rPr>
                    <w:t>南侧</w:t>
                  </w:r>
                  <w:r>
                    <w:rPr>
                      <w:rFonts w:hint="default" w:ascii="Times New Roman" w:hAnsi="Times New Roman" w:eastAsia="宋体" w:cs="Times New Roman"/>
                      <w:color w:val="auto"/>
                      <w:spacing w:val="8"/>
                      <w:sz w:val="21"/>
                      <w:szCs w:val="21"/>
                      <w:highlight w:val="none"/>
                    </w:rPr>
                    <w:t>，周</w:t>
                  </w:r>
                  <w:r>
                    <w:rPr>
                      <w:rFonts w:hint="default" w:ascii="Times New Roman" w:hAnsi="Times New Roman" w:eastAsia="宋体" w:cs="Times New Roman"/>
                      <w:color w:val="auto"/>
                      <w:spacing w:val="9"/>
                      <w:sz w:val="21"/>
                      <w:szCs w:val="21"/>
                      <w:highlight w:val="none"/>
                    </w:rPr>
                    <w:t>边无自然保护区等目</w:t>
                  </w:r>
                  <w:r>
                    <w:rPr>
                      <w:rFonts w:hint="default" w:ascii="Times New Roman" w:hAnsi="Times New Roman" w:eastAsia="宋体" w:cs="Times New Roman"/>
                      <w:color w:val="auto"/>
                      <w:spacing w:val="8"/>
                      <w:sz w:val="21"/>
                      <w:szCs w:val="21"/>
                      <w:highlight w:val="none"/>
                    </w:rPr>
                    <w:t>标，不在蚌埠市生态保</w:t>
                  </w:r>
                  <w:r>
                    <w:rPr>
                      <w:rFonts w:hint="default" w:ascii="Times New Roman" w:hAnsi="Times New Roman" w:eastAsia="宋体" w:cs="Times New Roman"/>
                      <w:color w:val="auto"/>
                      <w:spacing w:val="6"/>
                      <w:sz w:val="21"/>
                      <w:szCs w:val="21"/>
                      <w:highlight w:val="none"/>
                    </w:rPr>
                    <w:t>护红线范围内。</w:t>
                  </w:r>
                </w:p>
              </w:tc>
              <w:tc>
                <w:tcPr>
                  <w:tcW w:w="434" w:type="pct"/>
                  <w:tcBorders>
                    <w:tl2br w:val="nil"/>
                    <w:tr2bl w:val="nil"/>
                  </w:tcBorders>
                  <w:vAlign w:val="center"/>
                </w:tcPr>
                <w:p w14:paraId="231959AB">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符合</w:t>
                  </w:r>
                </w:p>
              </w:tc>
            </w:tr>
            <w:tr w14:paraId="36B67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9" w:type="pct"/>
                  <w:vMerge w:val="restart"/>
                  <w:tcBorders>
                    <w:tl2br w:val="nil"/>
                    <w:tr2bl w:val="nil"/>
                  </w:tcBorders>
                  <w:vAlign w:val="center"/>
                </w:tcPr>
                <w:p w14:paraId="51F0027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766B0AE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727D716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1D42BA5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7AC2DE5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03354D0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30CC22C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2E9E7E2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6DE7C28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6B16CA1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5B2E7A3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1044FF9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62208F6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7C49055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3C62FD1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61BEE3E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618AC1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2CC1217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5682EB06">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环境</w:t>
                  </w:r>
                </w:p>
                <w:p w14:paraId="3915507F">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质量</w:t>
                  </w:r>
                </w:p>
                <w:p w14:paraId="6501E11F">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底线</w:t>
                  </w:r>
                </w:p>
              </w:tc>
              <w:tc>
                <w:tcPr>
                  <w:tcW w:w="2673" w:type="pct"/>
                  <w:tcBorders>
                    <w:tl2br w:val="nil"/>
                    <w:tr2bl w:val="nil"/>
                  </w:tcBorders>
                  <w:vAlign w:val="center"/>
                </w:tcPr>
                <w:p w14:paraId="09A2D81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255B2533">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1、水环境质量底线</w:t>
                  </w:r>
                </w:p>
                <w:p w14:paraId="0DF5E39D">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2025年地表水质量底线目标值根据《安徽省生态</w:t>
                  </w:r>
                  <w:r>
                    <w:rPr>
                      <w:rFonts w:hint="default" w:ascii="Times New Roman" w:hAnsi="Times New Roman" w:eastAsia="宋体" w:cs="Times New Roman"/>
                      <w:color w:val="auto"/>
                      <w:spacing w:val="9"/>
                      <w:sz w:val="21"/>
                      <w:szCs w:val="21"/>
                      <w:highlight w:val="none"/>
                    </w:rPr>
                    <w:t>环境厅关于下达“十四五</w:t>
                  </w:r>
                  <w:r>
                    <w:rPr>
                      <w:rFonts w:hint="default" w:ascii="Times New Roman" w:hAnsi="Times New Roman" w:eastAsia="宋体" w:cs="Times New Roman"/>
                      <w:color w:val="auto"/>
                      <w:spacing w:val="-64"/>
                      <w:sz w:val="21"/>
                      <w:szCs w:val="21"/>
                      <w:highlight w:val="none"/>
                    </w:rPr>
                    <w:t xml:space="preserve"> </w:t>
                  </w:r>
                  <w:r>
                    <w:rPr>
                      <w:rFonts w:hint="default" w:ascii="Times New Roman" w:hAnsi="Times New Roman" w:eastAsia="宋体" w:cs="Times New Roman"/>
                      <w:color w:val="auto"/>
                      <w:spacing w:val="9"/>
                      <w:sz w:val="21"/>
                      <w:szCs w:val="21"/>
                      <w:highlight w:val="none"/>
                    </w:rPr>
                    <w:t>”国控断面水质目标及达标</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1"/>
                      <w:sz w:val="21"/>
                      <w:szCs w:val="21"/>
                      <w:highlight w:val="none"/>
                    </w:rPr>
                    <w:t>年限的通知》（皖环发〔2022〕18号）进行更新；2035</w:t>
                  </w:r>
                  <w:r>
                    <w:rPr>
                      <w:rFonts w:hint="default" w:ascii="Times New Roman" w:hAnsi="Times New Roman" w:eastAsia="宋体" w:cs="Times New Roman"/>
                      <w:color w:val="auto"/>
                      <w:spacing w:val="9"/>
                      <w:sz w:val="21"/>
                      <w:szCs w:val="21"/>
                      <w:highlight w:val="none"/>
                    </w:rPr>
                    <w:t>年质量底线目标为暂定，最终以“十六五</w:t>
                  </w:r>
                  <w:r>
                    <w:rPr>
                      <w:rFonts w:hint="default" w:ascii="Times New Roman" w:hAnsi="Times New Roman" w:eastAsia="宋体" w:cs="Times New Roman"/>
                      <w:color w:val="auto"/>
                      <w:spacing w:val="-65"/>
                      <w:sz w:val="21"/>
                      <w:szCs w:val="21"/>
                      <w:highlight w:val="none"/>
                    </w:rPr>
                    <w:t xml:space="preserve"> </w:t>
                  </w:r>
                  <w:r>
                    <w:rPr>
                      <w:rFonts w:hint="default" w:ascii="Times New Roman" w:hAnsi="Times New Roman" w:eastAsia="宋体" w:cs="Times New Roman"/>
                      <w:color w:val="auto"/>
                      <w:spacing w:val="9"/>
                      <w:sz w:val="21"/>
                      <w:szCs w:val="21"/>
                      <w:highlight w:val="none"/>
                    </w:rPr>
                    <w:t>”生态环境</w:t>
                  </w:r>
                  <w:r>
                    <w:rPr>
                      <w:rFonts w:hint="default" w:ascii="Times New Roman" w:hAnsi="Times New Roman" w:eastAsia="宋体" w:cs="Times New Roman"/>
                      <w:color w:val="auto"/>
                      <w:spacing w:val="8"/>
                      <w:sz w:val="21"/>
                      <w:szCs w:val="21"/>
                      <w:highlight w:val="none"/>
                    </w:rPr>
                    <w:t>保护规划确定的目标为准。</w:t>
                  </w:r>
                </w:p>
              </w:tc>
              <w:tc>
                <w:tcPr>
                  <w:tcW w:w="1463" w:type="pct"/>
                  <w:tcBorders>
                    <w:tl2br w:val="nil"/>
                    <w:tr2bl w:val="nil"/>
                  </w:tcBorders>
                  <w:vAlign w:val="center"/>
                </w:tcPr>
                <w:p w14:paraId="6F6558C8">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根据蚌埠市生态环境局</w:t>
                  </w:r>
                  <w:r>
                    <w:rPr>
                      <w:rFonts w:hint="default" w:ascii="Times New Roman" w:hAnsi="Times New Roman" w:eastAsia="宋体" w:cs="Times New Roman"/>
                      <w:color w:val="auto"/>
                      <w:spacing w:val="11"/>
                      <w:sz w:val="21"/>
                      <w:szCs w:val="21"/>
                      <w:highlight w:val="none"/>
                    </w:rPr>
                    <w:t>发布的《2023年蚌埠市</w:t>
                  </w:r>
                  <w:r>
                    <w:rPr>
                      <w:rFonts w:hint="default" w:ascii="Times New Roman" w:hAnsi="Times New Roman" w:eastAsia="宋体" w:cs="Times New Roman"/>
                      <w:color w:val="auto"/>
                      <w:spacing w:val="8"/>
                      <w:sz w:val="21"/>
                      <w:szCs w:val="21"/>
                      <w:highlight w:val="none"/>
                    </w:rPr>
                    <w:t>生态环境质量状况公</w:t>
                  </w:r>
                  <w:r>
                    <w:rPr>
                      <w:rFonts w:hint="default" w:ascii="Times New Roman" w:hAnsi="Times New Roman" w:eastAsia="宋体" w:cs="Times New Roman"/>
                      <w:color w:val="auto"/>
                      <w:spacing w:val="9"/>
                      <w:sz w:val="21"/>
                      <w:szCs w:val="21"/>
                      <w:highlight w:val="none"/>
                    </w:rPr>
                    <w:t>报》可知，淮河水质满</w:t>
                  </w:r>
                </w:p>
                <w:p w14:paraId="349C8A06">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足《地表水环境质量标</w:t>
                  </w:r>
                  <w:r>
                    <w:rPr>
                      <w:rFonts w:hint="default" w:ascii="Times New Roman" w:hAnsi="Times New Roman" w:eastAsia="宋体" w:cs="Times New Roman"/>
                      <w:color w:val="auto"/>
                      <w:spacing w:val="5"/>
                      <w:sz w:val="21"/>
                      <w:szCs w:val="21"/>
                      <w:highlight w:val="none"/>
                    </w:rPr>
                    <w:t>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pacing w:val="5"/>
                      <w:sz w:val="21"/>
                      <w:szCs w:val="21"/>
                      <w:highlight w:val="none"/>
                    </w:rPr>
                    <w:t>3838 -2002）</w:t>
                  </w:r>
                  <w:r>
                    <w:rPr>
                      <w:rFonts w:hint="default" w:ascii="Times New Roman" w:hAnsi="Times New Roman" w:eastAsia="宋体" w:cs="Times New Roman"/>
                      <w:color w:val="auto"/>
                      <w:spacing w:val="7"/>
                      <w:sz w:val="21"/>
                      <w:szCs w:val="21"/>
                      <w:highlight w:val="none"/>
                    </w:rPr>
                    <w:t>中Ⅲ类标准。运营期项</w:t>
                  </w:r>
                  <w:r>
                    <w:rPr>
                      <w:rFonts w:hint="default" w:ascii="Times New Roman" w:hAnsi="Times New Roman" w:eastAsia="宋体" w:cs="Times New Roman"/>
                      <w:color w:val="auto"/>
                      <w:spacing w:val="4"/>
                      <w:sz w:val="21"/>
                      <w:szCs w:val="21"/>
                      <w:highlight w:val="none"/>
                    </w:rPr>
                    <w:t>目</w:t>
                  </w:r>
                  <w:r>
                    <w:rPr>
                      <w:rFonts w:hint="eastAsia" w:ascii="宋体" w:hAnsi="宋体" w:eastAsia="宋体" w:cs="宋体"/>
                      <w:color w:val="auto"/>
                      <w:kern w:val="0"/>
                      <w:sz w:val="21"/>
                      <w:szCs w:val="21"/>
                      <w:highlight w:val="none"/>
                      <w:lang w:val="en-US" w:eastAsia="zh-CN" w:bidi="ar"/>
                    </w:rPr>
                    <w:t>食堂废水</w:t>
                  </w:r>
                  <w:r>
                    <w:rPr>
                      <w:rFonts w:hint="eastAsia" w:ascii="宋体" w:hAnsi="宋体" w:cs="宋体"/>
                      <w:color w:val="auto"/>
                      <w:kern w:val="0"/>
                      <w:sz w:val="21"/>
                      <w:szCs w:val="21"/>
                      <w:highlight w:val="none"/>
                      <w:lang w:val="en-US" w:eastAsia="zh-CN" w:bidi="ar"/>
                    </w:rPr>
                    <w:t>经隔油池、</w:t>
                  </w:r>
                  <w:r>
                    <w:rPr>
                      <w:rFonts w:hint="eastAsia" w:ascii="宋体" w:hAnsi="宋体" w:eastAsia="宋体" w:cs="宋体"/>
                      <w:color w:val="auto"/>
                      <w:kern w:val="0"/>
                      <w:sz w:val="21"/>
                      <w:szCs w:val="21"/>
                      <w:highlight w:val="none"/>
                      <w:lang w:val="en-US" w:eastAsia="zh-CN" w:bidi="ar"/>
                    </w:rPr>
                    <w:t>生活污水经化粪池收集处理后</w:t>
                  </w:r>
                  <w:r>
                    <w:rPr>
                      <w:rFonts w:hint="eastAsia" w:ascii="宋体" w:hAnsi="宋体" w:cs="宋体"/>
                      <w:color w:val="auto"/>
                      <w:kern w:val="0"/>
                      <w:sz w:val="21"/>
                      <w:szCs w:val="21"/>
                      <w:highlight w:val="none"/>
                      <w:lang w:val="en-US" w:eastAsia="zh-CN" w:bidi="ar"/>
                    </w:rPr>
                    <w:t>，和地坪保洁废水</w:t>
                  </w:r>
                  <w:r>
                    <w:rPr>
                      <w:rFonts w:hint="eastAsia" w:cs="宋体"/>
                      <w:color w:val="auto"/>
                      <w:kern w:val="0"/>
                      <w:sz w:val="21"/>
                      <w:szCs w:val="21"/>
                      <w:highlight w:val="none"/>
                      <w:lang w:val="en-US" w:eastAsia="zh-CN" w:bidi="ar"/>
                    </w:rPr>
                    <w:t>、循环冷却废水</w:t>
                  </w:r>
                  <w:r>
                    <w:rPr>
                      <w:rFonts w:hint="eastAsia" w:ascii="宋体" w:hAnsi="宋体" w:cs="宋体"/>
                      <w:color w:val="auto"/>
                      <w:kern w:val="0"/>
                      <w:sz w:val="21"/>
                      <w:szCs w:val="21"/>
                      <w:highlight w:val="none"/>
                      <w:lang w:val="en-US" w:eastAsia="zh-CN" w:bidi="ar"/>
                    </w:rPr>
                    <w:t>一并经市政污水管网</w:t>
                  </w:r>
                  <w:r>
                    <w:rPr>
                      <w:rFonts w:hint="eastAsia" w:ascii="宋体" w:hAnsi="宋体" w:eastAsia="宋体" w:cs="宋体"/>
                      <w:color w:val="auto"/>
                      <w:kern w:val="0"/>
                      <w:sz w:val="21"/>
                      <w:szCs w:val="21"/>
                      <w:highlight w:val="none"/>
                      <w:lang w:val="en-US" w:eastAsia="zh-CN" w:bidi="ar"/>
                    </w:rPr>
                    <w:t>排入五河县城南污水处理厂处理</w:t>
                  </w:r>
                  <w:r>
                    <w:rPr>
                      <w:rFonts w:hint="default" w:ascii="Times New Roman" w:hAnsi="Times New Roman" w:eastAsia="宋体" w:cs="Times New Roman"/>
                      <w:color w:val="auto"/>
                      <w:spacing w:val="8"/>
                      <w:sz w:val="21"/>
                      <w:szCs w:val="21"/>
                      <w:highlight w:val="none"/>
                    </w:rPr>
                    <w:t>最终排入淮河，可满足区域水环</w:t>
                  </w:r>
                  <w:r>
                    <w:rPr>
                      <w:rFonts w:hint="default" w:ascii="Times New Roman" w:hAnsi="Times New Roman" w:eastAsia="宋体" w:cs="Times New Roman"/>
                      <w:color w:val="auto"/>
                      <w:spacing w:val="7"/>
                      <w:sz w:val="21"/>
                      <w:szCs w:val="21"/>
                      <w:highlight w:val="none"/>
                    </w:rPr>
                    <w:t>境质量底线要求。</w:t>
                  </w:r>
                </w:p>
              </w:tc>
              <w:tc>
                <w:tcPr>
                  <w:tcW w:w="434" w:type="pct"/>
                  <w:vMerge w:val="restart"/>
                  <w:tcBorders>
                    <w:tl2br w:val="nil"/>
                    <w:tr2bl w:val="nil"/>
                  </w:tcBorders>
                  <w:vAlign w:val="center"/>
                </w:tcPr>
                <w:p w14:paraId="6C6400BE">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符合</w:t>
                  </w:r>
                </w:p>
              </w:tc>
            </w:tr>
            <w:tr w14:paraId="025B0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9" w:type="pct"/>
                  <w:vMerge w:val="continue"/>
                  <w:tcBorders>
                    <w:tl2br w:val="nil"/>
                    <w:tr2bl w:val="nil"/>
                  </w:tcBorders>
                  <w:vAlign w:val="center"/>
                </w:tcPr>
                <w:p w14:paraId="20EB22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673" w:type="pct"/>
                  <w:tcBorders>
                    <w:tl2br w:val="nil"/>
                    <w:tr2bl w:val="nil"/>
                  </w:tcBorders>
                  <w:vAlign w:val="center"/>
                </w:tcPr>
                <w:p w14:paraId="25996119">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2、大气环境质量底线</w:t>
                  </w:r>
                </w:p>
                <w:p w14:paraId="03E83CA8">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根据《蚌埠市生态环境局关于印发&lt;蚌埠市“十四五</w:t>
                  </w:r>
                  <w:r>
                    <w:rPr>
                      <w:rFonts w:hint="default" w:ascii="Times New Roman" w:hAnsi="Times New Roman" w:eastAsia="宋体" w:cs="Times New Roman"/>
                      <w:color w:val="auto"/>
                      <w:spacing w:val="-61"/>
                      <w:sz w:val="21"/>
                      <w:szCs w:val="21"/>
                      <w:highlight w:val="none"/>
                    </w:rPr>
                    <w:t xml:space="preserve"> </w:t>
                  </w:r>
                  <w:r>
                    <w:rPr>
                      <w:rFonts w:hint="default" w:ascii="Times New Roman" w:hAnsi="Times New Roman" w:eastAsia="宋体" w:cs="Times New Roman"/>
                      <w:color w:val="auto"/>
                      <w:spacing w:val="5"/>
                      <w:sz w:val="21"/>
                      <w:szCs w:val="21"/>
                      <w:highlight w:val="none"/>
                    </w:rPr>
                    <w:t>”大气污染防治规划&gt;</w:t>
                  </w:r>
                  <w:r>
                    <w:rPr>
                      <w:rFonts w:hint="default" w:ascii="Times New Roman" w:hAnsi="Times New Roman" w:eastAsia="宋体" w:cs="Times New Roman"/>
                      <w:color w:val="auto"/>
                      <w:spacing w:val="-17"/>
                      <w:sz w:val="21"/>
                      <w:szCs w:val="21"/>
                      <w:highlight w:val="none"/>
                    </w:rPr>
                    <w:t xml:space="preserve"> </w:t>
                  </w:r>
                  <w:r>
                    <w:rPr>
                      <w:rFonts w:hint="default" w:ascii="Times New Roman" w:hAnsi="Times New Roman" w:eastAsia="宋体" w:cs="Times New Roman"/>
                      <w:color w:val="auto"/>
                      <w:spacing w:val="5"/>
                      <w:sz w:val="21"/>
                      <w:szCs w:val="21"/>
                      <w:highlight w:val="none"/>
                    </w:rPr>
                    <w:t>的通知》</w:t>
                  </w:r>
                  <w:r>
                    <w:rPr>
                      <w:rFonts w:hint="default" w:ascii="Times New Roman" w:hAnsi="Times New Roman" w:eastAsia="宋体" w:cs="Times New Roman"/>
                      <w:color w:val="auto"/>
                      <w:spacing w:val="-72"/>
                      <w:sz w:val="21"/>
                      <w:szCs w:val="21"/>
                      <w:highlight w:val="none"/>
                    </w:rPr>
                    <w:t xml:space="preserve"> </w:t>
                  </w:r>
                  <w:r>
                    <w:rPr>
                      <w:rFonts w:hint="default" w:ascii="Times New Roman" w:hAnsi="Times New Roman" w:eastAsia="宋体" w:cs="Times New Roman"/>
                      <w:color w:val="auto"/>
                      <w:spacing w:val="5"/>
                      <w:sz w:val="21"/>
                      <w:szCs w:val="21"/>
                      <w:highlight w:val="none"/>
                    </w:rPr>
                    <w:t>（2022年</w:t>
                  </w:r>
                  <w:r>
                    <w:rPr>
                      <w:rFonts w:hint="default" w:ascii="Times New Roman" w:hAnsi="Times New Roman" w:eastAsia="宋体" w:cs="Times New Roman"/>
                      <w:color w:val="auto"/>
                      <w:spacing w:val="-16"/>
                      <w:sz w:val="21"/>
                      <w:szCs w:val="21"/>
                      <w:highlight w:val="none"/>
                    </w:rPr>
                    <w:t xml:space="preserve"> </w:t>
                  </w:r>
                  <w:r>
                    <w:rPr>
                      <w:rFonts w:hint="default" w:ascii="Times New Roman" w:hAnsi="Times New Roman" w:eastAsia="宋体" w:cs="Times New Roman"/>
                      <w:color w:val="auto"/>
                      <w:spacing w:val="5"/>
                      <w:sz w:val="21"/>
                      <w:szCs w:val="21"/>
                      <w:highlight w:val="none"/>
                    </w:rPr>
                    <w:t>12月12</w:t>
                  </w:r>
                  <w:r>
                    <w:rPr>
                      <w:rFonts w:hint="default" w:ascii="Times New Roman" w:hAnsi="Times New Roman" w:eastAsia="宋体" w:cs="Times New Roman"/>
                      <w:color w:val="auto"/>
                      <w:spacing w:val="6"/>
                      <w:sz w:val="21"/>
                      <w:szCs w:val="21"/>
                      <w:highlight w:val="none"/>
                    </w:rPr>
                    <w:t>日</w:t>
                  </w:r>
                  <w:r>
                    <w:rPr>
                      <w:rFonts w:hint="default" w:ascii="Times New Roman" w:hAnsi="Times New Roman" w:eastAsia="宋体" w:cs="Times New Roman"/>
                      <w:color w:val="auto"/>
                      <w:spacing w:val="-29"/>
                      <w:sz w:val="21"/>
                      <w:szCs w:val="21"/>
                      <w:highlight w:val="none"/>
                    </w:rPr>
                    <w:t>）：</w:t>
                  </w:r>
                  <w:r>
                    <w:rPr>
                      <w:rFonts w:hint="default" w:ascii="Times New Roman" w:hAnsi="Times New Roman" w:eastAsia="宋体" w:cs="Times New Roman"/>
                      <w:color w:val="auto"/>
                      <w:spacing w:val="6"/>
                      <w:sz w:val="21"/>
                      <w:szCs w:val="21"/>
                      <w:highlight w:val="none"/>
                    </w:rPr>
                    <w:t>2025年，环境空气质量持续改善，蚌埠市</w:t>
                  </w:r>
                  <w:r>
                    <w:rPr>
                      <w:rFonts w:hint="default" w:ascii="Times New Roman" w:hAnsi="Times New Roman" w:eastAsia="宋体" w:cs="Times New Roman"/>
                      <w:color w:val="auto"/>
                      <w:spacing w:val="-43"/>
                      <w:sz w:val="21"/>
                      <w:szCs w:val="21"/>
                      <w:highlight w:val="none"/>
                    </w:rPr>
                    <w:t xml:space="preserve"> </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pacing w:val="6"/>
                      <w:position w:val="-1"/>
                      <w:sz w:val="21"/>
                      <w:szCs w:val="21"/>
                      <w:highlight w:val="none"/>
                    </w:rPr>
                    <w:t>2.5</w:t>
                  </w:r>
                  <w:r>
                    <w:rPr>
                      <w:rFonts w:hint="default" w:ascii="Times New Roman" w:hAnsi="Times New Roman" w:eastAsia="宋体" w:cs="Times New Roman"/>
                      <w:color w:val="auto"/>
                      <w:spacing w:val="11"/>
                      <w:sz w:val="21"/>
                      <w:szCs w:val="21"/>
                      <w:highlight w:val="none"/>
                    </w:rPr>
                    <w:t>年均浓度控制在3</w:t>
                  </w:r>
                  <w:r>
                    <w:rPr>
                      <w:rFonts w:hint="default" w:ascii="Times New Roman" w:hAnsi="Times New Roman" w:eastAsia="宋体" w:cs="Times New Roman"/>
                      <w:color w:val="auto"/>
                      <w:spacing w:val="11"/>
                      <w:sz w:val="21"/>
                      <w:szCs w:val="21"/>
                      <w:highlight w:val="none"/>
                      <w:lang w:val="en-US" w:eastAsia="zh-CN"/>
                    </w:rPr>
                    <w:t>7</w:t>
                  </w:r>
                  <w:r>
                    <w:rPr>
                      <w:rFonts w:hint="default" w:ascii="Times New Roman" w:hAnsi="Times New Roman" w:eastAsia="宋体" w:cs="Times New Roman"/>
                      <w:color w:val="auto"/>
                      <w:spacing w:val="11"/>
                      <w:sz w:val="21"/>
                      <w:szCs w:val="21"/>
                      <w:highlight w:val="none"/>
                    </w:rPr>
                    <w:t>微克/立方米。参考《蚌埠市大气</w:t>
                  </w:r>
                  <w:r>
                    <w:rPr>
                      <w:rFonts w:hint="default" w:ascii="Times New Roman" w:hAnsi="Times New Roman" w:eastAsia="宋体" w:cs="Times New Roman"/>
                      <w:color w:val="auto"/>
                      <w:spacing w:val="13"/>
                      <w:sz w:val="21"/>
                      <w:szCs w:val="21"/>
                      <w:highlight w:val="none"/>
                    </w:rPr>
                    <w:t>污染防治联席会议办公室关于下达各县区</w:t>
                  </w:r>
                  <w:r>
                    <w:rPr>
                      <w:rFonts w:hint="default" w:ascii="Times New Roman" w:hAnsi="Times New Roman" w:eastAsia="宋体" w:cs="Times New Roman"/>
                      <w:color w:val="auto"/>
                      <w:spacing w:val="-33"/>
                      <w:sz w:val="21"/>
                      <w:szCs w:val="21"/>
                      <w:highlight w:val="none"/>
                    </w:rPr>
                    <w:t xml:space="preserve"> </w:t>
                  </w:r>
                  <w:r>
                    <w:rPr>
                      <w:rFonts w:hint="default" w:ascii="Times New Roman" w:hAnsi="Times New Roman" w:eastAsia="宋体" w:cs="Times New Roman"/>
                      <w:color w:val="auto"/>
                      <w:spacing w:val="13"/>
                      <w:sz w:val="21"/>
                      <w:szCs w:val="21"/>
                      <w:highlight w:val="none"/>
                    </w:rPr>
                    <w:t>2023年度</w:t>
                  </w:r>
                  <w:r>
                    <w:rPr>
                      <w:rFonts w:hint="default" w:ascii="Times New Roman" w:hAnsi="Times New Roman" w:eastAsia="宋体" w:cs="Times New Roman"/>
                      <w:color w:val="auto"/>
                      <w:spacing w:val="-1"/>
                      <w:sz w:val="21"/>
                      <w:szCs w:val="21"/>
                      <w:highlight w:val="none"/>
                    </w:rPr>
                    <w:t>空气质量改善目标的通知》（蚌大气办〔2023〕</w:t>
                  </w:r>
                  <w:r>
                    <w:rPr>
                      <w:rFonts w:hint="default" w:ascii="Times New Roman" w:hAnsi="Times New Roman" w:eastAsia="宋体" w:cs="Times New Roman"/>
                      <w:color w:val="auto"/>
                      <w:spacing w:val="-2"/>
                      <w:sz w:val="21"/>
                      <w:szCs w:val="21"/>
                      <w:highlight w:val="none"/>
                    </w:rPr>
                    <w:t>38号</w:t>
                  </w:r>
                  <w:r>
                    <w:rPr>
                      <w:rFonts w:hint="default" w:ascii="Times New Roman" w:hAnsi="Times New Roman" w:eastAsia="宋体" w:cs="Times New Roman"/>
                      <w:color w:val="auto"/>
                      <w:spacing w:val="-47"/>
                      <w:w w:val="89"/>
                      <w:sz w:val="21"/>
                      <w:szCs w:val="21"/>
                      <w:highlight w:val="none"/>
                    </w:rPr>
                    <w:t>），</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5"/>
                      <w:sz w:val="21"/>
                      <w:szCs w:val="21"/>
                      <w:highlight w:val="none"/>
                    </w:rPr>
                    <w:t>对</w:t>
                  </w:r>
                  <w:r>
                    <w:rPr>
                      <w:rFonts w:hint="default" w:ascii="Times New Roman" w:hAnsi="Times New Roman" w:eastAsia="宋体" w:cs="Times New Roman"/>
                      <w:color w:val="auto"/>
                      <w:spacing w:val="-33"/>
                      <w:sz w:val="21"/>
                      <w:szCs w:val="21"/>
                      <w:highlight w:val="none"/>
                    </w:rPr>
                    <w:t xml:space="preserve"> </w:t>
                  </w:r>
                  <w:r>
                    <w:rPr>
                      <w:rFonts w:hint="default" w:ascii="Times New Roman" w:hAnsi="Times New Roman" w:eastAsia="宋体" w:cs="Times New Roman"/>
                      <w:color w:val="auto"/>
                      <w:spacing w:val="5"/>
                      <w:sz w:val="21"/>
                      <w:szCs w:val="21"/>
                      <w:highlight w:val="none"/>
                    </w:rPr>
                    <w:t>2025年各区县目标值进行调整，为暂定值，最终以</w:t>
                  </w:r>
                  <w:r>
                    <w:rPr>
                      <w:rFonts w:hint="default" w:ascii="Times New Roman" w:hAnsi="Times New Roman" w:eastAsia="宋体" w:cs="Times New Roman"/>
                      <w:color w:val="auto"/>
                      <w:spacing w:val="12"/>
                      <w:sz w:val="21"/>
                      <w:szCs w:val="21"/>
                      <w:highlight w:val="none"/>
                    </w:rPr>
                    <w:t>2025年下达各区县环境空气质量目标为准。到</w:t>
                  </w:r>
                  <w:r>
                    <w:rPr>
                      <w:rFonts w:hint="default" w:ascii="Times New Roman" w:hAnsi="Times New Roman" w:eastAsia="宋体" w:cs="Times New Roman"/>
                      <w:color w:val="auto"/>
                      <w:spacing w:val="-36"/>
                      <w:sz w:val="21"/>
                      <w:szCs w:val="21"/>
                      <w:highlight w:val="none"/>
                    </w:rPr>
                    <w:t xml:space="preserve"> </w:t>
                  </w:r>
                  <w:r>
                    <w:rPr>
                      <w:rFonts w:hint="default" w:ascii="Times New Roman" w:hAnsi="Times New Roman" w:eastAsia="宋体" w:cs="Times New Roman"/>
                      <w:color w:val="auto"/>
                      <w:spacing w:val="12"/>
                      <w:sz w:val="21"/>
                      <w:szCs w:val="21"/>
                      <w:highlight w:val="none"/>
                    </w:rPr>
                    <w:t>2035</w:t>
                  </w:r>
                  <w:r>
                    <w:rPr>
                      <w:rFonts w:hint="default" w:ascii="Times New Roman" w:hAnsi="Times New Roman" w:eastAsia="宋体" w:cs="Times New Roman"/>
                      <w:color w:val="auto"/>
                      <w:spacing w:val="10"/>
                      <w:sz w:val="21"/>
                      <w:szCs w:val="21"/>
                      <w:highlight w:val="none"/>
                    </w:rPr>
                    <w:t>年，蚌埠市</w:t>
                  </w:r>
                  <w:r>
                    <w:rPr>
                      <w:rFonts w:hint="default" w:ascii="Times New Roman" w:hAnsi="Times New Roman" w:eastAsia="宋体" w:cs="Times New Roman"/>
                      <w:color w:val="auto"/>
                      <w:spacing w:val="-27"/>
                      <w:sz w:val="21"/>
                      <w:szCs w:val="21"/>
                      <w:highlight w:val="none"/>
                    </w:rPr>
                    <w:t xml:space="preserve"> </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pacing w:val="10"/>
                      <w:position w:val="-1"/>
                      <w:sz w:val="21"/>
                      <w:szCs w:val="21"/>
                      <w:highlight w:val="none"/>
                      <w:vertAlign w:val="subscript"/>
                    </w:rPr>
                    <w:t>2.5</w:t>
                  </w:r>
                  <w:r>
                    <w:rPr>
                      <w:rFonts w:hint="default" w:ascii="Times New Roman" w:hAnsi="Times New Roman" w:eastAsia="宋体" w:cs="Times New Roman"/>
                      <w:color w:val="auto"/>
                      <w:spacing w:val="10"/>
                      <w:sz w:val="21"/>
                      <w:szCs w:val="21"/>
                      <w:highlight w:val="none"/>
                    </w:rPr>
                    <w:t>平均浓度目标暂定为&lt;35微克/立方</w:t>
                  </w:r>
                  <w:r>
                    <w:rPr>
                      <w:rFonts w:hint="default" w:ascii="Times New Roman" w:hAnsi="Times New Roman" w:eastAsia="宋体" w:cs="Times New Roman"/>
                      <w:color w:val="auto"/>
                      <w:spacing w:val="9"/>
                      <w:sz w:val="21"/>
                      <w:szCs w:val="21"/>
                      <w:highlight w:val="none"/>
                    </w:rPr>
                    <w:t>米。最终以“十六五</w:t>
                  </w:r>
                  <w:r>
                    <w:rPr>
                      <w:rFonts w:hint="default" w:ascii="Times New Roman" w:hAnsi="Times New Roman" w:eastAsia="宋体" w:cs="Times New Roman"/>
                      <w:color w:val="auto"/>
                      <w:spacing w:val="-60"/>
                      <w:sz w:val="21"/>
                      <w:szCs w:val="21"/>
                      <w:highlight w:val="none"/>
                    </w:rPr>
                    <w:t xml:space="preserve"> </w:t>
                  </w:r>
                  <w:r>
                    <w:rPr>
                      <w:rFonts w:hint="default" w:ascii="Times New Roman" w:hAnsi="Times New Roman" w:eastAsia="宋体" w:cs="Times New Roman"/>
                      <w:color w:val="auto"/>
                      <w:spacing w:val="9"/>
                      <w:sz w:val="21"/>
                      <w:szCs w:val="21"/>
                      <w:highlight w:val="none"/>
                    </w:rPr>
                    <w:t>”生态环境保护规划确定的目标</w:t>
                  </w:r>
                  <w:r>
                    <w:rPr>
                      <w:rFonts w:hint="default" w:ascii="Times New Roman" w:hAnsi="Times New Roman" w:eastAsia="宋体" w:cs="Times New Roman"/>
                      <w:color w:val="auto"/>
                      <w:spacing w:val="4"/>
                      <w:sz w:val="21"/>
                      <w:szCs w:val="21"/>
                      <w:highlight w:val="none"/>
                    </w:rPr>
                    <w:t>为准。</w:t>
                  </w:r>
                </w:p>
              </w:tc>
              <w:tc>
                <w:tcPr>
                  <w:tcW w:w="1463" w:type="pct"/>
                  <w:tcBorders>
                    <w:tl2br w:val="nil"/>
                    <w:tr2bl w:val="nil"/>
                  </w:tcBorders>
                  <w:vAlign w:val="center"/>
                </w:tcPr>
                <w:p w14:paraId="31D0AF0F">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蚌埠市2023年环境空气</w:t>
                  </w:r>
                  <w:r>
                    <w:rPr>
                      <w:rFonts w:hint="default" w:ascii="Times New Roman" w:hAnsi="Times New Roman" w:eastAsia="宋体" w:cs="Times New Roman"/>
                      <w:color w:val="auto"/>
                      <w:spacing w:val="6"/>
                      <w:sz w:val="21"/>
                      <w:szCs w:val="21"/>
                      <w:highlight w:val="none"/>
                    </w:rPr>
                    <w:t>基本污染物</w:t>
                  </w:r>
                  <w:r>
                    <w:rPr>
                      <w:rFonts w:hint="default" w:ascii="Times New Roman" w:hAnsi="Times New Roman" w:eastAsia="宋体" w:cs="Times New Roman"/>
                      <w:color w:val="auto"/>
                      <w:sz w:val="21"/>
                      <w:szCs w:val="21"/>
                      <w:highlight w:val="none"/>
                    </w:rPr>
                    <w:t>PM</w:t>
                  </w:r>
                  <w:r>
                    <w:rPr>
                      <w:rFonts w:hint="eastAsia" w:ascii="Times New Roman" w:hAnsi="Times New Roman" w:cs="Times New Roman"/>
                      <w:color w:val="auto"/>
                      <w:sz w:val="21"/>
                      <w:szCs w:val="21"/>
                      <w:highlight w:val="none"/>
                      <w:vertAlign w:val="subscript"/>
                      <w:lang w:val="en-US" w:eastAsia="zh-CN"/>
                    </w:rPr>
                    <w:t>2.5</w:t>
                  </w:r>
                  <w:r>
                    <w:rPr>
                      <w:rFonts w:hint="default" w:ascii="Times New Roman" w:hAnsi="Times New Roman" w:eastAsia="宋体" w:cs="Times New Roman"/>
                      <w:color w:val="auto"/>
                      <w:spacing w:val="6"/>
                      <w:sz w:val="21"/>
                      <w:szCs w:val="21"/>
                      <w:highlight w:val="none"/>
                    </w:rPr>
                    <w:t>不满</w:t>
                  </w:r>
                  <w:r>
                    <w:rPr>
                      <w:rFonts w:hint="default" w:ascii="Times New Roman" w:hAnsi="Times New Roman" w:eastAsia="宋体" w:cs="Times New Roman"/>
                      <w:color w:val="auto"/>
                      <w:spacing w:val="-1"/>
                      <w:sz w:val="21"/>
                      <w:szCs w:val="21"/>
                      <w:highlight w:val="none"/>
                    </w:rPr>
                    <w:t>足《环境空气质量标准》</w:t>
                  </w:r>
                  <w:r>
                    <w:rPr>
                      <w:rFonts w:hint="default" w:ascii="Times New Roman" w:hAnsi="Times New Roman" w:eastAsia="宋体" w:cs="Times New Roman"/>
                      <w:color w:val="auto"/>
                      <w:spacing w:val="5"/>
                      <w:sz w:val="21"/>
                      <w:szCs w:val="21"/>
                      <w:highlight w:val="none"/>
                    </w:rPr>
                    <w:t>（</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pacing w:val="5"/>
                      <w:sz w:val="21"/>
                      <w:szCs w:val="21"/>
                      <w:highlight w:val="none"/>
                    </w:rPr>
                    <w:t xml:space="preserve"> 3095-2012）中二</w:t>
                  </w:r>
                  <w:r>
                    <w:rPr>
                      <w:rFonts w:hint="default" w:ascii="Times New Roman" w:hAnsi="Times New Roman" w:eastAsia="宋体" w:cs="Times New Roman"/>
                      <w:color w:val="auto"/>
                      <w:spacing w:val="8"/>
                      <w:sz w:val="21"/>
                      <w:szCs w:val="21"/>
                      <w:highlight w:val="none"/>
                    </w:rPr>
                    <w:t>级标准要求。本项目产</w:t>
                  </w:r>
                  <w:r>
                    <w:rPr>
                      <w:rFonts w:hint="default" w:ascii="Times New Roman" w:hAnsi="Times New Roman" w:eastAsia="宋体" w:cs="Times New Roman"/>
                      <w:color w:val="auto"/>
                      <w:spacing w:val="-1"/>
                      <w:sz w:val="21"/>
                      <w:szCs w:val="21"/>
                      <w:highlight w:val="none"/>
                    </w:rPr>
                    <w:t>生的颗粒物、有机废气</w:t>
                  </w:r>
                  <w:r>
                    <w:rPr>
                      <w:rFonts w:hint="default" w:ascii="Times New Roman" w:hAnsi="Times New Roman" w:eastAsia="宋体" w:cs="Times New Roman"/>
                      <w:color w:val="auto"/>
                      <w:spacing w:val="8"/>
                      <w:sz w:val="21"/>
                      <w:szCs w:val="21"/>
                      <w:highlight w:val="none"/>
                    </w:rPr>
                    <w:t>等通过采取相关防治措施后均可达标排</w:t>
                  </w:r>
                  <w:r>
                    <w:rPr>
                      <w:rFonts w:hint="default" w:ascii="Times New Roman" w:hAnsi="Times New Roman" w:eastAsia="宋体" w:cs="Times New Roman"/>
                      <w:color w:val="auto"/>
                      <w:spacing w:val="9"/>
                      <w:sz w:val="21"/>
                      <w:szCs w:val="21"/>
                      <w:highlight w:val="none"/>
                    </w:rPr>
                    <w:t>放，对环境影响较小，该区域能维持目前环境</w:t>
                  </w:r>
                  <w:r>
                    <w:rPr>
                      <w:rFonts w:hint="default" w:ascii="Times New Roman" w:hAnsi="Times New Roman" w:eastAsia="宋体" w:cs="Times New Roman"/>
                      <w:color w:val="auto"/>
                      <w:spacing w:val="4"/>
                      <w:sz w:val="21"/>
                      <w:szCs w:val="21"/>
                      <w:highlight w:val="none"/>
                    </w:rPr>
                    <w:t>质量现状，不使区域环</w:t>
                  </w:r>
                  <w:r>
                    <w:rPr>
                      <w:rFonts w:hint="default" w:ascii="Times New Roman" w:hAnsi="Times New Roman" w:eastAsia="宋体" w:cs="Times New Roman"/>
                      <w:color w:val="auto"/>
                      <w:spacing w:val="6"/>
                      <w:sz w:val="21"/>
                      <w:szCs w:val="21"/>
                      <w:highlight w:val="none"/>
                    </w:rPr>
                    <w:t>境质量底线发生变化。</w:t>
                  </w:r>
                </w:p>
              </w:tc>
              <w:tc>
                <w:tcPr>
                  <w:tcW w:w="434" w:type="pct"/>
                  <w:vMerge w:val="continue"/>
                  <w:tcBorders>
                    <w:tl2br w:val="nil"/>
                    <w:tr2bl w:val="nil"/>
                  </w:tcBorders>
                  <w:vAlign w:val="center"/>
                </w:tcPr>
                <w:p w14:paraId="10C864A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795FD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9" w:type="pct"/>
                  <w:vMerge w:val="continue"/>
                  <w:tcBorders>
                    <w:tl2br w:val="nil"/>
                    <w:tr2bl w:val="nil"/>
                  </w:tcBorders>
                  <w:vAlign w:val="center"/>
                </w:tcPr>
                <w:p w14:paraId="4A6244E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673" w:type="pct"/>
                  <w:tcBorders>
                    <w:tl2br w:val="nil"/>
                    <w:tr2bl w:val="nil"/>
                  </w:tcBorders>
                  <w:vAlign w:val="center"/>
                </w:tcPr>
                <w:p w14:paraId="78BA289F">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3、土壤环境风险防控底线</w:t>
                  </w:r>
                </w:p>
                <w:p w14:paraId="770E64C3">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根</w:t>
                  </w:r>
                  <w:r>
                    <w:rPr>
                      <w:rFonts w:hint="default" w:ascii="Times New Roman" w:hAnsi="Times New Roman" w:eastAsia="宋体" w:cs="Times New Roman"/>
                      <w:color w:val="auto"/>
                      <w:spacing w:val="10"/>
                      <w:sz w:val="21"/>
                      <w:szCs w:val="21"/>
                      <w:highlight w:val="none"/>
                    </w:rPr>
                    <w:t>据《蚌埠市土壤污染防治规划（2021-2025年）》， 到2025年，全市土壤和地下水环境质量总体保持稳定，局部地区稳中向好，受污染耕地和污染地块安全利用水平得到巩固提升，进一步保障老百姓“吃得放心、住得安心”；农业面源污染得到初步管控，农村生态环境基础设施建设加快推进，生产生活方式绿色 转型取得显著成效，农村生态环境明显改善，打造生态宜居的美丽乡村，为老百姓留住山清水秀、鸟语花香的田园风光。根据规划指标，到2025年，受污染耕地安全利用率达到95%左右，重点建设用地安全利用 率得到有效保障。</w:t>
                  </w:r>
                </w:p>
              </w:tc>
              <w:tc>
                <w:tcPr>
                  <w:tcW w:w="1463" w:type="pct"/>
                  <w:tcBorders>
                    <w:tl2br w:val="nil"/>
                    <w:tr2bl w:val="nil"/>
                  </w:tcBorders>
                  <w:vAlign w:val="center"/>
                </w:tcPr>
                <w:p w14:paraId="5A5BD553">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8"/>
                      <w:sz w:val="21"/>
                      <w:szCs w:val="21"/>
                      <w:highlight w:val="none"/>
                    </w:rPr>
                    <w:t>项目位于</w:t>
                  </w:r>
                  <w:r>
                    <w:rPr>
                      <w:rFonts w:hint="default" w:ascii="Times New Roman" w:hAnsi="Times New Roman" w:eastAsia="宋体" w:cs="Times New Roman"/>
                      <w:color w:val="auto"/>
                      <w:kern w:val="0"/>
                      <w:sz w:val="21"/>
                      <w:szCs w:val="21"/>
                      <w:highlight w:val="none"/>
                      <w:lang w:val="en-US" w:eastAsia="zh-CN" w:bidi="ar"/>
                    </w:rPr>
                    <w:t>五河县城南工业园区工业五路中</w:t>
                  </w:r>
                  <w:r>
                    <w:rPr>
                      <w:rFonts w:hint="eastAsia" w:ascii="Times New Roman" w:hAnsi="Times New Roman" w:cs="Times New Roman"/>
                      <w:color w:val="auto"/>
                      <w:kern w:val="0"/>
                      <w:sz w:val="21"/>
                      <w:szCs w:val="21"/>
                      <w:highlight w:val="none"/>
                      <w:lang w:val="en-US" w:eastAsia="zh-CN" w:bidi="ar"/>
                    </w:rPr>
                    <w:t>段</w:t>
                  </w:r>
                  <w:r>
                    <w:rPr>
                      <w:rFonts w:hint="default" w:ascii="Times New Roman" w:hAnsi="Times New Roman" w:eastAsia="宋体" w:cs="Times New Roman"/>
                      <w:color w:val="auto"/>
                      <w:kern w:val="0"/>
                      <w:sz w:val="21"/>
                      <w:szCs w:val="21"/>
                      <w:highlight w:val="none"/>
                      <w:lang w:val="en-US" w:eastAsia="zh-CN" w:bidi="ar"/>
                    </w:rPr>
                    <w:t>南侧</w:t>
                  </w:r>
                  <w:r>
                    <w:rPr>
                      <w:rFonts w:hint="default" w:ascii="Times New Roman" w:hAnsi="Times New Roman" w:eastAsia="宋体" w:cs="Times New Roman"/>
                      <w:color w:val="auto"/>
                      <w:spacing w:val="9"/>
                      <w:sz w:val="21"/>
                      <w:szCs w:val="21"/>
                      <w:highlight w:val="none"/>
                    </w:rPr>
                    <w:t>，用地为工业用地，在落实各项风险防控措施的基础上，土壤环境风险较</w:t>
                  </w:r>
                  <w:r>
                    <w:rPr>
                      <w:rFonts w:hint="default" w:ascii="Times New Roman" w:hAnsi="Times New Roman" w:eastAsia="宋体" w:cs="Times New Roman"/>
                      <w:color w:val="auto"/>
                      <w:spacing w:val="9"/>
                      <w:sz w:val="21"/>
                      <w:szCs w:val="21"/>
                      <w:highlight w:val="none"/>
                      <w:lang w:val="en-US" w:eastAsia="zh-CN"/>
                    </w:rPr>
                    <w:t>小。</w:t>
                  </w:r>
                </w:p>
              </w:tc>
              <w:tc>
                <w:tcPr>
                  <w:tcW w:w="434" w:type="pct"/>
                  <w:vMerge w:val="continue"/>
                  <w:tcBorders>
                    <w:tl2br w:val="nil"/>
                    <w:tr2bl w:val="nil"/>
                  </w:tcBorders>
                  <w:vAlign w:val="center"/>
                </w:tcPr>
                <w:p w14:paraId="73168CC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3C707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429" w:type="pct"/>
                  <w:vMerge w:val="restart"/>
                  <w:tcBorders>
                    <w:tl2br w:val="nil"/>
                    <w:tr2bl w:val="nil"/>
                  </w:tcBorders>
                  <w:vAlign w:val="center"/>
                </w:tcPr>
                <w:p w14:paraId="703BCB6B">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w:t>
                  </w:r>
                </w:p>
                <w:p w14:paraId="19799E77">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利用</w:t>
                  </w:r>
                </w:p>
                <w:p w14:paraId="5C7536C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上线</w:t>
                  </w:r>
                </w:p>
              </w:tc>
              <w:tc>
                <w:tcPr>
                  <w:tcW w:w="2673" w:type="pct"/>
                  <w:tcBorders>
                    <w:tl2br w:val="nil"/>
                    <w:tr2bl w:val="nil"/>
                  </w:tcBorders>
                  <w:shd w:val="clear" w:color="auto" w:fill="auto"/>
                  <w:vAlign w:val="center"/>
                </w:tcPr>
                <w:p w14:paraId="28A90F69">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1、煤炭资源利用上线</w:t>
                  </w:r>
                </w:p>
                <w:p w14:paraId="1149013D">
                  <w:pPr>
                    <w:pStyle w:val="35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9"/>
                      <w:sz w:val="21"/>
                      <w:szCs w:val="21"/>
                      <w:highlight w:val="none"/>
                    </w:rPr>
                    <w:t>“十四五</w:t>
                  </w:r>
                  <w:r>
                    <w:rPr>
                      <w:rFonts w:hint="default" w:ascii="Times New Roman" w:hAnsi="Times New Roman" w:eastAsia="宋体" w:cs="Times New Roman"/>
                      <w:color w:val="auto"/>
                      <w:spacing w:val="-53"/>
                      <w:sz w:val="21"/>
                      <w:szCs w:val="21"/>
                      <w:highlight w:val="none"/>
                    </w:rPr>
                    <w:t xml:space="preserve"> </w:t>
                  </w:r>
                  <w:r>
                    <w:rPr>
                      <w:rFonts w:hint="default" w:ascii="Times New Roman" w:hAnsi="Times New Roman" w:eastAsia="宋体" w:cs="Times New Roman"/>
                      <w:color w:val="auto"/>
                      <w:spacing w:val="9"/>
                      <w:sz w:val="21"/>
                      <w:szCs w:val="21"/>
                      <w:highlight w:val="none"/>
                    </w:rPr>
                    <w:t>”期间，全市能源发展坚持以满足国民</w:t>
                  </w:r>
                  <w:r>
                    <w:rPr>
                      <w:rFonts w:hint="default" w:ascii="Times New Roman" w:hAnsi="Times New Roman" w:eastAsia="宋体" w:cs="Times New Roman"/>
                      <w:color w:val="auto"/>
                      <w:spacing w:val="10"/>
                      <w:sz w:val="21"/>
                      <w:szCs w:val="21"/>
                      <w:highlight w:val="none"/>
                    </w:rPr>
                    <w:t>经济发展为中心，进一步完善能源供应保障能力，提</w:t>
                  </w:r>
                  <w:r>
                    <w:rPr>
                      <w:rFonts w:hint="default" w:ascii="Times New Roman" w:hAnsi="Times New Roman" w:eastAsia="宋体" w:cs="Times New Roman"/>
                      <w:color w:val="auto"/>
                      <w:spacing w:val="9"/>
                      <w:sz w:val="21"/>
                      <w:szCs w:val="21"/>
                      <w:highlight w:val="none"/>
                    </w:rPr>
                    <w:t>升能源利用效率，推进能源基础设施建设，控制单位</w:t>
                  </w:r>
                  <w:r>
                    <w:rPr>
                      <w:rFonts w:hint="default" w:ascii="Times New Roman" w:hAnsi="Times New Roman" w:eastAsia="宋体" w:cs="Times New Roman"/>
                      <w:color w:val="auto"/>
                      <w:sz w:val="21"/>
                      <w:szCs w:val="21"/>
                      <w:highlight w:val="none"/>
                    </w:rPr>
                    <w:t>GDP</w:t>
                  </w:r>
                  <w:r>
                    <w:rPr>
                      <w:rFonts w:hint="default" w:ascii="Times New Roman" w:hAnsi="Times New Roman" w:eastAsia="宋体" w:cs="Times New Roman"/>
                      <w:color w:val="auto"/>
                      <w:spacing w:val="8"/>
                      <w:sz w:val="21"/>
                      <w:szCs w:val="21"/>
                      <w:highlight w:val="none"/>
                    </w:rPr>
                    <w:t>能耗和碳排放强度，着力构建清洁低碳、安全高</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9"/>
                      <w:sz w:val="21"/>
                      <w:szCs w:val="21"/>
                      <w:highlight w:val="none"/>
                    </w:rPr>
                    <w:t>效的能源体系。到“十四五</w:t>
                  </w:r>
                  <w:r>
                    <w:rPr>
                      <w:rFonts w:hint="default" w:ascii="Times New Roman" w:hAnsi="Times New Roman" w:eastAsia="宋体" w:cs="Times New Roman"/>
                      <w:color w:val="auto"/>
                      <w:spacing w:val="-63"/>
                      <w:sz w:val="21"/>
                      <w:szCs w:val="21"/>
                      <w:highlight w:val="none"/>
                    </w:rPr>
                    <w:t xml:space="preserve"> </w:t>
                  </w:r>
                  <w:r>
                    <w:rPr>
                      <w:rFonts w:hint="default" w:ascii="Times New Roman" w:hAnsi="Times New Roman" w:eastAsia="宋体" w:cs="Times New Roman"/>
                      <w:color w:val="auto"/>
                      <w:spacing w:val="9"/>
                      <w:sz w:val="21"/>
                      <w:szCs w:val="21"/>
                      <w:highlight w:val="none"/>
                    </w:rPr>
                    <w:t>”末，全市能源消费总量</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7"/>
                      <w:sz w:val="21"/>
                      <w:szCs w:val="21"/>
                      <w:highlight w:val="none"/>
                    </w:rPr>
                    <w:t>完成省下达指标。</w:t>
                  </w:r>
                </w:p>
              </w:tc>
              <w:tc>
                <w:tcPr>
                  <w:tcW w:w="1463" w:type="pct"/>
                  <w:tcBorders>
                    <w:tl2br w:val="nil"/>
                    <w:tr2bl w:val="nil"/>
                  </w:tcBorders>
                  <w:shd w:val="clear" w:color="auto" w:fill="auto"/>
                  <w:vAlign w:val="center"/>
                </w:tcPr>
                <w:p w14:paraId="13DA31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61EDAAA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04719529">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8"/>
                      <w:sz w:val="21"/>
                      <w:szCs w:val="21"/>
                      <w:highlight w:val="none"/>
                    </w:rPr>
                    <w:t>项目生产过程中不使用</w:t>
                  </w:r>
                  <w:r>
                    <w:rPr>
                      <w:rFonts w:hint="default" w:ascii="Times New Roman" w:hAnsi="Times New Roman" w:eastAsia="宋体" w:cs="Times New Roman"/>
                      <w:color w:val="auto"/>
                      <w:spacing w:val="2"/>
                      <w:sz w:val="21"/>
                      <w:szCs w:val="21"/>
                      <w:highlight w:val="none"/>
                    </w:rPr>
                    <w:t>煤炭。</w:t>
                  </w:r>
                </w:p>
              </w:tc>
              <w:tc>
                <w:tcPr>
                  <w:tcW w:w="434" w:type="pct"/>
                  <w:vMerge w:val="restart"/>
                  <w:tcBorders>
                    <w:tl2br w:val="nil"/>
                    <w:tr2bl w:val="nil"/>
                  </w:tcBorders>
                  <w:shd w:val="clear" w:color="auto" w:fill="auto"/>
                  <w:vAlign w:val="center"/>
                </w:tcPr>
                <w:p w14:paraId="444CC7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符合</w:t>
                  </w:r>
                </w:p>
                <w:p w14:paraId="750615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p w14:paraId="7D923DA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61AA3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9" w:type="pct"/>
                  <w:vMerge w:val="continue"/>
                  <w:tcBorders>
                    <w:tl2br w:val="nil"/>
                    <w:tr2bl w:val="nil"/>
                  </w:tcBorders>
                  <w:vAlign w:val="center"/>
                </w:tcPr>
                <w:p w14:paraId="3580608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673" w:type="pct"/>
                  <w:tcBorders>
                    <w:tl2br w:val="nil"/>
                    <w:tr2bl w:val="nil"/>
                  </w:tcBorders>
                  <w:shd w:val="clear" w:color="auto" w:fill="auto"/>
                  <w:vAlign w:val="center"/>
                </w:tcPr>
                <w:p w14:paraId="0BF3BF58">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2、水资源利用上线</w:t>
                  </w:r>
                </w:p>
                <w:p w14:paraId="5B3760EE">
                  <w:pPr>
                    <w:pStyle w:val="35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8"/>
                      <w:sz w:val="21"/>
                      <w:szCs w:val="21"/>
                      <w:highlight w:val="none"/>
                    </w:rPr>
                    <w:t>依据《蚌埠市水利局关于落实“十四五</w:t>
                  </w:r>
                  <w:r>
                    <w:rPr>
                      <w:rFonts w:hint="default" w:ascii="Times New Roman" w:hAnsi="Times New Roman" w:eastAsia="宋体" w:cs="Times New Roman"/>
                      <w:color w:val="auto"/>
                      <w:spacing w:val="-61"/>
                      <w:sz w:val="21"/>
                      <w:szCs w:val="21"/>
                      <w:highlight w:val="none"/>
                    </w:rPr>
                    <w:t xml:space="preserve"> </w:t>
                  </w:r>
                  <w:r>
                    <w:rPr>
                      <w:rFonts w:hint="default" w:ascii="Times New Roman" w:hAnsi="Times New Roman" w:eastAsia="宋体" w:cs="Times New Roman"/>
                      <w:color w:val="auto"/>
                      <w:spacing w:val="8"/>
                      <w:sz w:val="21"/>
                      <w:szCs w:val="21"/>
                      <w:highlight w:val="none"/>
                    </w:rPr>
                    <w:t>”用水总</w:t>
                  </w:r>
                  <w:r>
                    <w:rPr>
                      <w:rFonts w:hint="default" w:ascii="Times New Roman" w:hAnsi="Times New Roman" w:eastAsia="宋体" w:cs="Times New Roman"/>
                      <w:color w:val="auto"/>
                      <w:spacing w:val="12"/>
                      <w:sz w:val="21"/>
                      <w:szCs w:val="21"/>
                      <w:highlight w:val="none"/>
                    </w:rPr>
                    <w:t>量和强度双控目标的通知》</w:t>
                  </w:r>
                  <w:r>
                    <w:rPr>
                      <w:rFonts w:hint="default" w:ascii="Times New Roman" w:hAnsi="Times New Roman" w:eastAsia="宋体" w:cs="Times New Roman"/>
                      <w:color w:val="auto"/>
                      <w:spacing w:val="-72"/>
                      <w:sz w:val="21"/>
                      <w:szCs w:val="21"/>
                      <w:highlight w:val="none"/>
                    </w:rPr>
                    <w:t xml:space="preserve"> </w:t>
                  </w:r>
                  <w:r>
                    <w:rPr>
                      <w:rFonts w:hint="default" w:ascii="Times New Roman" w:hAnsi="Times New Roman" w:eastAsia="宋体" w:cs="Times New Roman"/>
                      <w:color w:val="auto"/>
                      <w:spacing w:val="12"/>
                      <w:sz w:val="21"/>
                      <w:szCs w:val="21"/>
                      <w:highlight w:val="none"/>
                    </w:rPr>
                    <w:t>（蚌水资源函〔2022〕7</w:t>
                  </w:r>
                  <w:r>
                    <w:rPr>
                      <w:rFonts w:hint="default" w:ascii="Times New Roman" w:hAnsi="Times New Roman" w:eastAsia="宋体" w:cs="Times New Roman"/>
                      <w:color w:val="auto"/>
                      <w:spacing w:val="-1"/>
                      <w:sz w:val="21"/>
                      <w:szCs w:val="21"/>
                      <w:highlight w:val="none"/>
                    </w:rPr>
                    <w:t>号）文件要求，至</w:t>
                  </w:r>
                  <w:r>
                    <w:rPr>
                      <w:rFonts w:hint="default" w:ascii="Times New Roman" w:hAnsi="Times New Roman" w:eastAsia="宋体" w:cs="Times New Roman"/>
                      <w:color w:val="auto"/>
                      <w:spacing w:val="-33"/>
                      <w:sz w:val="21"/>
                      <w:szCs w:val="21"/>
                      <w:highlight w:val="none"/>
                    </w:rPr>
                    <w:t xml:space="preserve"> </w:t>
                  </w:r>
                  <w:r>
                    <w:rPr>
                      <w:rFonts w:hint="default" w:ascii="Times New Roman" w:hAnsi="Times New Roman" w:eastAsia="宋体" w:cs="Times New Roman"/>
                      <w:color w:val="auto"/>
                      <w:spacing w:val="-1"/>
                      <w:sz w:val="21"/>
                      <w:szCs w:val="21"/>
                      <w:highlight w:val="none"/>
                    </w:rPr>
                    <w:t>2025年蚌埠市用水总量控制在16.31</w:t>
                  </w:r>
                  <w:r>
                    <w:rPr>
                      <w:rFonts w:hint="default" w:ascii="Times New Roman" w:hAnsi="Times New Roman" w:eastAsia="宋体" w:cs="Times New Roman"/>
                      <w:color w:val="auto"/>
                      <w:spacing w:val="6"/>
                      <w:sz w:val="21"/>
                      <w:szCs w:val="21"/>
                      <w:highlight w:val="none"/>
                    </w:rPr>
                    <w:t>亿</w:t>
                  </w:r>
                  <w:r>
                    <w:rPr>
                      <w:rFonts w:hint="default" w:ascii="Times New Roman" w:hAnsi="Times New Roman" w:eastAsia="宋体" w:cs="Times New Roman"/>
                      <w:color w:val="auto"/>
                      <w:spacing w:val="-45"/>
                      <w:sz w:val="21"/>
                      <w:szCs w:val="21"/>
                      <w:highlight w:val="none"/>
                    </w:rPr>
                    <w:t xml:space="preserve"> </w:t>
                  </w:r>
                  <w:r>
                    <w:rPr>
                      <w:rFonts w:hint="default" w:ascii="Times New Roman" w:hAnsi="Times New Roman" w:eastAsia="宋体" w:cs="Times New Roman"/>
                      <w:color w:val="auto"/>
                      <w:spacing w:val="6"/>
                      <w:sz w:val="21"/>
                      <w:szCs w:val="21"/>
                      <w:highlight w:val="none"/>
                    </w:rPr>
                    <w:t>m</w:t>
                  </w:r>
                  <w:r>
                    <w:rPr>
                      <w:rFonts w:hint="eastAsia" w:ascii="Times New Roman" w:hAnsi="Times New Roman" w:eastAsia="宋体" w:cs="Times New Roman"/>
                      <w:color w:val="auto"/>
                      <w:spacing w:val="6"/>
                      <w:sz w:val="21"/>
                      <w:szCs w:val="21"/>
                      <w:highlight w:val="none"/>
                      <w:vertAlign w:val="superscript"/>
                      <w:lang w:val="en-US" w:eastAsia="zh-CN"/>
                    </w:rPr>
                    <w:t>3</w:t>
                  </w:r>
                  <w:r>
                    <w:rPr>
                      <w:rFonts w:hint="default" w:ascii="Times New Roman" w:hAnsi="Times New Roman" w:eastAsia="宋体" w:cs="Times New Roman"/>
                      <w:color w:val="auto"/>
                      <w:spacing w:val="-24"/>
                      <w:sz w:val="21"/>
                      <w:szCs w:val="21"/>
                      <w:highlight w:val="none"/>
                    </w:rPr>
                    <w:t xml:space="preserve"> </w:t>
                  </w:r>
                  <w:r>
                    <w:rPr>
                      <w:rFonts w:hint="default" w:ascii="Times New Roman" w:hAnsi="Times New Roman" w:eastAsia="宋体" w:cs="Times New Roman"/>
                      <w:color w:val="auto"/>
                      <w:spacing w:val="6"/>
                      <w:sz w:val="21"/>
                      <w:szCs w:val="21"/>
                      <w:highlight w:val="none"/>
                    </w:rPr>
                    <w:t>；2025年万元国内生产总值用水量比</w:t>
                  </w:r>
                  <w:r>
                    <w:rPr>
                      <w:rFonts w:hint="default" w:ascii="Times New Roman" w:hAnsi="Times New Roman" w:eastAsia="宋体" w:cs="Times New Roman"/>
                      <w:color w:val="auto"/>
                      <w:spacing w:val="-43"/>
                      <w:sz w:val="21"/>
                      <w:szCs w:val="21"/>
                      <w:highlight w:val="none"/>
                    </w:rPr>
                    <w:t xml:space="preserve"> </w:t>
                  </w:r>
                  <w:r>
                    <w:rPr>
                      <w:rFonts w:hint="default" w:ascii="Times New Roman" w:hAnsi="Times New Roman" w:eastAsia="宋体" w:cs="Times New Roman"/>
                      <w:color w:val="auto"/>
                      <w:spacing w:val="6"/>
                      <w:sz w:val="21"/>
                      <w:szCs w:val="21"/>
                      <w:highlight w:val="none"/>
                    </w:rPr>
                    <w:t>2020年下</w:t>
                  </w:r>
                  <w:r>
                    <w:rPr>
                      <w:rFonts w:hint="default" w:ascii="Times New Roman" w:hAnsi="Times New Roman" w:eastAsia="宋体" w:cs="Times New Roman"/>
                      <w:color w:val="auto"/>
                      <w:spacing w:val="3"/>
                      <w:sz w:val="21"/>
                      <w:szCs w:val="21"/>
                      <w:highlight w:val="none"/>
                    </w:rPr>
                    <w:t>降</w:t>
                  </w:r>
                  <w:r>
                    <w:rPr>
                      <w:rFonts w:hint="default" w:ascii="Times New Roman" w:hAnsi="Times New Roman" w:eastAsia="宋体" w:cs="Times New Roman"/>
                      <w:color w:val="auto"/>
                      <w:spacing w:val="-29"/>
                      <w:sz w:val="21"/>
                      <w:szCs w:val="21"/>
                      <w:highlight w:val="none"/>
                    </w:rPr>
                    <w:t xml:space="preserve"> </w:t>
                  </w:r>
                  <w:r>
                    <w:rPr>
                      <w:rFonts w:hint="default" w:ascii="Times New Roman" w:hAnsi="Times New Roman" w:eastAsia="宋体" w:cs="Times New Roman"/>
                      <w:color w:val="auto"/>
                      <w:spacing w:val="3"/>
                      <w:sz w:val="21"/>
                      <w:szCs w:val="21"/>
                      <w:highlight w:val="none"/>
                    </w:rPr>
                    <w:t>20%</w:t>
                  </w:r>
                  <w:r>
                    <w:rPr>
                      <w:rFonts w:hint="default" w:ascii="Times New Roman" w:hAnsi="Times New Roman" w:eastAsia="宋体" w:cs="Times New Roman"/>
                      <w:color w:val="auto"/>
                      <w:spacing w:val="-27"/>
                      <w:sz w:val="21"/>
                      <w:szCs w:val="21"/>
                      <w:highlight w:val="none"/>
                    </w:rPr>
                    <w:t xml:space="preserve"> </w:t>
                  </w:r>
                  <w:r>
                    <w:rPr>
                      <w:rFonts w:hint="default" w:ascii="Times New Roman" w:hAnsi="Times New Roman" w:eastAsia="宋体" w:cs="Times New Roman"/>
                      <w:color w:val="auto"/>
                      <w:spacing w:val="3"/>
                      <w:sz w:val="21"/>
                      <w:szCs w:val="21"/>
                      <w:highlight w:val="none"/>
                    </w:rPr>
                    <w:t>、万元工业增加值用水量比</w:t>
                  </w:r>
                  <w:r>
                    <w:rPr>
                      <w:rFonts w:hint="default" w:ascii="Times New Roman" w:hAnsi="Times New Roman" w:eastAsia="宋体" w:cs="Times New Roman"/>
                      <w:color w:val="auto"/>
                      <w:spacing w:val="-43"/>
                      <w:sz w:val="21"/>
                      <w:szCs w:val="21"/>
                      <w:highlight w:val="none"/>
                    </w:rPr>
                    <w:t xml:space="preserve"> </w:t>
                  </w:r>
                  <w:r>
                    <w:rPr>
                      <w:rFonts w:hint="default" w:ascii="Times New Roman" w:hAnsi="Times New Roman" w:eastAsia="宋体" w:cs="Times New Roman"/>
                      <w:color w:val="auto"/>
                      <w:spacing w:val="3"/>
                      <w:sz w:val="21"/>
                      <w:szCs w:val="21"/>
                      <w:highlight w:val="none"/>
                    </w:rPr>
                    <w:t>2020年下降</w:t>
                  </w:r>
                  <w:r>
                    <w:rPr>
                      <w:rFonts w:hint="default" w:ascii="Times New Roman" w:hAnsi="Times New Roman" w:eastAsia="宋体" w:cs="Times New Roman"/>
                      <w:color w:val="auto"/>
                      <w:spacing w:val="-20"/>
                      <w:sz w:val="21"/>
                      <w:szCs w:val="21"/>
                      <w:highlight w:val="none"/>
                    </w:rPr>
                    <w:t xml:space="preserve"> </w:t>
                  </w:r>
                  <w:r>
                    <w:rPr>
                      <w:rFonts w:hint="default" w:ascii="Times New Roman" w:hAnsi="Times New Roman" w:eastAsia="宋体" w:cs="Times New Roman"/>
                      <w:color w:val="auto"/>
                      <w:spacing w:val="3"/>
                      <w:sz w:val="21"/>
                      <w:szCs w:val="21"/>
                      <w:highlight w:val="none"/>
                    </w:rPr>
                    <w:t>19%、</w:t>
                  </w:r>
                  <w:r>
                    <w:rPr>
                      <w:rFonts w:hint="default" w:ascii="Times New Roman" w:hAnsi="Times New Roman" w:eastAsia="宋体" w:cs="Times New Roman"/>
                      <w:color w:val="auto"/>
                      <w:spacing w:val="7"/>
                      <w:sz w:val="21"/>
                      <w:szCs w:val="21"/>
                      <w:highlight w:val="none"/>
                    </w:rPr>
                    <w:t>农田灌溉水有效利用系数达到</w:t>
                  </w:r>
                  <w:r>
                    <w:rPr>
                      <w:rFonts w:hint="default" w:ascii="Times New Roman" w:hAnsi="Times New Roman" w:eastAsia="宋体" w:cs="Times New Roman"/>
                      <w:color w:val="auto"/>
                      <w:spacing w:val="-28"/>
                      <w:sz w:val="21"/>
                      <w:szCs w:val="21"/>
                      <w:highlight w:val="none"/>
                    </w:rPr>
                    <w:t xml:space="preserve"> </w:t>
                  </w:r>
                  <w:r>
                    <w:rPr>
                      <w:rFonts w:hint="default" w:ascii="Times New Roman" w:hAnsi="Times New Roman" w:eastAsia="宋体" w:cs="Times New Roman"/>
                      <w:color w:val="auto"/>
                      <w:spacing w:val="7"/>
                      <w:sz w:val="21"/>
                      <w:szCs w:val="21"/>
                      <w:highlight w:val="none"/>
                    </w:rPr>
                    <w:t>0.61。蚌埠市主要涉及</w:t>
                  </w:r>
                  <w:r>
                    <w:rPr>
                      <w:rFonts w:hint="default" w:ascii="Times New Roman" w:hAnsi="Times New Roman" w:eastAsia="宋体" w:cs="Times New Roman"/>
                      <w:color w:val="auto"/>
                      <w:spacing w:val="3"/>
                      <w:sz w:val="21"/>
                      <w:szCs w:val="21"/>
                      <w:highlight w:val="none"/>
                    </w:rPr>
                    <w:t>固镇县城近郊区及连城镇，面积</w:t>
                  </w:r>
                  <w:r>
                    <w:rPr>
                      <w:rFonts w:hint="default" w:ascii="Times New Roman" w:hAnsi="Times New Roman" w:eastAsia="宋体" w:cs="Times New Roman"/>
                      <w:color w:val="auto"/>
                      <w:spacing w:val="-34"/>
                      <w:sz w:val="21"/>
                      <w:szCs w:val="21"/>
                      <w:highlight w:val="none"/>
                    </w:rPr>
                    <w:t xml:space="preserve"> </w:t>
                  </w:r>
                  <w:r>
                    <w:rPr>
                      <w:rFonts w:hint="default" w:ascii="Times New Roman" w:hAnsi="Times New Roman" w:eastAsia="宋体" w:cs="Times New Roman"/>
                      <w:color w:val="auto"/>
                      <w:spacing w:val="3"/>
                      <w:sz w:val="21"/>
                      <w:szCs w:val="21"/>
                      <w:highlight w:val="none"/>
                    </w:rPr>
                    <w:t>70.98</w:t>
                  </w:r>
                  <w:r>
                    <w:rPr>
                      <w:rFonts w:hint="default" w:ascii="Times New Roman" w:hAnsi="Times New Roman" w:eastAsia="宋体" w:cs="Times New Roman"/>
                      <w:color w:val="auto"/>
                      <w:sz w:val="21"/>
                      <w:szCs w:val="21"/>
                      <w:highlight w:val="none"/>
                    </w:rPr>
                    <w:t>km</w:t>
                  </w:r>
                  <w:r>
                    <w:rPr>
                      <w:rFonts w:hint="eastAsia" w:ascii="Times New Roman" w:hAnsi="Times New Roman" w:eastAsia="宋体" w:cs="Times New Roman"/>
                      <w:color w:val="auto"/>
                      <w:spacing w:val="3"/>
                      <w:sz w:val="21"/>
                      <w:szCs w:val="21"/>
                      <w:highlight w:val="none"/>
                      <w:vertAlign w:val="superscript"/>
                      <w:lang w:val="en-US" w:eastAsia="zh-CN"/>
                    </w:rPr>
                    <w:t>2</w:t>
                  </w:r>
                  <w:r>
                    <w:rPr>
                      <w:rFonts w:hint="eastAsia" w:ascii="Times New Roman" w:hAnsi="Times New Roman" w:eastAsia="宋体" w:cs="Times New Roman"/>
                      <w:color w:val="auto"/>
                      <w:spacing w:val="3"/>
                      <w:sz w:val="21"/>
                      <w:szCs w:val="21"/>
                      <w:highlight w:val="none"/>
                      <w:lang w:eastAsia="zh-CN"/>
                    </w:rPr>
                    <w:t>，</w:t>
                  </w:r>
                  <w:r>
                    <w:rPr>
                      <w:rFonts w:hint="default" w:ascii="Times New Roman" w:hAnsi="Times New Roman" w:eastAsia="宋体" w:cs="Times New Roman"/>
                      <w:color w:val="auto"/>
                      <w:spacing w:val="3"/>
                      <w:sz w:val="21"/>
                      <w:szCs w:val="21"/>
                      <w:highlight w:val="none"/>
                    </w:rPr>
                    <w:t>占蚌埠市</w:t>
                  </w:r>
                  <w:r>
                    <w:rPr>
                      <w:rFonts w:hint="default" w:ascii="Times New Roman" w:hAnsi="Times New Roman" w:eastAsia="宋体" w:cs="Times New Roman"/>
                      <w:color w:val="auto"/>
                      <w:spacing w:val="1"/>
                      <w:sz w:val="21"/>
                      <w:szCs w:val="21"/>
                      <w:highlight w:val="none"/>
                    </w:rPr>
                    <w:t>国土面积的</w:t>
                  </w:r>
                  <w:r>
                    <w:rPr>
                      <w:rFonts w:hint="default" w:ascii="Times New Roman" w:hAnsi="Times New Roman" w:eastAsia="宋体" w:cs="Times New Roman"/>
                      <w:color w:val="auto"/>
                      <w:spacing w:val="-24"/>
                      <w:sz w:val="21"/>
                      <w:szCs w:val="21"/>
                      <w:highlight w:val="none"/>
                    </w:rPr>
                    <w:t xml:space="preserve"> </w:t>
                  </w:r>
                  <w:r>
                    <w:rPr>
                      <w:rFonts w:hint="default" w:ascii="Times New Roman" w:hAnsi="Times New Roman" w:eastAsia="宋体" w:cs="Times New Roman"/>
                      <w:color w:val="auto"/>
                      <w:spacing w:val="1"/>
                      <w:sz w:val="21"/>
                      <w:szCs w:val="21"/>
                      <w:highlight w:val="none"/>
                    </w:rPr>
                    <w:t>1.</w:t>
                  </w:r>
                  <w:r>
                    <w:rPr>
                      <w:rFonts w:hint="default" w:ascii="Times New Roman" w:hAnsi="Times New Roman" w:eastAsia="宋体" w:cs="Times New Roman"/>
                      <w:color w:val="auto"/>
                      <w:spacing w:val="-25"/>
                      <w:sz w:val="21"/>
                      <w:szCs w:val="21"/>
                      <w:highlight w:val="none"/>
                    </w:rPr>
                    <w:t xml:space="preserve"> </w:t>
                  </w:r>
                  <w:r>
                    <w:rPr>
                      <w:rFonts w:hint="default" w:ascii="Times New Roman" w:hAnsi="Times New Roman" w:eastAsia="宋体" w:cs="Times New Roman"/>
                      <w:color w:val="auto"/>
                      <w:spacing w:val="1"/>
                      <w:sz w:val="21"/>
                      <w:szCs w:val="21"/>
                      <w:highlight w:val="none"/>
                    </w:rPr>
                    <w:t>19%</w:t>
                  </w:r>
                  <w:r>
                    <w:rPr>
                      <w:rFonts w:hint="default" w:ascii="Times New Roman" w:hAnsi="Times New Roman" w:eastAsia="宋体" w:cs="Times New Roman"/>
                      <w:color w:val="auto"/>
                      <w:spacing w:val="1"/>
                      <w:sz w:val="21"/>
                      <w:szCs w:val="21"/>
                      <w:highlight w:val="none"/>
                      <w:lang w:eastAsia="zh-CN"/>
                    </w:rPr>
                    <w:t>。</w:t>
                  </w:r>
                </w:p>
              </w:tc>
              <w:tc>
                <w:tcPr>
                  <w:tcW w:w="1463" w:type="pct"/>
                  <w:tcBorders>
                    <w:tl2br w:val="nil"/>
                    <w:tr2bl w:val="nil"/>
                  </w:tcBorders>
                  <w:shd w:val="clear" w:color="auto" w:fill="auto"/>
                  <w:vAlign w:val="center"/>
                </w:tcPr>
                <w:p w14:paraId="6FD1527F">
                  <w:pPr>
                    <w:pStyle w:val="35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8"/>
                      <w:sz w:val="21"/>
                      <w:szCs w:val="21"/>
                      <w:highlight w:val="none"/>
                    </w:rPr>
                    <w:t>项目年用水量为</w:t>
                  </w:r>
                  <w:r>
                    <w:rPr>
                      <w:rFonts w:hint="eastAsia" w:ascii="Times New Roman" w:hAnsi="Times New Roman" w:cs="Times New Roman"/>
                      <w:color w:val="auto"/>
                      <w:spacing w:val="8"/>
                      <w:sz w:val="21"/>
                      <w:szCs w:val="21"/>
                      <w:highlight w:val="none"/>
                      <w:lang w:val="en-US" w:eastAsia="zh-CN"/>
                    </w:rPr>
                    <w:t>1032.4</w:t>
                  </w:r>
                  <w:r>
                    <w:rPr>
                      <w:rFonts w:hint="default" w:ascii="Times New Roman" w:hAnsi="Times New Roman" w:eastAsia="宋体" w:cs="Times New Roman"/>
                      <w:color w:val="auto"/>
                      <w:spacing w:val="8"/>
                      <w:sz w:val="21"/>
                      <w:szCs w:val="21"/>
                      <w:highlight w:val="none"/>
                    </w:rPr>
                    <w:t>t/a。</w:t>
                  </w:r>
                </w:p>
              </w:tc>
              <w:tc>
                <w:tcPr>
                  <w:tcW w:w="434" w:type="pct"/>
                  <w:vMerge w:val="continue"/>
                  <w:tcBorders>
                    <w:tl2br w:val="nil"/>
                    <w:tr2bl w:val="nil"/>
                  </w:tcBorders>
                  <w:shd w:val="clear" w:color="auto" w:fill="auto"/>
                  <w:vAlign w:val="center"/>
                </w:tcPr>
                <w:p w14:paraId="0921406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69040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9" w:type="pct"/>
                  <w:vMerge w:val="continue"/>
                  <w:tcBorders>
                    <w:tl2br w:val="nil"/>
                    <w:tr2bl w:val="nil"/>
                  </w:tcBorders>
                  <w:vAlign w:val="center"/>
                </w:tcPr>
                <w:p w14:paraId="3AB7309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673" w:type="pct"/>
                  <w:tcBorders>
                    <w:tl2br w:val="nil"/>
                    <w:tr2bl w:val="nil"/>
                  </w:tcBorders>
                  <w:shd w:val="clear" w:color="auto" w:fill="auto"/>
                  <w:vAlign w:val="center"/>
                </w:tcPr>
                <w:p w14:paraId="54F6491B">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3、土地资源利用上线</w:t>
                  </w:r>
                </w:p>
                <w:p w14:paraId="65F626A4">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1"/>
                      <w:sz w:val="21"/>
                      <w:szCs w:val="21"/>
                      <w:highlight w:val="none"/>
                    </w:rPr>
                    <w:t>根据《蚌埠市国土空间总体规划（2021-2035年）》</w:t>
                  </w:r>
                  <w:r>
                    <w:rPr>
                      <w:rFonts w:hint="default" w:ascii="Times New Roman" w:hAnsi="Times New Roman" w:eastAsia="宋体" w:cs="Times New Roman"/>
                      <w:color w:val="auto"/>
                      <w:spacing w:val="2"/>
                      <w:sz w:val="21"/>
                      <w:szCs w:val="21"/>
                      <w:highlight w:val="none"/>
                    </w:rPr>
                    <w:t>（送审稿</w:t>
                  </w:r>
                  <w:r>
                    <w:rPr>
                      <w:rFonts w:hint="default" w:ascii="Times New Roman" w:hAnsi="Times New Roman" w:eastAsia="宋体" w:cs="Times New Roman"/>
                      <w:color w:val="auto"/>
                      <w:spacing w:val="10"/>
                      <w:sz w:val="21"/>
                      <w:szCs w:val="21"/>
                      <w:highlight w:val="none"/>
                    </w:rPr>
                    <w:t>），</w:t>
                  </w:r>
                  <w:r>
                    <w:rPr>
                      <w:rFonts w:hint="default" w:ascii="Times New Roman" w:hAnsi="Times New Roman" w:eastAsia="宋体" w:cs="Times New Roman"/>
                      <w:color w:val="auto"/>
                      <w:spacing w:val="2"/>
                      <w:sz w:val="21"/>
                      <w:szCs w:val="21"/>
                      <w:highlight w:val="none"/>
                    </w:rPr>
                    <w:t>至</w:t>
                  </w:r>
                  <w:r>
                    <w:rPr>
                      <w:rFonts w:hint="default" w:ascii="Times New Roman" w:hAnsi="Times New Roman" w:eastAsia="宋体" w:cs="Times New Roman"/>
                      <w:color w:val="auto"/>
                      <w:spacing w:val="-44"/>
                      <w:sz w:val="21"/>
                      <w:szCs w:val="21"/>
                      <w:highlight w:val="none"/>
                    </w:rPr>
                    <w:t xml:space="preserve"> </w:t>
                  </w:r>
                  <w:r>
                    <w:rPr>
                      <w:rFonts w:hint="default" w:ascii="Times New Roman" w:hAnsi="Times New Roman" w:eastAsia="宋体" w:cs="Times New Roman"/>
                      <w:color w:val="auto"/>
                      <w:spacing w:val="2"/>
                      <w:sz w:val="21"/>
                      <w:szCs w:val="21"/>
                      <w:highlight w:val="none"/>
                    </w:rPr>
                    <w:t>2035年，耕地保有量不低于</w:t>
                  </w:r>
                  <w:r>
                    <w:rPr>
                      <w:rFonts w:hint="default" w:ascii="Times New Roman" w:hAnsi="Times New Roman" w:eastAsia="宋体" w:cs="Times New Roman"/>
                      <w:color w:val="auto"/>
                      <w:spacing w:val="-40"/>
                      <w:sz w:val="21"/>
                      <w:szCs w:val="21"/>
                      <w:highlight w:val="none"/>
                    </w:rPr>
                    <w:t xml:space="preserve"> </w:t>
                  </w:r>
                  <w:r>
                    <w:rPr>
                      <w:rFonts w:hint="default" w:ascii="Times New Roman" w:hAnsi="Times New Roman" w:eastAsia="宋体" w:cs="Times New Roman"/>
                      <w:color w:val="auto"/>
                      <w:spacing w:val="2"/>
                      <w:sz w:val="21"/>
                      <w:szCs w:val="21"/>
                      <w:highlight w:val="none"/>
                    </w:rPr>
                    <w:t>3721.09</w:t>
                  </w:r>
                  <w:r>
                    <w:rPr>
                      <w:rFonts w:hint="default" w:ascii="Times New Roman" w:hAnsi="Times New Roman" w:eastAsia="宋体" w:cs="Times New Roman"/>
                      <w:color w:val="auto"/>
                      <w:spacing w:val="5"/>
                      <w:sz w:val="21"/>
                      <w:szCs w:val="21"/>
                      <w:highlight w:val="none"/>
                    </w:rPr>
                    <w:t>平方千米，永久基本农田不少于3247.44平方千米；</w:t>
                  </w:r>
                  <w:r>
                    <w:rPr>
                      <w:rFonts w:hint="default" w:ascii="Times New Roman" w:hAnsi="Times New Roman" w:eastAsia="宋体" w:cs="Times New Roman"/>
                      <w:color w:val="auto"/>
                      <w:spacing w:val="9"/>
                      <w:sz w:val="21"/>
                      <w:szCs w:val="21"/>
                      <w:highlight w:val="none"/>
                    </w:rPr>
                    <w:t>至</w:t>
                  </w:r>
                  <w:r>
                    <w:rPr>
                      <w:rFonts w:hint="default" w:ascii="Times New Roman" w:hAnsi="Times New Roman" w:eastAsia="宋体" w:cs="Times New Roman"/>
                      <w:color w:val="auto"/>
                      <w:spacing w:val="-31"/>
                      <w:sz w:val="21"/>
                      <w:szCs w:val="21"/>
                      <w:highlight w:val="none"/>
                    </w:rPr>
                    <w:t xml:space="preserve"> </w:t>
                  </w:r>
                  <w:r>
                    <w:rPr>
                      <w:rFonts w:hint="default" w:ascii="Times New Roman" w:hAnsi="Times New Roman" w:eastAsia="宋体" w:cs="Times New Roman"/>
                      <w:color w:val="auto"/>
                      <w:spacing w:val="9"/>
                      <w:sz w:val="21"/>
                      <w:szCs w:val="21"/>
                      <w:highlight w:val="none"/>
                    </w:rPr>
                    <w:t>2035 年，生态保护红线面积不少于</w:t>
                  </w:r>
                  <w:r>
                    <w:rPr>
                      <w:rFonts w:hint="default" w:ascii="Times New Roman" w:hAnsi="Times New Roman" w:eastAsia="宋体" w:cs="Times New Roman"/>
                      <w:color w:val="auto"/>
                      <w:spacing w:val="-38"/>
                      <w:sz w:val="21"/>
                      <w:szCs w:val="21"/>
                      <w:highlight w:val="none"/>
                    </w:rPr>
                    <w:t xml:space="preserve"> </w:t>
                  </w:r>
                  <w:r>
                    <w:rPr>
                      <w:rFonts w:hint="default" w:ascii="Times New Roman" w:hAnsi="Times New Roman" w:eastAsia="宋体" w:cs="Times New Roman"/>
                      <w:color w:val="auto"/>
                      <w:spacing w:val="9"/>
                      <w:sz w:val="21"/>
                      <w:szCs w:val="21"/>
                      <w:highlight w:val="none"/>
                    </w:rPr>
                    <w:t>242.66平方千</w:t>
                  </w:r>
                  <w:r>
                    <w:rPr>
                      <w:rFonts w:hint="default" w:ascii="Times New Roman" w:hAnsi="Times New Roman" w:eastAsia="宋体" w:cs="Times New Roman"/>
                      <w:color w:val="auto"/>
                      <w:spacing w:val="7"/>
                      <w:sz w:val="21"/>
                      <w:szCs w:val="21"/>
                      <w:highlight w:val="none"/>
                    </w:rPr>
                    <w:t>米，</w:t>
                  </w:r>
                  <w:r>
                    <w:rPr>
                      <w:rFonts w:hint="default" w:ascii="Times New Roman" w:hAnsi="Times New Roman" w:eastAsia="宋体" w:cs="Times New Roman"/>
                      <w:color w:val="auto"/>
                      <w:spacing w:val="-33"/>
                      <w:sz w:val="21"/>
                      <w:szCs w:val="21"/>
                      <w:highlight w:val="none"/>
                    </w:rPr>
                    <w:t xml:space="preserve"> </w:t>
                  </w:r>
                  <w:r>
                    <w:rPr>
                      <w:rFonts w:hint="default" w:ascii="Times New Roman" w:hAnsi="Times New Roman" w:eastAsia="宋体" w:cs="Times New Roman"/>
                      <w:color w:val="auto"/>
                      <w:spacing w:val="7"/>
                      <w:sz w:val="21"/>
                      <w:szCs w:val="21"/>
                      <w:highlight w:val="none"/>
                    </w:rPr>
                    <w:t>自然保护地占国土面积不低于4.67%</w:t>
                  </w:r>
                  <w:r>
                    <w:rPr>
                      <w:rFonts w:hint="default" w:ascii="Times New Roman" w:hAnsi="Times New Roman" w:eastAsia="宋体" w:cs="Times New Roman"/>
                      <w:color w:val="auto"/>
                      <w:spacing w:val="-23"/>
                      <w:sz w:val="21"/>
                      <w:szCs w:val="21"/>
                      <w:highlight w:val="none"/>
                    </w:rPr>
                    <w:t xml:space="preserve"> </w:t>
                  </w:r>
                  <w:r>
                    <w:rPr>
                      <w:rFonts w:hint="default" w:ascii="Times New Roman" w:hAnsi="Times New Roman" w:eastAsia="宋体" w:cs="Times New Roman"/>
                      <w:color w:val="auto"/>
                      <w:spacing w:val="7"/>
                      <w:sz w:val="21"/>
                      <w:szCs w:val="21"/>
                      <w:highlight w:val="none"/>
                    </w:rPr>
                    <w:t>，森林覆盖</w:t>
                  </w:r>
                  <w:r>
                    <w:rPr>
                      <w:rFonts w:hint="default" w:ascii="Times New Roman" w:hAnsi="Times New Roman" w:eastAsia="宋体" w:cs="Times New Roman"/>
                      <w:color w:val="auto"/>
                      <w:spacing w:val="5"/>
                      <w:sz w:val="21"/>
                      <w:szCs w:val="21"/>
                      <w:highlight w:val="none"/>
                    </w:rPr>
                    <w:t>率不低于</w:t>
                  </w:r>
                  <w:r>
                    <w:rPr>
                      <w:rFonts w:hint="default" w:ascii="Times New Roman" w:hAnsi="Times New Roman" w:eastAsia="宋体" w:cs="Times New Roman"/>
                      <w:color w:val="auto"/>
                      <w:spacing w:val="-31"/>
                      <w:sz w:val="21"/>
                      <w:szCs w:val="21"/>
                      <w:highlight w:val="none"/>
                    </w:rPr>
                    <w:t xml:space="preserve"> </w:t>
                  </w:r>
                  <w:r>
                    <w:rPr>
                      <w:rFonts w:hint="default" w:ascii="Times New Roman" w:hAnsi="Times New Roman" w:eastAsia="宋体" w:cs="Times New Roman"/>
                      <w:color w:val="auto"/>
                      <w:spacing w:val="5"/>
                      <w:sz w:val="21"/>
                      <w:szCs w:val="21"/>
                      <w:highlight w:val="none"/>
                    </w:rPr>
                    <w:t>22.</w:t>
                  </w:r>
                  <w:r>
                    <w:rPr>
                      <w:rFonts w:hint="default" w:ascii="Times New Roman" w:hAnsi="Times New Roman" w:eastAsia="宋体" w:cs="Times New Roman"/>
                      <w:color w:val="auto"/>
                      <w:spacing w:val="-25"/>
                      <w:sz w:val="21"/>
                      <w:szCs w:val="21"/>
                      <w:highlight w:val="none"/>
                    </w:rPr>
                    <w:t xml:space="preserve"> </w:t>
                  </w:r>
                  <w:r>
                    <w:rPr>
                      <w:rFonts w:hint="default" w:ascii="Times New Roman" w:hAnsi="Times New Roman" w:eastAsia="宋体" w:cs="Times New Roman"/>
                      <w:color w:val="auto"/>
                      <w:spacing w:val="5"/>
                      <w:sz w:val="21"/>
                      <w:szCs w:val="21"/>
                      <w:highlight w:val="none"/>
                    </w:rPr>
                    <w:t>1%</w:t>
                  </w:r>
                  <w:r>
                    <w:rPr>
                      <w:rFonts w:hint="default" w:ascii="Times New Roman" w:hAnsi="Times New Roman" w:eastAsia="宋体" w:cs="Times New Roman"/>
                      <w:color w:val="auto"/>
                      <w:spacing w:val="-26"/>
                      <w:sz w:val="21"/>
                      <w:szCs w:val="21"/>
                      <w:highlight w:val="none"/>
                    </w:rPr>
                    <w:t xml:space="preserve"> </w:t>
                  </w:r>
                  <w:r>
                    <w:rPr>
                      <w:rFonts w:hint="default" w:ascii="Times New Roman" w:hAnsi="Times New Roman" w:eastAsia="宋体" w:cs="Times New Roman"/>
                      <w:color w:val="auto"/>
                      <w:spacing w:val="5"/>
                      <w:sz w:val="21"/>
                      <w:szCs w:val="21"/>
                      <w:highlight w:val="none"/>
                    </w:rPr>
                    <w:t>，水域空间保有量不低于</w:t>
                  </w:r>
                  <w:r>
                    <w:rPr>
                      <w:rFonts w:hint="default" w:ascii="Times New Roman" w:hAnsi="Times New Roman" w:eastAsia="宋体" w:cs="Times New Roman"/>
                      <w:color w:val="auto"/>
                      <w:spacing w:val="-36"/>
                      <w:sz w:val="21"/>
                      <w:szCs w:val="21"/>
                      <w:highlight w:val="none"/>
                    </w:rPr>
                    <w:t xml:space="preserve"> </w:t>
                  </w:r>
                  <w:r>
                    <w:rPr>
                      <w:rFonts w:hint="default" w:ascii="Times New Roman" w:hAnsi="Times New Roman" w:eastAsia="宋体" w:cs="Times New Roman"/>
                      <w:color w:val="auto"/>
                      <w:spacing w:val="5"/>
                      <w:sz w:val="21"/>
                      <w:szCs w:val="21"/>
                      <w:highlight w:val="none"/>
                    </w:rPr>
                    <w:t>382.02平方千米；至</w:t>
                  </w:r>
                  <w:r>
                    <w:rPr>
                      <w:rFonts w:hint="default" w:ascii="Times New Roman" w:hAnsi="Times New Roman" w:eastAsia="宋体" w:cs="Times New Roman"/>
                      <w:color w:val="auto"/>
                      <w:spacing w:val="-40"/>
                      <w:sz w:val="21"/>
                      <w:szCs w:val="21"/>
                      <w:highlight w:val="none"/>
                    </w:rPr>
                    <w:t xml:space="preserve"> </w:t>
                  </w:r>
                  <w:r>
                    <w:rPr>
                      <w:rFonts w:hint="default" w:ascii="Times New Roman" w:hAnsi="Times New Roman" w:eastAsia="宋体" w:cs="Times New Roman"/>
                      <w:color w:val="auto"/>
                      <w:spacing w:val="5"/>
                      <w:sz w:val="21"/>
                      <w:szCs w:val="21"/>
                      <w:highlight w:val="none"/>
                    </w:rPr>
                    <w:t>2035年，新增建设用地规模控制在</w:t>
                  </w:r>
                  <w:r>
                    <w:rPr>
                      <w:rFonts w:hint="default" w:ascii="Times New Roman" w:hAnsi="Times New Roman" w:eastAsia="宋体" w:cs="Times New Roman"/>
                      <w:color w:val="auto"/>
                      <w:spacing w:val="-37"/>
                      <w:sz w:val="21"/>
                      <w:szCs w:val="21"/>
                      <w:highlight w:val="none"/>
                    </w:rPr>
                    <w:t xml:space="preserve"> </w:t>
                  </w:r>
                  <w:r>
                    <w:rPr>
                      <w:rFonts w:hint="default" w:ascii="Times New Roman" w:hAnsi="Times New Roman" w:eastAsia="宋体" w:cs="Times New Roman"/>
                      <w:color w:val="auto"/>
                      <w:spacing w:val="5"/>
                      <w:sz w:val="21"/>
                      <w:szCs w:val="21"/>
                      <w:highlight w:val="none"/>
                    </w:rPr>
                    <w:t>97.</w:t>
                  </w:r>
                  <w:r>
                    <w:rPr>
                      <w:rFonts w:hint="default" w:ascii="Times New Roman" w:hAnsi="Times New Roman" w:eastAsia="宋体" w:cs="Times New Roman"/>
                      <w:color w:val="auto"/>
                      <w:spacing w:val="-25"/>
                      <w:sz w:val="21"/>
                      <w:szCs w:val="21"/>
                      <w:highlight w:val="none"/>
                    </w:rPr>
                    <w:t xml:space="preserve"> </w:t>
                  </w:r>
                  <w:r>
                    <w:rPr>
                      <w:rFonts w:hint="default" w:ascii="Times New Roman" w:hAnsi="Times New Roman" w:eastAsia="宋体" w:cs="Times New Roman"/>
                      <w:color w:val="auto"/>
                      <w:spacing w:val="5"/>
                      <w:sz w:val="21"/>
                      <w:szCs w:val="21"/>
                      <w:highlight w:val="none"/>
                    </w:rPr>
                    <w:t>14平</w:t>
                  </w:r>
                  <w:r>
                    <w:rPr>
                      <w:rFonts w:hint="default" w:ascii="Times New Roman" w:hAnsi="Times New Roman" w:eastAsia="宋体" w:cs="Times New Roman"/>
                      <w:color w:val="auto"/>
                      <w:spacing w:val="6"/>
                      <w:sz w:val="21"/>
                      <w:szCs w:val="21"/>
                      <w:highlight w:val="none"/>
                    </w:rPr>
                    <w:t>方千米以内，新增城镇建设用地规模控制在</w:t>
                  </w:r>
                  <w:r>
                    <w:rPr>
                      <w:rFonts w:hint="default" w:ascii="Times New Roman" w:hAnsi="Times New Roman" w:eastAsia="宋体" w:cs="Times New Roman"/>
                      <w:color w:val="auto"/>
                      <w:spacing w:val="-19"/>
                      <w:sz w:val="21"/>
                      <w:szCs w:val="21"/>
                      <w:highlight w:val="none"/>
                    </w:rPr>
                    <w:t xml:space="preserve"> </w:t>
                  </w:r>
                  <w:r>
                    <w:rPr>
                      <w:rFonts w:hint="default" w:ascii="Times New Roman" w:hAnsi="Times New Roman" w:eastAsia="宋体" w:cs="Times New Roman"/>
                      <w:color w:val="auto"/>
                      <w:spacing w:val="6"/>
                      <w:sz w:val="21"/>
                      <w:szCs w:val="21"/>
                      <w:highlight w:val="none"/>
                    </w:rPr>
                    <w:t>123.53平</w:t>
                  </w:r>
                  <w:r>
                    <w:rPr>
                      <w:rFonts w:hint="default" w:ascii="Times New Roman" w:hAnsi="Times New Roman" w:eastAsia="宋体" w:cs="Times New Roman"/>
                      <w:color w:val="auto"/>
                      <w:spacing w:val="13"/>
                      <w:sz w:val="21"/>
                      <w:szCs w:val="21"/>
                      <w:highlight w:val="none"/>
                    </w:rPr>
                    <w:t>方千米以内，单位</w:t>
                  </w:r>
                  <w:r>
                    <w:rPr>
                      <w:rFonts w:hint="default" w:ascii="Times New Roman" w:hAnsi="Times New Roman" w:eastAsia="宋体" w:cs="Times New Roman"/>
                      <w:color w:val="auto"/>
                      <w:spacing w:val="-33"/>
                      <w:sz w:val="21"/>
                      <w:szCs w:val="21"/>
                      <w:highlight w:val="none"/>
                    </w:rPr>
                    <w:t xml:space="preserve"> </w:t>
                  </w:r>
                  <w:r>
                    <w:rPr>
                      <w:rFonts w:hint="default" w:ascii="Times New Roman" w:hAnsi="Times New Roman" w:eastAsia="宋体" w:cs="Times New Roman"/>
                      <w:color w:val="auto"/>
                      <w:sz w:val="21"/>
                      <w:szCs w:val="21"/>
                      <w:highlight w:val="none"/>
                    </w:rPr>
                    <w:t>GDP</w:t>
                  </w:r>
                  <w:r>
                    <w:rPr>
                      <w:rFonts w:hint="default" w:ascii="Times New Roman" w:hAnsi="Times New Roman" w:eastAsia="宋体" w:cs="Times New Roman"/>
                      <w:color w:val="auto"/>
                      <w:spacing w:val="13"/>
                      <w:sz w:val="21"/>
                      <w:szCs w:val="21"/>
                      <w:highlight w:val="none"/>
                    </w:rPr>
                    <w:t>使用建设用地面积下降</w:t>
                  </w:r>
                  <w:r>
                    <w:rPr>
                      <w:rFonts w:hint="default" w:ascii="Times New Roman" w:hAnsi="Times New Roman" w:eastAsia="宋体" w:cs="Times New Roman"/>
                      <w:color w:val="auto"/>
                      <w:spacing w:val="-30"/>
                      <w:sz w:val="21"/>
                      <w:szCs w:val="21"/>
                      <w:highlight w:val="none"/>
                    </w:rPr>
                    <w:t xml:space="preserve"> </w:t>
                  </w:r>
                  <w:r>
                    <w:rPr>
                      <w:rFonts w:hint="default" w:ascii="Times New Roman" w:hAnsi="Times New Roman" w:eastAsia="宋体" w:cs="Times New Roman"/>
                      <w:color w:val="auto"/>
                      <w:spacing w:val="13"/>
                      <w:sz w:val="21"/>
                      <w:szCs w:val="21"/>
                      <w:highlight w:val="none"/>
                    </w:rPr>
                    <w:t>50%</w:t>
                  </w:r>
                  <w:r>
                    <w:rPr>
                      <w:rFonts w:hint="default" w:ascii="Times New Roman" w:hAnsi="Times New Roman" w:eastAsia="宋体" w:cs="Times New Roman"/>
                      <w:color w:val="auto"/>
                      <w:spacing w:val="10"/>
                      <w:sz w:val="21"/>
                      <w:szCs w:val="21"/>
                      <w:highlight w:val="none"/>
                    </w:rPr>
                    <w:t>以上，人均城镇建设用地控制在119.5平方米以内，</w:t>
                  </w:r>
                  <w:r>
                    <w:rPr>
                      <w:rFonts w:hint="default" w:ascii="Times New Roman" w:hAnsi="Times New Roman" w:eastAsia="宋体" w:cs="Times New Roman"/>
                      <w:color w:val="auto"/>
                      <w:spacing w:val="8"/>
                      <w:sz w:val="21"/>
                      <w:szCs w:val="21"/>
                      <w:highlight w:val="none"/>
                    </w:rPr>
                    <w:t>十五分钟社区生活圈建设更加完善。</w:t>
                  </w:r>
                </w:p>
              </w:tc>
              <w:tc>
                <w:tcPr>
                  <w:tcW w:w="1463" w:type="pct"/>
                  <w:tcBorders>
                    <w:tl2br w:val="nil"/>
                    <w:tr2bl w:val="nil"/>
                  </w:tcBorders>
                  <w:shd w:val="clear" w:color="auto" w:fill="auto"/>
                  <w:vAlign w:val="center"/>
                </w:tcPr>
                <w:p w14:paraId="39D7052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26B001BD">
                  <w:pPr>
                    <w:pStyle w:val="35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8"/>
                      <w:sz w:val="21"/>
                      <w:szCs w:val="21"/>
                      <w:highlight w:val="none"/>
                    </w:rPr>
                    <w:t>项目用地性质为工业用</w:t>
                  </w:r>
                  <w:r>
                    <w:rPr>
                      <w:rFonts w:hint="default" w:ascii="Times New Roman" w:hAnsi="Times New Roman" w:eastAsia="宋体" w:cs="Times New Roman"/>
                      <w:color w:val="auto"/>
                      <w:spacing w:val="7"/>
                      <w:sz w:val="21"/>
                      <w:szCs w:val="21"/>
                      <w:highlight w:val="none"/>
                    </w:rPr>
                    <w:t>地，不占用耕地。</w:t>
                  </w:r>
                </w:p>
              </w:tc>
              <w:tc>
                <w:tcPr>
                  <w:tcW w:w="434" w:type="pct"/>
                  <w:vMerge w:val="continue"/>
                  <w:tcBorders>
                    <w:tl2br w:val="nil"/>
                    <w:tr2bl w:val="nil"/>
                  </w:tcBorders>
                  <w:shd w:val="clear" w:color="auto" w:fill="auto"/>
                  <w:vAlign w:val="center"/>
                </w:tcPr>
                <w:p w14:paraId="3D6074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14:paraId="7A6AC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9" w:type="pct"/>
                  <w:tcBorders>
                    <w:tl2br w:val="nil"/>
                    <w:tr2bl w:val="nil"/>
                  </w:tcBorders>
                  <w:vAlign w:val="center"/>
                </w:tcPr>
                <w:p w14:paraId="3E7DB078">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生态</w:t>
                  </w:r>
                </w:p>
                <w:p w14:paraId="4608204C">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环境</w:t>
                  </w:r>
                </w:p>
                <w:p w14:paraId="70581B57">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准入</w:t>
                  </w:r>
                </w:p>
                <w:p w14:paraId="76AD31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清单</w:t>
                  </w:r>
                </w:p>
              </w:tc>
              <w:tc>
                <w:tcPr>
                  <w:tcW w:w="2673" w:type="pct"/>
                  <w:tcBorders>
                    <w:tl2br w:val="nil"/>
                    <w:tr2bl w:val="nil"/>
                  </w:tcBorders>
                  <w:shd w:val="clear" w:color="auto" w:fill="auto"/>
                  <w:vAlign w:val="center"/>
                </w:tcPr>
                <w:p w14:paraId="1C6AF5C7">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0"/>
                      <w:sz w:val="21"/>
                      <w:szCs w:val="21"/>
                      <w:highlight w:val="none"/>
                    </w:rPr>
                    <w:t>根据《生态环境准入清单编制要点（试行）》和</w:t>
                  </w:r>
                  <w:r>
                    <w:rPr>
                      <w:rFonts w:hint="default" w:ascii="Times New Roman" w:hAnsi="Times New Roman" w:eastAsia="宋体" w:cs="Times New Roman"/>
                      <w:color w:val="auto"/>
                      <w:spacing w:val="16"/>
                      <w:sz w:val="21"/>
                      <w:szCs w:val="21"/>
                      <w:highlight w:val="none"/>
                    </w:rPr>
                    <w:t xml:space="preserve"> </w:t>
                  </w:r>
                  <w:r>
                    <w:rPr>
                      <w:rFonts w:hint="default" w:ascii="Times New Roman" w:hAnsi="Times New Roman" w:eastAsia="宋体" w:cs="Times New Roman"/>
                      <w:color w:val="auto"/>
                      <w:spacing w:val="10"/>
                      <w:sz w:val="21"/>
                      <w:szCs w:val="21"/>
                      <w:highlight w:val="none"/>
                    </w:rPr>
                    <w:t>《安徽省市级生态环境准入清单编制技术规程》的规</w:t>
                  </w:r>
                  <w:r>
                    <w:rPr>
                      <w:rFonts w:hint="default" w:ascii="Times New Roman" w:hAnsi="Times New Roman" w:eastAsia="宋体" w:cs="Times New Roman"/>
                      <w:color w:val="auto"/>
                      <w:spacing w:val="16"/>
                      <w:sz w:val="21"/>
                      <w:szCs w:val="21"/>
                      <w:highlight w:val="none"/>
                    </w:rPr>
                    <w:t xml:space="preserve"> </w:t>
                  </w:r>
                  <w:r>
                    <w:rPr>
                      <w:rFonts w:hint="default" w:ascii="Times New Roman" w:hAnsi="Times New Roman" w:eastAsia="宋体" w:cs="Times New Roman"/>
                      <w:color w:val="auto"/>
                      <w:spacing w:val="11"/>
                      <w:sz w:val="21"/>
                      <w:szCs w:val="21"/>
                      <w:highlight w:val="none"/>
                    </w:rPr>
                    <w:t>定，结合安徽省和蚌埠市实际，构建“省+区域+市+</w:t>
                  </w:r>
                  <w:r>
                    <w:rPr>
                      <w:rFonts w:hint="default" w:ascii="Times New Roman" w:hAnsi="Times New Roman" w:eastAsia="宋体" w:cs="Times New Roman"/>
                      <w:color w:val="auto"/>
                      <w:spacing w:val="6"/>
                      <w:sz w:val="21"/>
                      <w:szCs w:val="21"/>
                      <w:highlight w:val="none"/>
                    </w:rPr>
                    <w:t>开发区</w:t>
                  </w:r>
                  <w:r>
                    <w:rPr>
                      <w:rFonts w:hint="default" w:ascii="Times New Roman" w:hAnsi="Times New Roman" w:eastAsia="宋体" w:cs="Times New Roman"/>
                      <w:color w:val="auto"/>
                      <w:spacing w:val="-72"/>
                      <w:sz w:val="21"/>
                      <w:szCs w:val="21"/>
                      <w:highlight w:val="none"/>
                    </w:rPr>
                    <w:t xml:space="preserve"> </w:t>
                  </w:r>
                  <w:r>
                    <w:rPr>
                      <w:rFonts w:hint="default" w:ascii="Times New Roman" w:hAnsi="Times New Roman" w:eastAsia="宋体" w:cs="Times New Roman"/>
                      <w:color w:val="auto"/>
                      <w:spacing w:val="6"/>
                      <w:sz w:val="21"/>
                      <w:szCs w:val="21"/>
                      <w:highlight w:val="none"/>
                    </w:rPr>
                    <w:t>”的</w:t>
                  </w:r>
                  <w:r>
                    <w:rPr>
                      <w:rFonts w:hint="default" w:ascii="Times New Roman" w:hAnsi="Times New Roman" w:eastAsia="宋体" w:cs="Times New Roman"/>
                      <w:color w:val="auto"/>
                      <w:spacing w:val="-44"/>
                      <w:sz w:val="21"/>
                      <w:szCs w:val="21"/>
                      <w:highlight w:val="none"/>
                    </w:rPr>
                    <w:t xml:space="preserve"> </w:t>
                  </w:r>
                  <w:r>
                    <w:rPr>
                      <w:rFonts w:hint="default" w:ascii="Times New Roman" w:hAnsi="Times New Roman" w:eastAsia="宋体" w:cs="Times New Roman"/>
                      <w:color w:val="auto"/>
                      <w:spacing w:val="6"/>
                      <w:sz w:val="21"/>
                      <w:szCs w:val="21"/>
                      <w:highlight w:val="none"/>
                    </w:rPr>
                    <w:t>4层清单模板（表</w:t>
                  </w:r>
                  <w:r>
                    <w:rPr>
                      <w:rFonts w:hint="default" w:ascii="Times New Roman" w:hAnsi="Times New Roman" w:eastAsia="宋体" w:cs="Times New Roman"/>
                      <w:color w:val="auto"/>
                      <w:spacing w:val="-20"/>
                      <w:sz w:val="21"/>
                      <w:szCs w:val="21"/>
                      <w:highlight w:val="none"/>
                    </w:rPr>
                    <w:t xml:space="preserve"> </w:t>
                  </w:r>
                  <w:r>
                    <w:rPr>
                      <w:rFonts w:hint="default" w:ascii="Times New Roman" w:hAnsi="Times New Roman" w:eastAsia="宋体" w:cs="Times New Roman"/>
                      <w:color w:val="auto"/>
                      <w:spacing w:val="6"/>
                      <w:sz w:val="21"/>
                      <w:szCs w:val="21"/>
                      <w:highlight w:val="none"/>
                    </w:rPr>
                    <w:t>1~表</w:t>
                  </w:r>
                  <w:r>
                    <w:rPr>
                      <w:rFonts w:hint="default" w:ascii="Times New Roman" w:hAnsi="Times New Roman" w:eastAsia="宋体" w:cs="Times New Roman"/>
                      <w:color w:val="auto"/>
                      <w:spacing w:val="-42"/>
                      <w:sz w:val="21"/>
                      <w:szCs w:val="21"/>
                      <w:highlight w:val="none"/>
                    </w:rPr>
                    <w:t xml:space="preserve"> </w:t>
                  </w:r>
                  <w:r>
                    <w:rPr>
                      <w:rFonts w:hint="default" w:ascii="Times New Roman" w:hAnsi="Times New Roman" w:eastAsia="宋体" w:cs="Times New Roman"/>
                      <w:color w:val="auto"/>
                      <w:spacing w:val="6"/>
                      <w:sz w:val="21"/>
                      <w:szCs w:val="21"/>
                      <w:highlight w:val="none"/>
                    </w:rPr>
                    <w:t>4</w:t>
                  </w:r>
                  <w:r>
                    <w:rPr>
                      <w:rFonts w:hint="default" w:ascii="Times New Roman" w:hAnsi="Times New Roman" w:eastAsia="宋体" w:cs="Times New Roman"/>
                      <w:color w:val="auto"/>
                      <w:spacing w:val="15"/>
                      <w:sz w:val="21"/>
                      <w:szCs w:val="21"/>
                      <w:highlight w:val="none"/>
                    </w:rPr>
                    <w:t>），</w:t>
                  </w:r>
                  <w:r>
                    <w:rPr>
                      <w:rFonts w:hint="default" w:ascii="Times New Roman" w:hAnsi="Times New Roman" w:eastAsia="宋体" w:cs="Times New Roman"/>
                      <w:color w:val="auto"/>
                      <w:spacing w:val="6"/>
                      <w:sz w:val="21"/>
                      <w:szCs w:val="21"/>
                      <w:highlight w:val="none"/>
                    </w:rPr>
                    <w:t>梳</w:t>
                  </w:r>
                  <w:r>
                    <w:rPr>
                      <w:rFonts w:hint="default" w:ascii="Times New Roman" w:hAnsi="Times New Roman" w:eastAsia="宋体" w:cs="Times New Roman"/>
                      <w:color w:val="auto"/>
                      <w:spacing w:val="5"/>
                      <w:sz w:val="21"/>
                      <w:szCs w:val="21"/>
                      <w:highlight w:val="none"/>
                    </w:rPr>
                    <w:t>理相应层</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10"/>
                      <w:sz w:val="21"/>
                      <w:szCs w:val="21"/>
                      <w:highlight w:val="none"/>
                    </w:rPr>
                    <w:t>次上的管控要求和编制依据，设立相应的简化词条名</w:t>
                  </w:r>
                  <w:r>
                    <w:rPr>
                      <w:rFonts w:hint="default" w:ascii="Times New Roman" w:hAnsi="Times New Roman" w:eastAsia="宋体" w:cs="Times New Roman"/>
                      <w:color w:val="auto"/>
                      <w:spacing w:val="8"/>
                      <w:sz w:val="21"/>
                      <w:szCs w:val="21"/>
                      <w:highlight w:val="none"/>
                    </w:rPr>
                    <w:t>称，便于在管控单元清单（表</w:t>
                  </w:r>
                  <w:r>
                    <w:rPr>
                      <w:rFonts w:hint="default" w:ascii="Times New Roman" w:hAnsi="Times New Roman" w:eastAsia="宋体" w:cs="Times New Roman"/>
                      <w:color w:val="auto"/>
                      <w:spacing w:val="-34"/>
                      <w:sz w:val="21"/>
                      <w:szCs w:val="21"/>
                      <w:highlight w:val="none"/>
                    </w:rPr>
                    <w:t xml:space="preserve"> </w:t>
                  </w:r>
                  <w:r>
                    <w:rPr>
                      <w:rFonts w:hint="default" w:ascii="Times New Roman" w:hAnsi="Times New Roman" w:eastAsia="宋体" w:cs="Times New Roman"/>
                      <w:color w:val="auto"/>
                      <w:spacing w:val="8"/>
                      <w:sz w:val="21"/>
                      <w:szCs w:val="21"/>
                      <w:highlight w:val="none"/>
                    </w:rPr>
                    <w:t>5）中直接引用。</w:t>
                  </w:r>
                </w:p>
                <w:p w14:paraId="30080D5C">
                  <w:pPr>
                    <w:pStyle w:val="35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9"/>
                      <w:sz w:val="21"/>
                      <w:szCs w:val="21"/>
                      <w:highlight w:val="none"/>
                    </w:rPr>
                    <w:t>“省+区域+市+开发区</w:t>
                  </w:r>
                  <w:r>
                    <w:rPr>
                      <w:rFonts w:hint="default" w:ascii="Times New Roman" w:hAnsi="Times New Roman" w:eastAsia="宋体" w:cs="Times New Roman"/>
                      <w:color w:val="auto"/>
                      <w:spacing w:val="-67"/>
                      <w:sz w:val="21"/>
                      <w:szCs w:val="21"/>
                      <w:highlight w:val="none"/>
                    </w:rPr>
                    <w:t xml:space="preserve"> </w:t>
                  </w:r>
                  <w:r>
                    <w:rPr>
                      <w:rFonts w:hint="default" w:ascii="Times New Roman" w:hAnsi="Times New Roman" w:eastAsia="宋体" w:cs="Times New Roman"/>
                      <w:color w:val="auto"/>
                      <w:spacing w:val="9"/>
                      <w:sz w:val="21"/>
                      <w:szCs w:val="21"/>
                      <w:highlight w:val="none"/>
                    </w:rPr>
                    <w:t>”的</w:t>
                  </w:r>
                  <w:r>
                    <w:rPr>
                      <w:rFonts w:hint="default" w:ascii="Times New Roman" w:hAnsi="Times New Roman" w:eastAsia="宋体" w:cs="Times New Roman"/>
                      <w:color w:val="auto"/>
                      <w:spacing w:val="-40"/>
                      <w:sz w:val="21"/>
                      <w:szCs w:val="21"/>
                      <w:highlight w:val="none"/>
                    </w:rPr>
                    <w:t xml:space="preserve"> </w:t>
                  </w:r>
                  <w:r>
                    <w:rPr>
                      <w:rFonts w:hint="default" w:ascii="Times New Roman" w:hAnsi="Times New Roman" w:eastAsia="宋体" w:cs="Times New Roman"/>
                      <w:color w:val="auto"/>
                      <w:spacing w:val="9"/>
                      <w:sz w:val="21"/>
                      <w:szCs w:val="21"/>
                      <w:highlight w:val="none"/>
                    </w:rPr>
                    <w:t xml:space="preserve"> 层清单模板分优先</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3"/>
                      <w:sz w:val="21"/>
                      <w:szCs w:val="21"/>
                      <w:highlight w:val="none"/>
                    </w:rPr>
                    <w:t>保护、重点管控、一般管控</w:t>
                  </w:r>
                  <w:r>
                    <w:rPr>
                      <w:rFonts w:hint="default" w:ascii="Times New Roman" w:hAnsi="Times New Roman" w:eastAsia="宋体" w:cs="Times New Roman"/>
                      <w:color w:val="auto"/>
                      <w:spacing w:val="-36"/>
                      <w:sz w:val="21"/>
                      <w:szCs w:val="21"/>
                      <w:highlight w:val="none"/>
                    </w:rPr>
                    <w:t xml:space="preserve"> </w:t>
                  </w:r>
                  <w:r>
                    <w:rPr>
                      <w:rFonts w:hint="default" w:ascii="Times New Roman" w:hAnsi="Times New Roman" w:eastAsia="宋体" w:cs="Times New Roman"/>
                      <w:color w:val="auto"/>
                      <w:spacing w:val="3"/>
                      <w:sz w:val="21"/>
                      <w:szCs w:val="21"/>
                      <w:highlight w:val="none"/>
                    </w:rPr>
                    <w:t>3大类，从空间布局</w:t>
                  </w:r>
                  <w:r>
                    <w:rPr>
                      <w:rFonts w:hint="default" w:ascii="Times New Roman" w:hAnsi="Times New Roman" w:eastAsia="宋体" w:cs="Times New Roman"/>
                      <w:color w:val="auto"/>
                      <w:spacing w:val="2"/>
                      <w:sz w:val="21"/>
                      <w:szCs w:val="21"/>
                      <w:highlight w:val="none"/>
                    </w:rPr>
                    <w:t>约束、</w:t>
                  </w:r>
                  <w:r>
                    <w:rPr>
                      <w:rFonts w:hint="default" w:ascii="Times New Roman" w:hAnsi="Times New Roman" w:eastAsia="宋体" w:cs="Times New Roman"/>
                      <w:color w:val="auto"/>
                      <w:spacing w:val="9"/>
                      <w:sz w:val="21"/>
                      <w:szCs w:val="21"/>
                      <w:highlight w:val="none"/>
                    </w:rPr>
                    <w:t>污染物排放管控、环境风险防控和资源利用效率</w:t>
                  </w:r>
                  <w:r>
                    <w:rPr>
                      <w:rFonts w:hint="default" w:ascii="Times New Roman" w:hAnsi="Times New Roman" w:eastAsia="宋体" w:cs="Times New Roman"/>
                      <w:color w:val="auto"/>
                      <w:spacing w:val="-40"/>
                      <w:sz w:val="21"/>
                      <w:szCs w:val="21"/>
                      <w:highlight w:val="none"/>
                    </w:rPr>
                    <w:t xml:space="preserve"> </w:t>
                  </w:r>
                  <w:r>
                    <w:rPr>
                      <w:rFonts w:hint="default" w:ascii="Times New Roman" w:hAnsi="Times New Roman" w:eastAsia="宋体" w:cs="Times New Roman"/>
                      <w:color w:val="auto"/>
                      <w:spacing w:val="9"/>
                      <w:sz w:val="21"/>
                      <w:szCs w:val="21"/>
                      <w:highlight w:val="none"/>
                    </w:rPr>
                    <w:t>4个</w:t>
                  </w:r>
                  <w:r>
                    <w:rPr>
                      <w:rFonts w:hint="default" w:ascii="Times New Roman" w:hAnsi="Times New Roman" w:eastAsia="宋体" w:cs="Times New Roman"/>
                      <w:color w:val="auto"/>
                      <w:spacing w:val="10"/>
                      <w:sz w:val="21"/>
                      <w:szCs w:val="21"/>
                      <w:highlight w:val="none"/>
                    </w:rPr>
                    <w:t>维度来构建。其中优先保护类针对生态空间及大气、水等环境要素的优先保护区编制，主要强调空间</w:t>
                  </w:r>
                  <w:r>
                    <w:rPr>
                      <w:rFonts w:hint="default" w:ascii="Times New Roman" w:hAnsi="Times New Roman" w:eastAsia="宋体" w:cs="Times New Roman"/>
                      <w:color w:val="auto"/>
                      <w:spacing w:val="9"/>
                      <w:sz w:val="21"/>
                      <w:szCs w:val="21"/>
                      <w:highlight w:val="none"/>
                    </w:rPr>
                    <w:t>布局</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4"/>
                      <w:sz w:val="21"/>
                      <w:szCs w:val="21"/>
                      <w:highlight w:val="none"/>
                    </w:rPr>
                    <w:t>约束，以禁止和限制开发为主；重点管控类针对大气、</w:t>
                  </w:r>
                  <w:r>
                    <w:rPr>
                      <w:rFonts w:hint="default" w:ascii="Times New Roman" w:hAnsi="Times New Roman" w:eastAsia="宋体" w:cs="Times New Roman"/>
                      <w:color w:val="auto"/>
                      <w:spacing w:val="10"/>
                      <w:sz w:val="21"/>
                      <w:szCs w:val="21"/>
                      <w:highlight w:val="none"/>
                    </w:rPr>
                    <w:t>水、土壤、资源能源等要素的重点管控区编制，</w:t>
                  </w:r>
                  <w:r>
                    <w:rPr>
                      <w:rFonts w:hint="default" w:ascii="Times New Roman" w:hAnsi="Times New Roman" w:eastAsia="宋体" w:cs="Times New Roman"/>
                      <w:color w:val="auto"/>
                      <w:spacing w:val="9"/>
                      <w:sz w:val="21"/>
                      <w:szCs w:val="21"/>
                      <w:highlight w:val="none"/>
                    </w:rPr>
                    <w:t>主要</w:t>
                  </w:r>
                  <w:r>
                    <w:rPr>
                      <w:rFonts w:hint="default" w:ascii="Times New Roman" w:hAnsi="Times New Roman" w:eastAsia="宋体" w:cs="Times New Roman"/>
                      <w:color w:val="auto"/>
                      <w:spacing w:val="10"/>
                      <w:sz w:val="21"/>
                      <w:szCs w:val="21"/>
                      <w:highlight w:val="none"/>
                    </w:rPr>
                    <w:t>从空间布局约束、污染物排放管控、环境风险防</w:t>
                  </w:r>
                  <w:r>
                    <w:rPr>
                      <w:rFonts w:hint="default" w:ascii="Times New Roman" w:hAnsi="Times New Roman" w:eastAsia="宋体" w:cs="Times New Roman"/>
                      <w:color w:val="auto"/>
                      <w:spacing w:val="9"/>
                      <w:sz w:val="21"/>
                      <w:szCs w:val="21"/>
                      <w:highlight w:val="none"/>
                    </w:rPr>
                    <w:t>控和</w:t>
                  </w:r>
                  <w:r>
                    <w:rPr>
                      <w:rFonts w:hint="default" w:ascii="Times New Roman" w:hAnsi="Times New Roman" w:eastAsia="宋体" w:cs="Times New Roman"/>
                      <w:color w:val="auto"/>
                      <w:spacing w:val="10"/>
                      <w:sz w:val="21"/>
                      <w:szCs w:val="21"/>
                      <w:highlight w:val="none"/>
                    </w:rPr>
                    <w:t>资源利用效率要求等方面提出要求；一般管控类</w:t>
                  </w:r>
                  <w:r>
                    <w:rPr>
                      <w:rFonts w:hint="default" w:ascii="Times New Roman" w:hAnsi="Times New Roman" w:eastAsia="宋体" w:cs="Times New Roman"/>
                      <w:color w:val="auto"/>
                      <w:spacing w:val="9"/>
                      <w:sz w:val="21"/>
                      <w:szCs w:val="21"/>
                      <w:highlight w:val="none"/>
                    </w:rPr>
                    <w:t>根据</w:t>
                  </w:r>
                  <w:r>
                    <w:rPr>
                      <w:rFonts w:hint="default" w:ascii="Times New Roman" w:hAnsi="Times New Roman" w:eastAsia="宋体" w:cs="Times New Roman"/>
                      <w:color w:val="auto"/>
                      <w:spacing w:val="8"/>
                      <w:sz w:val="21"/>
                      <w:szCs w:val="21"/>
                      <w:highlight w:val="none"/>
                    </w:rPr>
                    <w:t>内部地块属性，提出相应管理要求。</w:t>
                  </w:r>
                </w:p>
              </w:tc>
              <w:tc>
                <w:tcPr>
                  <w:tcW w:w="1463" w:type="pct"/>
                  <w:tcBorders>
                    <w:tl2br w:val="nil"/>
                    <w:tr2bl w:val="nil"/>
                  </w:tcBorders>
                  <w:shd w:val="clear" w:color="auto" w:fill="auto"/>
                  <w:vAlign w:val="center"/>
                </w:tcPr>
                <w:p w14:paraId="6B1AE33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64505EB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4447C5F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715555C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6EC3648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78475B1A">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项目类别为</w:t>
                  </w:r>
                  <w:r>
                    <w:rPr>
                      <w:rFonts w:hint="default" w:ascii="Times New Roman" w:hAnsi="Times New Roman" w:eastAsia="宋体" w:cs="Times New Roman"/>
                      <w:color w:val="auto"/>
                      <w:kern w:val="0"/>
                      <w:sz w:val="21"/>
                      <w:szCs w:val="21"/>
                      <w:highlight w:val="none"/>
                      <w:lang w:val="en-US" w:eastAsia="zh-CN" w:bidi="ar"/>
                    </w:rPr>
                    <w:t>C1953塑料鞋制造、</w:t>
                  </w:r>
                  <w:r>
                    <w:rPr>
                      <w:rFonts w:hint="eastAsia" w:ascii="Times New Roman" w:hAnsi="Times New Roman" w:eastAsia="宋体" w:cs="Times New Roman"/>
                      <w:color w:val="auto"/>
                      <w:kern w:val="0"/>
                      <w:sz w:val="21"/>
                      <w:szCs w:val="21"/>
                      <w:highlight w:val="none"/>
                      <w:lang w:val="en-US" w:eastAsia="zh-CN" w:bidi="ar"/>
                    </w:rPr>
                    <w:t>C1819其他机织服装制造</w:t>
                  </w:r>
                  <w:r>
                    <w:rPr>
                      <w:rFonts w:hint="default" w:ascii="Times New Roman" w:hAnsi="Times New Roman" w:eastAsia="宋体" w:cs="Times New Roman"/>
                      <w:color w:val="auto"/>
                      <w:spacing w:val="7"/>
                      <w:sz w:val="21"/>
                      <w:szCs w:val="21"/>
                      <w:highlight w:val="none"/>
                    </w:rPr>
                    <w:t>，不</w:t>
                  </w:r>
                  <w:r>
                    <w:rPr>
                      <w:rFonts w:hint="default" w:ascii="Times New Roman" w:hAnsi="Times New Roman" w:eastAsia="宋体" w:cs="Times New Roman"/>
                      <w:color w:val="auto"/>
                      <w:spacing w:val="8"/>
                      <w:sz w:val="21"/>
                      <w:szCs w:val="21"/>
                      <w:highlight w:val="none"/>
                    </w:rPr>
                    <w:t>属于禁止类项目和限制类项目，满足生态环境</w:t>
                  </w:r>
                  <w:r>
                    <w:rPr>
                      <w:rFonts w:hint="default" w:ascii="Times New Roman" w:hAnsi="Times New Roman" w:eastAsia="宋体" w:cs="Times New Roman"/>
                      <w:color w:val="auto"/>
                      <w:spacing w:val="6"/>
                      <w:sz w:val="21"/>
                      <w:szCs w:val="21"/>
                      <w:highlight w:val="none"/>
                    </w:rPr>
                    <w:t>准入清单要求。</w:t>
                  </w:r>
                </w:p>
              </w:tc>
              <w:tc>
                <w:tcPr>
                  <w:tcW w:w="434" w:type="pct"/>
                  <w:tcBorders>
                    <w:tl2br w:val="nil"/>
                    <w:tr2bl w:val="nil"/>
                  </w:tcBorders>
                  <w:vAlign w:val="center"/>
                </w:tcPr>
                <w:p w14:paraId="0491BD2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bl>
          <w:p w14:paraId="1D1FEE01">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2"/>
                <w:highlight w:val="none"/>
                <w:lang w:val="en-US" w:eastAsia="zh-CN" w:bidi="ar-SA"/>
              </w:rPr>
            </w:pPr>
            <w:r>
              <w:rPr>
                <w:rFonts w:hint="default" w:ascii="Times New Roman" w:hAnsi="Times New Roman" w:eastAsia="宋体" w:cs="Times New Roman"/>
                <w:color w:val="auto"/>
                <w:kern w:val="0"/>
                <w:sz w:val="24"/>
                <w:szCs w:val="22"/>
                <w:highlight w:val="none"/>
                <w:lang w:val="en-US" w:eastAsia="zh-CN" w:bidi="ar-SA"/>
              </w:rPr>
              <mc:AlternateContent>
                <mc:Choice Requires="wps">
                  <w:drawing>
                    <wp:anchor distT="0" distB="0" distL="114300" distR="114300" simplePos="0" relativeHeight="251669504" behindDoc="0" locked="0" layoutInCell="0" allowOverlap="1">
                      <wp:simplePos x="0" y="0"/>
                      <wp:positionH relativeFrom="page">
                        <wp:posOffset>1209675</wp:posOffset>
                      </wp:positionH>
                      <wp:positionV relativeFrom="page">
                        <wp:posOffset>9700895</wp:posOffset>
                      </wp:positionV>
                      <wp:extent cx="5542280" cy="18415"/>
                      <wp:effectExtent l="0" t="0" r="0" b="0"/>
                      <wp:wrapNone/>
                      <wp:docPr id="3" name="任意多边形 3"/>
                      <wp:cNvGraphicFramePr/>
                      <a:graphic xmlns:a="http://schemas.openxmlformats.org/drawingml/2006/main">
                        <a:graphicData uri="http://schemas.microsoft.com/office/word/2010/wordprocessingShape">
                          <wps:wsp>
                            <wps:cNvSpPr/>
                            <wps:spPr>
                              <a:xfrm>
                                <a:off x="0" y="0"/>
                                <a:ext cx="5542280" cy="18415"/>
                              </a:xfrm>
                              <a:custGeom>
                                <a:avLst/>
                                <a:gdLst/>
                                <a:ahLst/>
                                <a:cxnLst/>
                                <a:pathLst>
                                  <a:path w="8727" h="29">
                                    <a:moveTo>
                                      <a:pt x="0" y="14"/>
                                    </a:moveTo>
                                    <a:lnTo>
                                      <a:pt x="8727" y="14"/>
                                    </a:lnTo>
                                  </a:path>
                                </a:pathLst>
                              </a:custGeom>
                              <a:noFill/>
                              <a:ln w="18288"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95.25pt;margin-top:763.85pt;height:1.45pt;width:436.4pt;mso-position-horizontal-relative:page;mso-position-vertical-relative:page;z-index:251669504;mso-width-relative:page;mso-height-relative:page;" filled="f" stroked="t" coordsize="8727,29" o:allowincell="f" o:gfxdata="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yX9DNoAAAAOAQAADwAAAAAAAAABACAAAAAiAAAA&#10;ZHJzL2Rvd25yZXYueG1sUEsBAhQAFAAAAAgAh07iQBOKe2s+AgAAmgQAAA4AAAAAAAAAAQAgAAAA&#10;KQEAAGRycy9lMm9Eb2MueG1sUEsFBgAAAAAGAAYAWQEAANkFAAAAAA==&#10;" path="m0,14l8727,14e">
                      <v:fill on="f" focussize="0,0"/>
                      <v:stroke weight="1.44pt" color="#000000" joinstyle="bevel"/>
                      <v:imagedata o:title=""/>
                      <o:lock v:ext="edit" aspectratio="f"/>
                    </v:shape>
                  </w:pict>
                </mc:Fallback>
              </mc:AlternateContent>
            </w:r>
            <w:r>
              <w:rPr>
                <w:rFonts w:hint="default" w:ascii="Times New Roman" w:hAnsi="Times New Roman" w:eastAsia="宋体" w:cs="Times New Roman"/>
                <w:color w:val="auto"/>
                <w:kern w:val="0"/>
                <w:sz w:val="24"/>
                <w:szCs w:val="22"/>
                <w:highlight w:val="none"/>
                <w:lang w:val="en-US" w:eastAsia="zh-CN" w:bidi="ar-SA"/>
              </w:rPr>
              <w:t>（二）</w:t>
            </w:r>
            <w:r>
              <w:rPr>
                <w:rFonts w:hint="eastAsia" w:ascii="Times New Roman" w:hAnsi="Times New Roman" w:eastAsia="宋体" w:cs="Times New Roman"/>
                <w:color w:val="auto"/>
                <w:kern w:val="0"/>
                <w:sz w:val="24"/>
                <w:szCs w:val="22"/>
                <w:highlight w:val="none"/>
                <w:lang w:val="en-US" w:eastAsia="zh-CN" w:bidi="ar-SA"/>
              </w:rPr>
              <w:t>与生态环境准入清单分区管控要求相符性分析</w:t>
            </w:r>
            <w:r>
              <w:rPr>
                <w:rFonts w:hint="default" w:ascii="Times New Roman" w:hAnsi="Times New Roman" w:eastAsia="宋体" w:cs="Times New Roman"/>
                <w:color w:val="auto"/>
                <w:kern w:val="0"/>
                <w:sz w:val="24"/>
                <w:szCs w:val="22"/>
                <w:highlight w:val="none"/>
                <w:lang w:val="en-US" w:eastAsia="zh-CN" w:bidi="ar-SA"/>
              </w:rPr>
              <w:t>：</w:t>
            </w:r>
          </w:p>
          <w:p w14:paraId="1EFD51FC">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2"/>
                <w:highlight w:val="none"/>
              </w:rPr>
            </w:pPr>
            <w:r>
              <w:rPr>
                <w:rFonts w:hint="default" w:ascii="Times New Roman" w:hAnsi="Times New Roman" w:cs="Times New Roman"/>
                <w:color w:val="auto"/>
                <w:kern w:val="0"/>
                <w:sz w:val="24"/>
                <w:szCs w:val="22"/>
                <w:highlight w:val="none"/>
              </w:rPr>
              <w:t>（1）生态保护红线</w:t>
            </w:r>
            <w:r>
              <w:rPr>
                <w:rFonts w:hint="eastAsia"/>
                <w:color w:val="auto"/>
                <w:sz w:val="24"/>
                <w:szCs w:val="22"/>
                <w:highlight w:val="none"/>
              </w:rPr>
              <w:t>及生态分区管控</w:t>
            </w:r>
          </w:p>
          <w:p w14:paraId="357F47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本项目选址位于五河县城南工业园区工业五路中</w:t>
            </w:r>
            <w:r>
              <w:rPr>
                <w:rFonts w:hint="eastAsia" w:cs="Times New Roman"/>
                <w:b w:val="0"/>
                <w:bCs w:val="0"/>
                <w:color w:val="auto"/>
                <w:kern w:val="2"/>
                <w:sz w:val="24"/>
                <w:szCs w:val="24"/>
                <w:highlight w:val="none"/>
                <w:lang w:val="en-US" w:eastAsia="zh-CN" w:bidi="ar-SA"/>
              </w:rPr>
              <w:t>段</w:t>
            </w:r>
            <w:r>
              <w:rPr>
                <w:rFonts w:hint="default" w:ascii="Times New Roman" w:hAnsi="Times New Roman" w:eastAsia="宋体" w:cs="Times New Roman"/>
                <w:b w:val="0"/>
                <w:bCs w:val="0"/>
                <w:color w:val="auto"/>
                <w:kern w:val="2"/>
                <w:sz w:val="24"/>
                <w:szCs w:val="24"/>
                <w:highlight w:val="none"/>
                <w:lang w:val="en-US" w:eastAsia="zh-CN" w:bidi="ar-SA"/>
              </w:rPr>
              <w:t>南侧，项目用地性质为工业用地</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eastAsia" w:cs="Times New Roman"/>
                <w:b w:val="0"/>
                <w:bCs w:val="0"/>
                <w:color w:val="auto"/>
                <w:kern w:val="2"/>
                <w:sz w:val="24"/>
                <w:szCs w:val="24"/>
                <w:highlight w:val="none"/>
                <w:lang w:val="en-US" w:eastAsia="zh-CN" w:bidi="ar-SA"/>
              </w:rPr>
              <w:t>对</w:t>
            </w:r>
            <w:r>
              <w:rPr>
                <w:rFonts w:hint="eastAsia" w:ascii="Times New Roman" w:hAnsi="Times New Roman" w:eastAsia="宋体" w:cs="Times New Roman"/>
                <w:b w:val="0"/>
                <w:bCs w:val="0"/>
                <w:color w:val="auto"/>
                <w:kern w:val="2"/>
                <w:sz w:val="24"/>
                <w:szCs w:val="24"/>
                <w:highlight w:val="none"/>
                <w:lang w:val="en-US" w:eastAsia="zh-CN" w:bidi="ar-SA"/>
              </w:rPr>
              <w:t>照蚌埠市生态空间图</w:t>
            </w:r>
            <w:r>
              <w:rPr>
                <w:rFonts w:hint="eastAsia" w:cs="Times New Roman"/>
                <w:b w:val="0"/>
                <w:bCs w:val="0"/>
                <w:color w:val="auto"/>
                <w:kern w:val="2"/>
                <w:sz w:val="24"/>
                <w:szCs w:val="24"/>
                <w:highlight w:val="none"/>
                <w:lang w:val="en-US" w:eastAsia="zh-CN" w:bidi="ar-SA"/>
              </w:rPr>
              <w:t>和</w:t>
            </w:r>
            <w:r>
              <w:rPr>
                <w:rFonts w:hint="eastAsia" w:ascii="Times New Roman" w:hAnsi="Times New Roman" w:eastAsia="宋体" w:cs="Times New Roman"/>
                <w:b w:val="0"/>
                <w:bCs w:val="0"/>
                <w:color w:val="auto"/>
                <w:kern w:val="2"/>
                <w:sz w:val="24"/>
                <w:szCs w:val="24"/>
                <w:highlight w:val="none"/>
                <w:lang w:val="en-US" w:eastAsia="zh-CN" w:bidi="ar-SA"/>
              </w:rPr>
              <w:t>生态保护红线图，不在蚌埠市生态保护红线范围内。</w:t>
            </w:r>
          </w:p>
          <w:p w14:paraId="3026C7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2"/>
                <w:highlight w:val="none"/>
              </w:rPr>
            </w:pPr>
            <w:r>
              <w:rPr>
                <w:rFonts w:hint="default" w:ascii="Times New Roman" w:hAnsi="Times New Roman" w:eastAsia="宋体" w:cs="Times New Roman"/>
                <w:b w:val="0"/>
                <w:bCs w:val="0"/>
                <w:color w:val="auto"/>
                <w:sz w:val="24"/>
                <w:szCs w:val="24"/>
                <w:highlight w:val="none"/>
                <w:lang w:val="en-US" w:eastAsia="zh-CN"/>
              </w:rPr>
              <w:t>（2）</w:t>
            </w:r>
            <w:r>
              <w:rPr>
                <w:rFonts w:hint="eastAsia"/>
                <w:color w:val="auto"/>
                <w:sz w:val="24"/>
                <w:szCs w:val="22"/>
                <w:highlight w:val="none"/>
              </w:rPr>
              <w:t>环境质量底线及环境分区管控</w:t>
            </w:r>
          </w:p>
          <w:p w14:paraId="737D52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olor w:val="auto"/>
                <w:sz w:val="24"/>
                <w:szCs w:val="22"/>
                <w:highlight w:val="none"/>
              </w:rPr>
              <w:t>本项目所在地属于水环境分区</w:t>
            </w:r>
            <w:r>
              <w:rPr>
                <w:color w:val="auto"/>
                <w:sz w:val="24"/>
                <w:szCs w:val="22"/>
                <w:highlight w:val="none"/>
              </w:rPr>
              <w:t>管控</w:t>
            </w:r>
            <w:r>
              <w:rPr>
                <w:rFonts w:hint="eastAsia"/>
                <w:color w:val="auto"/>
                <w:sz w:val="24"/>
                <w:szCs w:val="22"/>
                <w:highlight w:val="none"/>
              </w:rPr>
              <w:t>中的</w:t>
            </w:r>
            <w:r>
              <w:rPr>
                <w:rFonts w:hint="eastAsia"/>
                <w:color w:val="auto"/>
                <w:sz w:val="24"/>
                <w:szCs w:val="22"/>
                <w:highlight w:val="none"/>
                <w:lang w:val="en-US" w:eastAsia="zh-CN"/>
              </w:rPr>
              <w:t>工业</w:t>
            </w:r>
            <w:r>
              <w:rPr>
                <w:rFonts w:hint="eastAsia"/>
                <w:color w:val="auto"/>
                <w:sz w:val="24"/>
                <w:szCs w:val="22"/>
                <w:highlight w:val="none"/>
              </w:rPr>
              <w:t>污染重点管控区、大气环境</w:t>
            </w:r>
            <w:r>
              <w:rPr>
                <w:color w:val="auto"/>
                <w:sz w:val="24"/>
                <w:szCs w:val="22"/>
                <w:highlight w:val="none"/>
              </w:rPr>
              <w:t>分区管控</w:t>
            </w:r>
            <w:r>
              <w:rPr>
                <w:rFonts w:hint="eastAsia"/>
                <w:color w:val="auto"/>
                <w:sz w:val="24"/>
                <w:szCs w:val="22"/>
                <w:highlight w:val="none"/>
              </w:rPr>
              <w:t>中的</w:t>
            </w:r>
            <w:r>
              <w:rPr>
                <w:rFonts w:hint="eastAsia"/>
                <w:color w:val="auto"/>
                <w:sz w:val="24"/>
                <w:szCs w:val="22"/>
                <w:highlight w:val="none"/>
                <w:lang w:eastAsia="zh-CN"/>
              </w:rPr>
              <w:t>受体敏感</w:t>
            </w:r>
            <w:r>
              <w:rPr>
                <w:color w:val="auto"/>
                <w:sz w:val="24"/>
                <w:szCs w:val="22"/>
                <w:highlight w:val="none"/>
              </w:rPr>
              <w:t>重点管控区</w:t>
            </w:r>
            <w:r>
              <w:rPr>
                <w:rFonts w:hint="eastAsia"/>
                <w:color w:val="auto"/>
                <w:sz w:val="24"/>
                <w:szCs w:val="22"/>
                <w:highlight w:val="none"/>
              </w:rPr>
              <w:t>、土壤</w:t>
            </w:r>
            <w:r>
              <w:rPr>
                <w:rFonts w:hint="eastAsia"/>
                <w:color w:val="auto"/>
                <w:sz w:val="24"/>
                <w:szCs w:val="22"/>
                <w:highlight w:val="none"/>
                <w:lang w:eastAsia="zh-CN"/>
              </w:rPr>
              <w:t>环境</w:t>
            </w:r>
            <w:r>
              <w:rPr>
                <w:rFonts w:hint="eastAsia"/>
                <w:color w:val="auto"/>
                <w:sz w:val="24"/>
                <w:szCs w:val="22"/>
                <w:highlight w:val="none"/>
              </w:rPr>
              <w:t>风险分区</w:t>
            </w:r>
            <w:r>
              <w:rPr>
                <w:rFonts w:hint="eastAsia"/>
                <w:color w:val="auto"/>
                <w:sz w:val="24"/>
                <w:szCs w:val="22"/>
                <w:highlight w:val="none"/>
                <w:lang w:eastAsia="zh-CN"/>
              </w:rPr>
              <w:t>管控</w:t>
            </w:r>
            <w:r>
              <w:rPr>
                <w:rFonts w:hint="eastAsia"/>
                <w:color w:val="auto"/>
                <w:sz w:val="24"/>
                <w:szCs w:val="22"/>
                <w:highlight w:val="none"/>
              </w:rPr>
              <w:t>中</w:t>
            </w:r>
            <w:r>
              <w:rPr>
                <w:rFonts w:hint="eastAsia"/>
                <w:color w:val="auto"/>
                <w:sz w:val="24"/>
                <w:szCs w:val="22"/>
                <w:highlight w:val="none"/>
                <w:lang w:eastAsia="zh-CN"/>
              </w:rPr>
              <w:t>的一般管控单元</w:t>
            </w:r>
            <w:r>
              <w:rPr>
                <w:rFonts w:hint="eastAsia"/>
                <w:color w:val="auto"/>
                <w:sz w:val="24"/>
                <w:szCs w:val="22"/>
                <w:highlight w:val="none"/>
              </w:rPr>
              <w:t>。</w:t>
            </w:r>
          </w:p>
          <w:p w14:paraId="38A5B19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b/>
                <w:color w:val="auto"/>
                <w:sz w:val="24"/>
                <w:szCs w:val="22"/>
                <w:highlight w:val="none"/>
              </w:rPr>
            </w:pPr>
            <w:r>
              <w:rPr>
                <w:b/>
                <w:color w:val="auto"/>
                <w:sz w:val="21"/>
                <w:szCs w:val="21"/>
                <w:highlight w:val="none"/>
              </w:rPr>
              <w:t>表</w:t>
            </w:r>
            <w:r>
              <w:rPr>
                <w:rFonts w:hint="eastAsia"/>
                <w:b/>
                <w:color w:val="auto"/>
                <w:sz w:val="21"/>
                <w:szCs w:val="21"/>
                <w:highlight w:val="none"/>
                <w:lang w:val="en-US" w:eastAsia="zh-CN"/>
              </w:rPr>
              <w:t>1-6</w:t>
            </w:r>
            <w:r>
              <w:rPr>
                <w:rFonts w:hint="eastAsia"/>
                <w:b/>
                <w:color w:val="auto"/>
                <w:sz w:val="21"/>
                <w:szCs w:val="21"/>
                <w:highlight w:val="none"/>
              </w:rPr>
              <w:t xml:space="preserve">  本项目与环境分区管控要求的协调性分析</w:t>
            </w:r>
          </w:p>
          <w:tbl>
            <w:tblPr>
              <w:tblStyle w:val="3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7"/>
              <w:gridCol w:w="850"/>
              <w:gridCol w:w="3446"/>
              <w:gridCol w:w="2260"/>
            </w:tblGrid>
            <w:tr w14:paraId="6F127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332" w:type="pct"/>
                  <w:noWrap w:val="0"/>
                  <w:vAlign w:val="center"/>
                </w:tcPr>
                <w:p w14:paraId="55213235">
                  <w:pPr>
                    <w:keepNext w:val="0"/>
                    <w:keepLines w:val="0"/>
                    <w:suppressLineNumbers w:val="0"/>
                    <w:spacing w:before="0" w:beforeAutospacing="0" w:after="0" w:afterAutospacing="0"/>
                    <w:ind w:left="0" w:right="0"/>
                    <w:jc w:val="center"/>
                    <w:rPr>
                      <w:b/>
                      <w:bCs/>
                      <w:color w:val="auto"/>
                      <w:szCs w:val="21"/>
                      <w:highlight w:val="none"/>
                    </w:rPr>
                  </w:pPr>
                  <w:r>
                    <w:rPr>
                      <w:rFonts w:hAnsi="宋体"/>
                      <w:b/>
                      <w:bCs/>
                      <w:color w:val="auto"/>
                      <w:szCs w:val="21"/>
                      <w:highlight w:val="none"/>
                    </w:rPr>
                    <w:t>属性</w:t>
                  </w:r>
                </w:p>
              </w:tc>
              <w:tc>
                <w:tcPr>
                  <w:tcW w:w="605" w:type="pct"/>
                  <w:noWrap w:val="0"/>
                  <w:vAlign w:val="center"/>
                </w:tcPr>
                <w:p w14:paraId="7AD122D1">
                  <w:pPr>
                    <w:keepNext w:val="0"/>
                    <w:keepLines w:val="0"/>
                    <w:suppressLineNumbers w:val="0"/>
                    <w:spacing w:before="0" w:beforeAutospacing="0" w:after="0" w:afterAutospacing="0"/>
                    <w:ind w:left="0" w:right="0"/>
                    <w:jc w:val="center"/>
                    <w:rPr>
                      <w:b/>
                      <w:bCs/>
                      <w:color w:val="auto"/>
                      <w:szCs w:val="21"/>
                      <w:highlight w:val="none"/>
                    </w:rPr>
                  </w:pPr>
                  <w:r>
                    <w:rPr>
                      <w:rFonts w:hAnsi="宋体"/>
                      <w:b/>
                      <w:bCs/>
                      <w:color w:val="auto"/>
                      <w:szCs w:val="21"/>
                      <w:highlight w:val="none"/>
                    </w:rPr>
                    <w:t>管控类型</w:t>
                  </w:r>
                </w:p>
              </w:tc>
              <w:tc>
                <w:tcPr>
                  <w:tcW w:w="2453" w:type="pct"/>
                  <w:noWrap w:val="0"/>
                  <w:vAlign w:val="center"/>
                </w:tcPr>
                <w:p w14:paraId="7382E878">
                  <w:pPr>
                    <w:keepNext w:val="0"/>
                    <w:keepLines w:val="0"/>
                    <w:suppressLineNumbers w:val="0"/>
                    <w:spacing w:before="0" w:beforeAutospacing="0" w:after="0" w:afterAutospacing="0"/>
                    <w:ind w:left="0" w:right="0"/>
                    <w:jc w:val="center"/>
                    <w:rPr>
                      <w:b/>
                      <w:bCs/>
                      <w:color w:val="auto"/>
                      <w:szCs w:val="21"/>
                      <w:highlight w:val="none"/>
                    </w:rPr>
                  </w:pPr>
                  <w:r>
                    <w:rPr>
                      <w:rFonts w:hAnsi="宋体"/>
                      <w:b/>
                      <w:bCs/>
                      <w:color w:val="auto"/>
                      <w:szCs w:val="21"/>
                      <w:highlight w:val="none"/>
                    </w:rPr>
                    <w:t>管控要求</w:t>
                  </w:r>
                </w:p>
              </w:tc>
              <w:tc>
                <w:tcPr>
                  <w:tcW w:w="1609" w:type="pct"/>
                  <w:noWrap w:val="0"/>
                  <w:vAlign w:val="center"/>
                </w:tcPr>
                <w:p w14:paraId="1D7C3A67">
                  <w:pPr>
                    <w:keepNext w:val="0"/>
                    <w:keepLines w:val="0"/>
                    <w:suppressLineNumbers w:val="0"/>
                    <w:spacing w:before="0" w:beforeAutospacing="0" w:after="0" w:afterAutospacing="0"/>
                    <w:ind w:left="0" w:right="0"/>
                    <w:jc w:val="center"/>
                    <w:rPr>
                      <w:b/>
                      <w:bCs/>
                      <w:color w:val="auto"/>
                      <w:szCs w:val="21"/>
                      <w:highlight w:val="none"/>
                    </w:rPr>
                  </w:pPr>
                  <w:r>
                    <w:rPr>
                      <w:rFonts w:hAnsi="宋体"/>
                      <w:b/>
                      <w:bCs/>
                      <w:color w:val="auto"/>
                      <w:szCs w:val="21"/>
                      <w:highlight w:val="none"/>
                    </w:rPr>
                    <w:t>协调性分析</w:t>
                  </w:r>
                </w:p>
              </w:tc>
            </w:tr>
            <w:tr w14:paraId="306A8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332" w:type="pct"/>
                  <w:noWrap w:val="0"/>
                  <w:vAlign w:val="center"/>
                </w:tcPr>
                <w:p w14:paraId="38435042">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水环境管控</w:t>
                  </w:r>
                </w:p>
              </w:tc>
              <w:tc>
                <w:tcPr>
                  <w:tcW w:w="605" w:type="pct"/>
                  <w:noWrap w:val="0"/>
                  <w:vAlign w:val="center"/>
                </w:tcPr>
                <w:p w14:paraId="0C5FC53C">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重点管控区（</w:t>
                  </w:r>
                  <w:r>
                    <w:rPr>
                      <w:rFonts w:hint="eastAsia" w:hAnsi="宋体"/>
                      <w:color w:val="auto"/>
                      <w:szCs w:val="21"/>
                      <w:highlight w:val="none"/>
                      <w:lang w:val="en-US" w:eastAsia="zh-CN"/>
                    </w:rPr>
                    <w:t>工业</w:t>
                  </w:r>
                  <w:r>
                    <w:rPr>
                      <w:rFonts w:hAnsi="宋体"/>
                      <w:color w:val="auto"/>
                      <w:szCs w:val="21"/>
                      <w:highlight w:val="none"/>
                    </w:rPr>
                    <w:t>污染重点管控区）</w:t>
                  </w:r>
                </w:p>
              </w:tc>
              <w:tc>
                <w:tcPr>
                  <w:tcW w:w="2453" w:type="pct"/>
                  <w:noWrap w:val="0"/>
                  <w:vAlign w:val="center"/>
                </w:tcPr>
                <w:p w14:paraId="3AC717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center"/>
                    <w:textAlignment w:val="auto"/>
                    <w:rPr>
                      <w:color w:val="auto"/>
                      <w:szCs w:val="21"/>
                      <w:highlight w:val="none"/>
                    </w:rPr>
                  </w:pPr>
                  <w:r>
                    <w:rPr>
                      <w:rFonts w:eastAsia="宋体" w:cs="Times New Roman"/>
                      <w:color w:val="auto"/>
                      <w:kern w:val="2"/>
                      <w:sz w:val="21"/>
                      <w:szCs w:val="24"/>
                      <w:highlight w:val="none"/>
                    </w:rPr>
                    <w:t>依据《中华人民共和国水污染防治法》《水污染防治行动计划》《安徽省水污染防治工作方案》及各市水污染防治工作方案对重点管控区实施管控；依据《安徽省淮河流域水污染防治条例》对淮河流域实施管控；依据开发区规划、规划环评及审查意见相关要求对开发区实施管控；落实《</w:t>
                  </w:r>
                  <w:r>
                    <w:rPr>
                      <w:rFonts w:hint="eastAsia" w:eastAsia="宋体" w:cs="Times New Roman"/>
                      <w:color w:val="auto"/>
                      <w:kern w:val="2"/>
                      <w:sz w:val="21"/>
                      <w:szCs w:val="24"/>
                      <w:highlight w:val="none"/>
                      <w:lang w:eastAsia="zh-CN"/>
                    </w:rPr>
                    <w:t>“</w:t>
                  </w:r>
                  <w:r>
                    <w:rPr>
                      <w:rFonts w:eastAsia="宋体" w:cs="Times New Roman"/>
                      <w:color w:val="auto"/>
                      <w:kern w:val="2"/>
                      <w:sz w:val="21"/>
                      <w:szCs w:val="24"/>
                      <w:highlight w:val="none"/>
                    </w:rPr>
                    <w:t>十</w:t>
                  </w:r>
                  <w:r>
                    <w:rPr>
                      <w:rFonts w:hint="eastAsia" w:eastAsia="宋体" w:cs="Times New Roman"/>
                      <w:color w:val="auto"/>
                      <w:kern w:val="2"/>
                      <w:sz w:val="21"/>
                      <w:szCs w:val="24"/>
                      <w:highlight w:val="none"/>
                      <w:lang w:val="en-US" w:eastAsia="zh-CN"/>
                    </w:rPr>
                    <w:t>四</w:t>
                  </w:r>
                  <w:r>
                    <w:rPr>
                      <w:rFonts w:eastAsia="宋体" w:cs="Times New Roman"/>
                      <w:color w:val="auto"/>
                      <w:kern w:val="2"/>
                      <w:sz w:val="21"/>
                      <w:szCs w:val="24"/>
                      <w:highlight w:val="none"/>
                    </w:rPr>
                    <w:t>五</w:t>
                  </w:r>
                  <w:r>
                    <w:rPr>
                      <w:rFonts w:hint="eastAsia" w:eastAsia="宋体" w:cs="Times New Roman"/>
                      <w:color w:val="auto"/>
                      <w:kern w:val="2"/>
                      <w:sz w:val="21"/>
                      <w:szCs w:val="24"/>
                      <w:highlight w:val="none"/>
                      <w:lang w:eastAsia="zh-CN"/>
                    </w:rPr>
                    <w:t>”</w:t>
                  </w:r>
                  <w:r>
                    <w:rPr>
                      <w:rFonts w:eastAsia="宋体" w:cs="Times New Roman"/>
                      <w:color w:val="auto"/>
                      <w:kern w:val="2"/>
                      <w:sz w:val="21"/>
                      <w:szCs w:val="24"/>
                      <w:highlight w:val="none"/>
                    </w:rPr>
                    <w:t>生态环境保护规划》《安徽省</w:t>
                  </w:r>
                  <w:r>
                    <w:rPr>
                      <w:rFonts w:hint="eastAsia" w:eastAsia="宋体" w:cs="Times New Roman"/>
                      <w:color w:val="auto"/>
                      <w:kern w:val="2"/>
                      <w:sz w:val="21"/>
                      <w:szCs w:val="24"/>
                      <w:highlight w:val="none"/>
                      <w:lang w:eastAsia="zh-CN"/>
                    </w:rPr>
                    <w:t>“</w:t>
                  </w:r>
                  <w:r>
                    <w:rPr>
                      <w:rFonts w:eastAsia="宋体" w:cs="Times New Roman"/>
                      <w:color w:val="auto"/>
                      <w:kern w:val="2"/>
                      <w:sz w:val="21"/>
                      <w:szCs w:val="24"/>
                      <w:highlight w:val="none"/>
                    </w:rPr>
                    <w:t>十</w:t>
                  </w:r>
                  <w:r>
                    <w:rPr>
                      <w:rFonts w:hint="eastAsia" w:eastAsia="宋体" w:cs="Times New Roman"/>
                      <w:color w:val="auto"/>
                      <w:kern w:val="2"/>
                      <w:sz w:val="21"/>
                      <w:szCs w:val="24"/>
                      <w:highlight w:val="none"/>
                      <w:lang w:val="en-US" w:eastAsia="zh-CN"/>
                    </w:rPr>
                    <w:t>四</w:t>
                  </w:r>
                  <w:r>
                    <w:rPr>
                      <w:rFonts w:eastAsia="宋体" w:cs="Times New Roman"/>
                      <w:color w:val="auto"/>
                      <w:kern w:val="2"/>
                      <w:sz w:val="21"/>
                      <w:szCs w:val="24"/>
                      <w:highlight w:val="none"/>
                    </w:rPr>
                    <w:t>五</w:t>
                  </w:r>
                  <w:r>
                    <w:rPr>
                      <w:rFonts w:hint="eastAsia" w:eastAsia="宋体" w:cs="Times New Roman"/>
                      <w:color w:val="auto"/>
                      <w:kern w:val="2"/>
                      <w:sz w:val="21"/>
                      <w:szCs w:val="24"/>
                      <w:highlight w:val="none"/>
                      <w:lang w:eastAsia="zh-CN"/>
                    </w:rPr>
                    <w:t>”</w:t>
                  </w:r>
                  <w:r>
                    <w:rPr>
                      <w:rFonts w:eastAsia="宋体" w:cs="Times New Roman"/>
                      <w:color w:val="auto"/>
                      <w:kern w:val="2"/>
                      <w:sz w:val="21"/>
                      <w:szCs w:val="24"/>
                      <w:highlight w:val="none"/>
                    </w:rPr>
                    <w:t>环境保护规划》《安徽省“十</w:t>
                  </w:r>
                  <w:r>
                    <w:rPr>
                      <w:rFonts w:hint="eastAsia" w:eastAsia="宋体" w:cs="Times New Roman"/>
                      <w:color w:val="auto"/>
                      <w:kern w:val="2"/>
                      <w:sz w:val="21"/>
                      <w:szCs w:val="24"/>
                      <w:highlight w:val="none"/>
                      <w:lang w:val="en-US" w:eastAsia="zh-CN"/>
                    </w:rPr>
                    <w:t>四</w:t>
                  </w:r>
                  <w:r>
                    <w:rPr>
                      <w:rFonts w:eastAsia="宋体" w:cs="Times New Roman"/>
                      <w:color w:val="auto"/>
                      <w:kern w:val="2"/>
                      <w:sz w:val="21"/>
                      <w:szCs w:val="24"/>
                      <w:highlight w:val="none"/>
                    </w:rPr>
                    <w:t>五”节能减排实施方案》等要求，新建、改建和扩建项目水污染物实施</w:t>
                  </w:r>
                  <w:r>
                    <w:rPr>
                      <w:rFonts w:hint="eastAsia" w:eastAsia="宋体" w:cs="Times New Roman"/>
                      <w:color w:val="auto"/>
                      <w:kern w:val="2"/>
                      <w:sz w:val="21"/>
                      <w:szCs w:val="24"/>
                      <w:highlight w:val="none"/>
                      <w:lang w:eastAsia="zh-CN"/>
                    </w:rPr>
                    <w:t>“</w:t>
                  </w:r>
                  <w:r>
                    <w:rPr>
                      <w:rFonts w:eastAsia="宋体" w:cs="Times New Roman"/>
                      <w:color w:val="auto"/>
                      <w:kern w:val="2"/>
                      <w:sz w:val="21"/>
                      <w:szCs w:val="24"/>
                      <w:highlight w:val="none"/>
                    </w:rPr>
                    <w:t>等量替代</w:t>
                  </w:r>
                  <w:r>
                    <w:rPr>
                      <w:rFonts w:hint="eastAsia" w:eastAsia="宋体" w:cs="Times New Roman"/>
                      <w:color w:val="auto"/>
                      <w:kern w:val="2"/>
                      <w:sz w:val="21"/>
                      <w:szCs w:val="24"/>
                      <w:highlight w:val="none"/>
                      <w:lang w:eastAsia="zh-CN"/>
                    </w:rPr>
                    <w:t>”</w:t>
                  </w:r>
                  <w:r>
                    <w:rPr>
                      <w:rFonts w:eastAsia="宋体" w:cs="Times New Roman"/>
                      <w:color w:val="auto"/>
                      <w:kern w:val="2"/>
                      <w:sz w:val="21"/>
                      <w:szCs w:val="24"/>
                      <w:highlight w:val="none"/>
                    </w:rPr>
                    <w:t>。</w:t>
                  </w:r>
                </w:p>
              </w:tc>
              <w:tc>
                <w:tcPr>
                  <w:tcW w:w="1609" w:type="pct"/>
                  <w:noWrap w:val="0"/>
                  <w:vAlign w:val="center"/>
                </w:tcPr>
                <w:p w14:paraId="53709481">
                  <w:pPr>
                    <w:keepNext w:val="0"/>
                    <w:keepLines w:val="0"/>
                    <w:suppressLineNumbers w:val="0"/>
                    <w:spacing w:before="0" w:beforeAutospacing="0" w:after="0" w:afterAutospacing="0"/>
                    <w:ind w:left="0" w:right="0"/>
                    <w:jc w:val="center"/>
                    <w:rPr>
                      <w:color w:val="auto"/>
                      <w:szCs w:val="21"/>
                      <w:highlight w:val="none"/>
                    </w:rPr>
                  </w:pPr>
                  <w:r>
                    <w:rPr>
                      <w:rFonts w:hint="eastAsia" w:hAnsi="宋体"/>
                      <w:color w:val="auto"/>
                      <w:szCs w:val="21"/>
                      <w:highlight w:val="none"/>
                    </w:rPr>
                    <w:t>本</w:t>
                  </w:r>
                  <w:r>
                    <w:rPr>
                      <w:rFonts w:hAnsi="宋体"/>
                      <w:color w:val="auto"/>
                      <w:szCs w:val="21"/>
                      <w:highlight w:val="none"/>
                    </w:rPr>
                    <w:t>项目</w:t>
                  </w:r>
                  <w:r>
                    <w:rPr>
                      <w:rFonts w:hint="default" w:ascii="Times New Roman" w:hAnsi="Times New Roman" w:eastAsia="宋体" w:cs="Times New Roman"/>
                      <w:color w:val="auto"/>
                      <w:spacing w:val="7"/>
                      <w:sz w:val="21"/>
                      <w:szCs w:val="21"/>
                      <w:highlight w:val="none"/>
                    </w:rPr>
                    <w:t>项</w:t>
                  </w:r>
                  <w:r>
                    <w:rPr>
                      <w:rFonts w:hint="default" w:ascii="Times New Roman" w:hAnsi="Times New Roman" w:eastAsia="宋体" w:cs="Times New Roman"/>
                      <w:color w:val="auto"/>
                      <w:spacing w:val="4"/>
                      <w:sz w:val="21"/>
                      <w:szCs w:val="21"/>
                      <w:highlight w:val="none"/>
                    </w:rPr>
                    <w:t>目</w:t>
                  </w:r>
                  <w:r>
                    <w:rPr>
                      <w:rFonts w:hint="eastAsia" w:ascii="宋体" w:hAnsi="宋体" w:eastAsia="宋体" w:cs="宋体"/>
                      <w:color w:val="auto"/>
                      <w:kern w:val="0"/>
                      <w:sz w:val="21"/>
                      <w:szCs w:val="21"/>
                      <w:highlight w:val="none"/>
                      <w:lang w:val="en-US" w:eastAsia="zh-CN" w:bidi="ar"/>
                    </w:rPr>
                    <w:t>食堂废水</w:t>
                  </w:r>
                  <w:r>
                    <w:rPr>
                      <w:rFonts w:hint="eastAsia" w:ascii="宋体" w:hAnsi="宋体" w:cs="宋体"/>
                      <w:color w:val="auto"/>
                      <w:kern w:val="0"/>
                      <w:sz w:val="21"/>
                      <w:szCs w:val="21"/>
                      <w:highlight w:val="none"/>
                      <w:lang w:val="en-US" w:eastAsia="zh-CN" w:bidi="ar"/>
                    </w:rPr>
                    <w:t>经隔油池、</w:t>
                  </w:r>
                  <w:r>
                    <w:rPr>
                      <w:rFonts w:hint="eastAsia" w:ascii="宋体" w:hAnsi="宋体" w:eastAsia="宋体" w:cs="宋体"/>
                      <w:color w:val="auto"/>
                      <w:kern w:val="0"/>
                      <w:sz w:val="21"/>
                      <w:szCs w:val="21"/>
                      <w:highlight w:val="none"/>
                      <w:lang w:val="en-US" w:eastAsia="zh-CN" w:bidi="ar"/>
                    </w:rPr>
                    <w:t>生活污水经化粪池收集处理后</w:t>
                  </w:r>
                  <w:r>
                    <w:rPr>
                      <w:rFonts w:hint="eastAsia" w:ascii="宋体" w:hAnsi="宋体" w:cs="宋体"/>
                      <w:color w:val="auto"/>
                      <w:kern w:val="0"/>
                      <w:sz w:val="21"/>
                      <w:szCs w:val="21"/>
                      <w:highlight w:val="none"/>
                      <w:lang w:val="en-US" w:eastAsia="zh-CN" w:bidi="ar"/>
                    </w:rPr>
                    <w:t>，和地坪保洁废水、循环冷却废水一并经市政污水管网</w:t>
                  </w:r>
                  <w:r>
                    <w:rPr>
                      <w:rFonts w:hint="eastAsia" w:ascii="宋体" w:hAnsi="宋体" w:eastAsia="宋体" w:cs="宋体"/>
                      <w:color w:val="auto"/>
                      <w:kern w:val="0"/>
                      <w:sz w:val="21"/>
                      <w:szCs w:val="21"/>
                      <w:highlight w:val="none"/>
                      <w:lang w:val="en-US" w:eastAsia="zh-CN" w:bidi="ar"/>
                    </w:rPr>
                    <w:t>排入五河县城南污水处理厂</w:t>
                  </w:r>
                  <w:r>
                    <w:rPr>
                      <w:rFonts w:hint="eastAsia" w:ascii="宋体" w:hAnsi="宋体" w:cs="宋体"/>
                      <w:color w:val="auto"/>
                      <w:kern w:val="0"/>
                      <w:sz w:val="21"/>
                      <w:szCs w:val="21"/>
                      <w:highlight w:val="none"/>
                      <w:lang w:val="en-US" w:eastAsia="zh-CN" w:bidi="ar"/>
                    </w:rPr>
                    <w:t>处理</w:t>
                  </w:r>
                  <w:r>
                    <w:rPr>
                      <w:rFonts w:hAnsi="宋体"/>
                      <w:color w:val="auto"/>
                      <w:szCs w:val="21"/>
                      <w:highlight w:val="none"/>
                    </w:rPr>
                    <w:t>后排放</w:t>
                  </w:r>
                  <w:r>
                    <w:rPr>
                      <w:rFonts w:hint="eastAsia" w:hAnsi="宋体"/>
                      <w:color w:val="auto"/>
                      <w:szCs w:val="21"/>
                      <w:highlight w:val="none"/>
                      <w:lang w:eastAsia="zh-CN"/>
                    </w:rPr>
                    <w:t>，</w:t>
                  </w:r>
                  <w:r>
                    <w:rPr>
                      <w:rFonts w:hAnsi="宋体"/>
                      <w:color w:val="auto"/>
                      <w:szCs w:val="21"/>
                      <w:highlight w:val="none"/>
                    </w:rPr>
                    <w:t>符合管控要求。</w:t>
                  </w:r>
                </w:p>
              </w:tc>
            </w:tr>
            <w:tr w14:paraId="55207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332" w:type="pct"/>
                  <w:noWrap w:val="0"/>
                  <w:vAlign w:val="center"/>
                </w:tcPr>
                <w:p w14:paraId="0FC30D65">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大气环境管控</w:t>
                  </w:r>
                </w:p>
              </w:tc>
              <w:tc>
                <w:tcPr>
                  <w:tcW w:w="605" w:type="pct"/>
                  <w:noWrap w:val="0"/>
                  <w:vAlign w:val="center"/>
                </w:tcPr>
                <w:p w14:paraId="00C763D7">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重点管控区（</w:t>
                  </w:r>
                  <w:r>
                    <w:rPr>
                      <w:rFonts w:hint="eastAsia" w:hAnsi="宋体"/>
                      <w:color w:val="auto"/>
                      <w:szCs w:val="21"/>
                      <w:highlight w:val="none"/>
                      <w:lang w:eastAsia="zh-CN"/>
                    </w:rPr>
                    <w:t>受体敏感重点管控</w:t>
                  </w:r>
                  <w:r>
                    <w:rPr>
                      <w:rFonts w:hAnsi="宋体"/>
                      <w:color w:val="auto"/>
                      <w:szCs w:val="21"/>
                      <w:highlight w:val="none"/>
                    </w:rPr>
                    <w:t>区）</w:t>
                  </w:r>
                </w:p>
              </w:tc>
              <w:tc>
                <w:tcPr>
                  <w:tcW w:w="2453" w:type="pct"/>
                  <w:noWrap w:val="0"/>
                  <w:vAlign w:val="center"/>
                </w:tcPr>
                <w:p w14:paraId="3EFA50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color w:val="auto"/>
                      <w:szCs w:val="21"/>
                      <w:highlight w:val="none"/>
                    </w:rPr>
                  </w:pPr>
                  <w:r>
                    <w:rPr>
                      <w:rFonts w:eastAsia="宋体" w:cs="Times New Roman"/>
                      <w:bCs/>
                      <w:color w:val="auto"/>
                      <w:kern w:val="2"/>
                      <w:sz w:val="21"/>
                      <w:szCs w:val="21"/>
                      <w:highlight w:val="none"/>
                    </w:rPr>
                    <w:t>落实</w:t>
                  </w:r>
                  <w:r>
                    <w:rPr>
                      <w:rFonts w:hint="eastAsia" w:eastAsia="宋体" w:cs="Times New Roman"/>
                      <w:bCs/>
                      <w:color w:val="auto"/>
                      <w:kern w:val="2"/>
                      <w:sz w:val="21"/>
                      <w:szCs w:val="21"/>
                      <w:highlight w:val="none"/>
                    </w:rPr>
                    <w:t>《“十</w:t>
                  </w:r>
                  <w:r>
                    <w:rPr>
                      <w:rFonts w:hint="eastAsia" w:eastAsia="宋体" w:cs="Times New Roman"/>
                      <w:bCs/>
                      <w:color w:val="auto"/>
                      <w:kern w:val="2"/>
                      <w:sz w:val="21"/>
                      <w:szCs w:val="21"/>
                      <w:highlight w:val="none"/>
                      <w:lang w:val="en-US" w:eastAsia="zh-CN"/>
                    </w:rPr>
                    <w:t>四</w:t>
                  </w:r>
                  <w:r>
                    <w:rPr>
                      <w:rFonts w:hint="eastAsia" w:eastAsia="宋体" w:cs="Times New Roman"/>
                      <w:bCs/>
                      <w:color w:val="auto"/>
                      <w:kern w:val="2"/>
                      <w:sz w:val="21"/>
                      <w:szCs w:val="21"/>
                      <w:highlight w:val="none"/>
                    </w:rPr>
                    <w:t>五”生态环境保护规划》《安徽省“十</w:t>
                  </w:r>
                  <w:r>
                    <w:rPr>
                      <w:rFonts w:hint="eastAsia" w:eastAsia="宋体" w:cs="Times New Roman"/>
                      <w:bCs/>
                      <w:color w:val="auto"/>
                      <w:kern w:val="2"/>
                      <w:sz w:val="21"/>
                      <w:szCs w:val="21"/>
                      <w:highlight w:val="none"/>
                      <w:lang w:val="en-US" w:eastAsia="zh-CN"/>
                    </w:rPr>
                    <w:t>四</w:t>
                  </w:r>
                  <w:r>
                    <w:rPr>
                      <w:rFonts w:hint="eastAsia" w:eastAsia="宋体" w:cs="Times New Roman"/>
                      <w:bCs/>
                      <w:color w:val="auto"/>
                      <w:kern w:val="2"/>
                      <w:sz w:val="21"/>
                      <w:szCs w:val="21"/>
                      <w:highlight w:val="none"/>
                    </w:rPr>
                    <w:t>五”环境保护规划》</w:t>
                  </w:r>
                  <w:r>
                    <w:rPr>
                      <w:rFonts w:hint="eastAsia" w:eastAsia="宋体" w:cs="Times New Roman"/>
                      <w:bCs/>
                      <w:color w:val="auto"/>
                      <w:kern w:val="2"/>
                      <w:sz w:val="21"/>
                      <w:szCs w:val="21"/>
                      <w:highlight w:val="none"/>
                      <w:lang w:eastAsia="zh-CN"/>
                    </w:rPr>
                    <w:t>《</w:t>
                  </w:r>
                  <w:r>
                    <w:rPr>
                      <w:rFonts w:hint="eastAsia" w:eastAsia="宋体" w:cs="Times New Roman"/>
                      <w:bCs/>
                      <w:color w:val="auto"/>
                      <w:kern w:val="2"/>
                      <w:sz w:val="21"/>
                      <w:szCs w:val="21"/>
                      <w:highlight w:val="none"/>
                      <w:lang w:val="en-US" w:eastAsia="zh-CN"/>
                    </w:rPr>
                    <w:t>蚌埠</w:t>
                  </w:r>
                  <w:r>
                    <w:rPr>
                      <w:rFonts w:hint="eastAsia" w:eastAsia="宋体" w:cs="Times New Roman"/>
                      <w:bCs/>
                      <w:color w:val="auto"/>
                      <w:kern w:val="2"/>
                      <w:sz w:val="21"/>
                      <w:szCs w:val="21"/>
                      <w:highlight w:val="none"/>
                    </w:rPr>
                    <w:t>市“十四五”生态环境保护规划</w:t>
                  </w:r>
                  <w:r>
                    <w:rPr>
                      <w:rFonts w:hint="eastAsia" w:eastAsia="宋体" w:cs="Times New Roman"/>
                      <w:bCs/>
                      <w:color w:val="auto"/>
                      <w:kern w:val="2"/>
                      <w:sz w:val="21"/>
                      <w:szCs w:val="21"/>
                      <w:highlight w:val="none"/>
                      <w:lang w:eastAsia="zh-CN"/>
                    </w:rPr>
                    <w:t>》、中共蚌埠市委蚌埠市人民政府关于印发《深入打好污染防治攻坚战实施方案》的通知</w:t>
                  </w:r>
                  <w:r>
                    <w:rPr>
                      <w:rFonts w:eastAsia="宋体" w:cs="Times New Roman"/>
                      <w:bCs/>
                      <w:color w:val="auto"/>
                      <w:kern w:val="2"/>
                      <w:sz w:val="21"/>
                      <w:szCs w:val="21"/>
                      <w:highlight w:val="none"/>
                    </w:rPr>
                    <w:t>等要求，严格落实目标，加强环境监管，促进生态环境质量好转。上年度PM</w:t>
                  </w:r>
                  <w:r>
                    <w:rPr>
                      <w:rFonts w:eastAsia="宋体" w:cs="Times New Roman"/>
                      <w:bCs/>
                      <w:color w:val="auto"/>
                      <w:kern w:val="2"/>
                      <w:sz w:val="21"/>
                      <w:szCs w:val="21"/>
                      <w:highlight w:val="none"/>
                      <w:vertAlign w:val="subscript"/>
                    </w:rPr>
                    <w:t>2.5</w:t>
                  </w:r>
                  <w:r>
                    <w:rPr>
                      <w:rFonts w:eastAsia="宋体" w:cs="Times New Roman"/>
                      <w:bCs/>
                      <w:color w:val="auto"/>
                      <w:kern w:val="2"/>
                      <w:sz w:val="21"/>
                      <w:szCs w:val="21"/>
                      <w:highlight w:val="none"/>
                    </w:rPr>
                    <w:t>不达标城市新建、改建和扩建项目大气污染物实施</w:t>
                  </w:r>
                  <w:r>
                    <w:rPr>
                      <w:rFonts w:hint="eastAsia" w:eastAsia="宋体" w:cs="Times New Roman"/>
                      <w:bCs/>
                      <w:color w:val="auto"/>
                      <w:kern w:val="2"/>
                      <w:sz w:val="21"/>
                      <w:szCs w:val="21"/>
                      <w:highlight w:val="none"/>
                      <w:lang w:eastAsia="zh-CN"/>
                    </w:rPr>
                    <w:t>“</w:t>
                  </w:r>
                  <w:r>
                    <w:rPr>
                      <w:rFonts w:eastAsia="宋体" w:cs="Times New Roman"/>
                      <w:bCs/>
                      <w:color w:val="auto"/>
                      <w:kern w:val="2"/>
                      <w:sz w:val="21"/>
                      <w:szCs w:val="21"/>
                      <w:highlight w:val="none"/>
                    </w:rPr>
                    <w:t>倍量替代</w:t>
                  </w:r>
                  <w:r>
                    <w:rPr>
                      <w:rFonts w:hint="eastAsia" w:eastAsia="宋体" w:cs="Times New Roman"/>
                      <w:bCs/>
                      <w:color w:val="auto"/>
                      <w:kern w:val="2"/>
                      <w:sz w:val="21"/>
                      <w:szCs w:val="21"/>
                      <w:highlight w:val="none"/>
                      <w:lang w:eastAsia="zh-CN"/>
                    </w:rPr>
                    <w:t>”</w:t>
                  </w:r>
                  <w:r>
                    <w:rPr>
                      <w:rFonts w:eastAsia="宋体" w:cs="Times New Roman"/>
                      <w:bCs/>
                      <w:color w:val="auto"/>
                      <w:kern w:val="2"/>
                      <w:sz w:val="21"/>
                      <w:szCs w:val="21"/>
                      <w:highlight w:val="none"/>
                    </w:rPr>
                    <w:t>，执行特别排放标准的行业实施提标升级改造。</w:t>
                  </w:r>
                </w:p>
              </w:tc>
              <w:tc>
                <w:tcPr>
                  <w:tcW w:w="1609" w:type="pct"/>
                  <w:noWrap w:val="0"/>
                  <w:vAlign w:val="center"/>
                </w:tcPr>
                <w:p w14:paraId="44F4874B">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项目产生的</w:t>
                  </w:r>
                  <w:r>
                    <w:rPr>
                      <w:rFonts w:hint="eastAsia" w:hAnsi="宋体"/>
                      <w:color w:val="auto"/>
                      <w:szCs w:val="21"/>
                      <w:highlight w:val="none"/>
                    </w:rPr>
                    <w:t>颗粒物</w:t>
                  </w:r>
                  <w:r>
                    <w:rPr>
                      <w:rFonts w:hint="eastAsia" w:hAnsi="宋体"/>
                      <w:color w:val="auto"/>
                      <w:szCs w:val="21"/>
                      <w:highlight w:val="none"/>
                      <w:lang w:val="en-US" w:eastAsia="zh-CN"/>
                    </w:rPr>
                    <w:t>和非甲烷总烃</w:t>
                  </w:r>
                  <w:r>
                    <w:rPr>
                      <w:rFonts w:hAnsi="宋体"/>
                      <w:color w:val="auto"/>
                      <w:szCs w:val="21"/>
                      <w:highlight w:val="none"/>
                    </w:rPr>
                    <w:t>采用</w:t>
                  </w:r>
                  <w:r>
                    <w:rPr>
                      <w:rFonts w:hint="eastAsia" w:hAnsi="宋体"/>
                      <w:color w:val="auto"/>
                      <w:szCs w:val="21"/>
                      <w:highlight w:val="none"/>
                      <w:lang w:val="en-US" w:eastAsia="zh-CN"/>
                    </w:rPr>
                    <w:t>可行性</w:t>
                  </w:r>
                  <w:r>
                    <w:rPr>
                      <w:rFonts w:hAnsi="宋体"/>
                      <w:color w:val="auto"/>
                      <w:szCs w:val="21"/>
                      <w:highlight w:val="none"/>
                    </w:rPr>
                    <w:t>废气收集和治理措施</w:t>
                  </w:r>
                  <w:r>
                    <w:rPr>
                      <w:rFonts w:hint="eastAsia" w:hAnsi="宋体"/>
                      <w:color w:val="auto"/>
                      <w:szCs w:val="21"/>
                      <w:highlight w:val="none"/>
                    </w:rPr>
                    <w:t>，</w:t>
                  </w:r>
                  <w:r>
                    <w:rPr>
                      <w:rFonts w:hAnsi="宋体"/>
                      <w:color w:val="auto"/>
                      <w:szCs w:val="21"/>
                      <w:highlight w:val="none"/>
                    </w:rPr>
                    <w:t>符合管控要求。由于蚌埠市202</w:t>
                  </w:r>
                  <w:r>
                    <w:rPr>
                      <w:rFonts w:hint="eastAsia" w:hAnsi="宋体"/>
                      <w:color w:val="auto"/>
                      <w:szCs w:val="21"/>
                      <w:highlight w:val="none"/>
                      <w:lang w:val="en-US" w:eastAsia="zh-CN"/>
                    </w:rPr>
                    <w:t>3</w:t>
                  </w:r>
                  <w:r>
                    <w:rPr>
                      <w:rFonts w:hAnsi="宋体"/>
                      <w:color w:val="auto"/>
                      <w:szCs w:val="21"/>
                      <w:highlight w:val="none"/>
                    </w:rPr>
                    <w:t>年度PM</w:t>
                  </w:r>
                  <w:r>
                    <w:rPr>
                      <w:rFonts w:hAnsi="宋体"/>
                      <w:color w:val="auto"/>
                      <w:szCs w:val="21"/>
                      <w:highlight w:val="none"/>
                      <w:vertAlign w:val="subscript"/>
                    </w:rPr>
                    <w:t>2.5</w:t>
                  </w:r>
                  <w:r>
                    <w:rPr>
                      <w:rFonts w:hAnsi="宋体"/>
                      <w:color w:val="auto"/>
                      <w:szCs w:val="21"/>
                      <w:highlight w:val="none"/>
                    </w:rPr>
                    <w:t>不达标，大气污染物实施“倍量替代”。</w:t>
                  </w:r>
                </w:p>
              </w:tc>
            </w:tr>
            <w:tr w14:paraId="26276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332" w:type="pct"/>
                  <w:noWrap w:val="0"/>
                  <w:vAlign w:val="center"/>
                </w:tcPr>
                <w:p w14:paraId="648DC6C8">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土壤环境风险防控</w:t>
                  </w:r>
                </w:p>
              </w:tc>
              <w:tc>
                <w:tcPr>
                  <w:tcW w:w="605" w:type="pct"/>
                  <w:noWrap w:val="0"/>
                  <w:vAlign w:val="center"/>
                </w:tcPr>
                <w:p w14:paraId="4B6FE1EE">
                  <w:pPr>
                    <w:pStyle w:val="277"/>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ascii="Times New Roman" w:hAnsi="宋体" w:eastAsia="宋体" w:cs="Times New Roman"/>
                      <w:color w:val="auto"/>
                      <w:kern w:val="2"/>
                      <w:sz w:val="21"/>
                      <w:szCs w:val="21"/>
                      <w:highlight w:val="none"/>
                      <w:lang w:val="en-US" w:eastAsia="zh-CN" w:bidi="ar-SA"/>
                    </w:rPr>
                    <w:t>一般管控单元</w:t>
                  </w:r>
                </w:p>
              </w:tc>
              <w:tc>
                <w:tcPr>
                  <w:tcW w:w="2453" w:type="pct"/>
                  <w:noWrap w:val="0"/>
                  <w:vAlign w:val="center"/>
                </w:tcPr>
                <w:p w14:paraId="0F4FFE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center"/>
                    <w:textAlignment w:val="auto"/>
                    <w:rPr>
                      <w:color w:val="auto"/>
                      <w:szCs w:val="21"/>
                      <w:highlight w:val="none"/>
                    </w:rPr>
                  </w:pPr>
                  <w:r>
                    <w:rPr>
                      <w:rFonts w:hint="eastAsia"/>
                      <w:color w:val="auto"/>
                      <w:szCs w:val="21"/>
                      <w:highlight w:val="none"/>
                    </w:rPr>
                    <w:t>依据《中华人民共和国土壤污染防治法》《土壤污染防治行动计划》《农用地土壤环境管理办法（试行）》《工矿用地土壤环境管理办法（试行）》《“十四五”生态环境保护规划》《安徽省“十四五”环境保护规划》《安徽省重金属污染防控工作方案》《蚌埠市十四五生态环境保护规划》《蚌埠市土壤污染防治规划（2021-2025年）》《蚌埠市“十四五”危险废物工业固体废物污染环境防治规划》《蚌埠市医疗废物管理条例》等要求及各市土壤污染防治工作方案对一般管控区实施管控。</w:t>
                  </w:r>
                </w:p>
              </w:tc>
              <w:tc>
                <w:tcPr>
                  <w:tcW w:w="1609" w:type="pct"/>
                  <w:noWrap w:val="0"/>
                  <w:vAlign w:val="center"/>
                </w:tcPr>
                <w:p w14:paraId="6B7E652F">
                  <w:pPr>
                    <w:pStyle w:val="277"/>
                    <w:keepNext w:val="0"/>
                    <w:keepLines w:val="0"/>
                    <w:suppressLineNumbers w:val="0"/>
                    <w:spacing w:before="0" w:beforeAutospacing="0" w:after="0" w:afterAutospacing="0"/>
                    <w:ind w:left="0" w:right="0"/>
                    <w:jc w:val="center"/>
                    <w:rPr>
                      <w:color w:val="auto"/>
                      <w:szCs w:val="21"/>
                      <w:highlight w:val="none"/>
                    </w:rPr>
                  </w:pPr>
                  <w:r>
                    <w:rPr>
                      <w:rFonts w:hint="eastAsia" w:hAnsi="宋体"/>
                      <w:color w:val="auto"/>
                      <w:sz w:val="21"/>
                      <w:szCs w:val="21"/>
                      <w:highlight w:val="none"/>
                    </w:rPr>
                    <w:t>本项目不属于有色金属冶炼、石油加工、化工、焦化、电镀、制革等行业，项目产生的危险废物经暂存后定期交由有资质单位进行处置</w:t>
                  </w:r>
                  <w:r>
                    <w:rPr>
                      <w:rFonts w:hint="eastAsia"/>
                      <w:color w:val="auto"/>
                      <w:sz w:val="21"/>
                      <w:szCs w:val="21"/>
                      <w:highlight w:val="none"/>
                    </w:rPr>
                    <w:t>，危险废物暂存场所满足相关规范要求，符合管控要求。</w:t>
                  </w:r>
                </w:p>
              </w:tc>
            </w:tr>
          </w:tbl>
          <w:p w14:paraId="234607DB">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eastAsia"/>
                <w:color w:val="auto"/>
                <w:sz w:val="24"/>
                <w:szCs w:val="22"/>
                <w:highlight w:val="none"/>
              </w:rPr>
            </w:pPr>
            <w:r>
              <w:rPr>
                <w:rFonts w:hint="eastAsia"/>
                <w:color w:val="auto"/>
                <w:sz w:val="24"/>
                <w:szCs w:val="22"/>
                <w:highlight w:val="none"/>
                <w:lang w:eastAsia="zh-CN"/>
              </w:rPr>
              <w:t>（</w:t>
            </w:r>
            <w:r>
              <w:rPr>
                <w:rFonts w:hint="eastAsia"/>
                <w:color w:val="auto"/>
                <w:sz w:val="24"/>
                <w:szCs w:val="22"/>
                <w:highlight w:val="none"/>
                <w:lang w:val="en-US" w:eastAsia="zh-CN"/>
              </w:rPr>
              <w:t>3</w:t>
            </w:r>
            <w:r>
              <w:rPr>
                <w:rFonts w:hint="eastAsia"/>
                <w:color w:val="auto"/>
                <w:sz w:val="24"/>
                <w:szCs w:val="22"/>
                <w:highlight w:val="none"/>
                <w:lang w:eastAsia="zh-CN"/>
              </w:rPr>
              <w:t>）</w:t>
            </w:r>
            <w:r>
              <w:rPr>
                <w:rFonts w:hint="eastAsia"/>
                <w:color w:val="auto"/>
                <w:sz w:val="24"/>
                <w:szCs w:val="22"/>
                <w:highlight w:val="none"/>
              </w:rPr>
              <w:t>资源利用上限及</w:t>
            </w:r>
            <w:r>
              <w:rPr>
                <w:color w:val="auto"/>
                <w:sz w:val="24"/>
                <w:szCs w:val="22"/>
                <w:highlight w:val="none"/>
              </w:rPr>
              <w:t>自然资源开发</w:t>
            </w:r>
            <w:r>
              <w:rPr>
                <w:rFonts w:hint="eastAsia"/>
                <w:color w:val="auto"/>
                <w:sz w:val="24"/>
                <w:szCs w:val="22"/>
                <w:highlight w:val="none"/>
              </w:rPr>
              <w:t>分区管控：本项目不涉及煤炭资源和地下水资源的利用，项目所在地属于土地资源管控分区中的一般管控区。</w:t>
            </w:r>
          </w:p>
          <w:p w14:paraId="244B1F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2"/>
                <w:highlight w:val="none"/>
              </w:rPr>
            </w:pPr>
            <w:bookmarkStart w:id="1" w:name="_Toc3880"/>
            <w:r>
              <w:rPr>
                <w:rFonts w:hint="eastAsia"/>
                <w:color w:val="auto"/>
                <w:sz w:val="24"/>
                <w:szCs w:val="22"/>
                <w:highlight w:val="none"/>
                <w:lang w:eastAsia="zh-CN"/>
              </w:rPr>
              <w:t>（</w:t>
            </w:r>
            <w:r>
              <w:rPr>
                <w:rFonts w:hint="eastAsia"/>
                <w:color w:val="auto"/>
                <w:sz w:val="24"/>
                <w:szCs w:val="22"/>
                <w:highlight w:val="none"/>
                <w:lang w:val="en-US" w:eastAsia="zh-CN"/>
              </w:rPr>
              <w:t>4</w:t>
            </w:r>
            <w:r>
              <w:rPr>
                <w:rFonts w:hint="eastAsia"/>
                <w:color w:val="auto"/>
                <w:sz w:val="24"/>
                <w:szCs w:val="22"/>
                <w:highlight w:val="none"/>
                <w:lang w:eastAsia="zh-CN"/>
              </w:rPr>
              <w:t>）</w:t>
            </w:r>
            <w:r>
              <w:rPr>
                <w:color w:val="auto"/>
                <w:sz w:val="24"/>
                <w:szCs w:val="22"/>
                <w:highlight w:val="none"/>
              </w:rPr>
              <w:t>环境管控单元划定及分类管控</w:t>
            </w:r>
            <w:bookmarkEnd w:id="1"/>
            <w:r>
              <w:rPr>
                <w:rFonts w:hint="eastAsia"/>
                <w:color w:val="auto"/>
                <w:sz w:val="24"/>
                <w:szCs w:val="22"/>
                <w:highlight w:val="none"/>
              </w:rPr>
              <w:t>：本项目所在地</w:t>
            </w:r>
            <w:r>
              <w:rPr>
                <w:rFonts w:hint="eastAsia"/>
                <w:color w:val="auto"/>
                <w:sz w:val="24"/>
                <w:szCs w:val="22"/>
                <w:highlight w:val="none"/>
                <w:lang w:val="en-US" w:eastAsia="zh-CN"/>
              </w:rPr>
              <w:t>环境管控单元编码ZH34032220029</w:t>
            </w:r>
            <w:r>
              <w:rPr>
                <w:rFonts w:hint="eastAsia"/>
                <w:color w:val="auto"/>
                <w:sz w:val="24"/>
                <w:szCs w:val="22"/>
                <w:highlight w:val="none"/>
                <w:lang w:eastAsia="zh-CN"/>
              </w:rPr>
              <w:t>，</w:t>
            </w:r>
            <w:r>
              <w:rPr>
                <w:rFonts w:hint="eastAsia"/>
                <w:color w:val="auto"/>
                <w:sz w:val="24"/>
                <w:szCs w:val="22"/>
                <w:highlight w:val="none"/>
              </w:rPr>
              <w:t>属于环境重点管控单元</w:t>
            </w:r>
            <w:r>
              <w:rPr>
                <w:rFonts w:hint="eastAsia"/>
                <w:color w:val="auto"/>
                <w:sz w:val="24"/>
                <w:szCs w:val="22"/>
                <w:highlight w:val="none"/>
                <w:lang w:eastAsia="zh-CN"/>
              </w:rPr>
              <w:t>，</w:t>
            </w:r>
            <w:r>
              <w:rPr>
                <w:rFonts w:hint="eastAsia"/>
                <w:color w:val="auto"/>
                <w:sz w:val="24"/>
                <w:szCs w:val="22"/>
                <w:highlight w:val="none"/>
                <w:lang w:val="en-US" w:eastAsia="zh-CN"/>
              </w:rPr>
              <w:t>与重点管控单元分区符合性分析见下表</w:t>
            </w:r>
            <w:r>
              <w:rPr>
                <w:rFonts w:hint="eastAsia"/>
                <w:color w:val="auto"/>
                <w:sz w:val="24"/>
                <w:szCs w:val="22"/>
                <w:highlight w:val="none"/>
              </w:rPr>
              <w:t>。</w:t>
            </w:r>
          </w:p>
          <w:p w14:paraId="0580CD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2"/>
                <w:highlight w:val="none"/>
              </w:rPr>
            </w:pPr>
            <w:bookmarkStart w:id="2" w:name="_Toc17707"/>
            <w:r>
              <w:rPr>
                <w:rFonts w:hint="eastAsia"/>
                <w:color w:val="auto"/>
                <w:sz w:val="24"/>
                <w:szCs w:val="22"/>
                <w:highlight w:val="none"/>
                <w:lang w:eastAsia="zh-CN"/>
              </w:rPr>
              <w:t>（</w:t>
            </w:r>
            <w:r>
              <w:rPr>
                <w:rFonts w:hint="eastAsia"/>
                <w:color w:val="auto"/>
                <w:sz w:val="24"/>
                <w:szCs w:val="22"/>
                <w:highlight w:val="none"/>
                <w:lang w:val="en-US" w:eastAsia="zh-CN"/>
              </w:rPr>
              <w:t>5</w:t>
            </w:r>
            <w:r>
              <w:rPr>
                <w:rFonts w:hint="eastAsia"/>
                <w:color w:val="auto"/>
                <w:sz w:val="24"/>
                <w:szCs w:val="22"/>
                <w:highlight w:val="none"/>
                <w:lang w:eastAsia="zh-CN"/>
              </w:rPr>
              <w:t>）</w:t>
            </w:r>
            <w:r>
              <w:rPr>
                <w:color w:val="auto"/>
                <w:sz w:val="24"/>
                <w:szCs w:val="22"/>
                <w:highlight w:val="none"/>
              </w:rPr>
              <w:t>生态环境准入清单</w:t>
            </w:r>
            <w:bookmarkEnd w:id="2"/>
            <w:r>
              <w:rPr>
                <w:rFonts w:hint="eastAsia"/>
                <w:color w:val="auto"/>
                <w:sz w:val="24"/>
                <w:szCs w:val="22"/>
                <w:highlight w:val="none"/>
              </w:rPr>
              <w:t>：蚌埠市形成了“1+1”+“1+16+124”的管控体系。“1+1”即省级和沿淮两个区域清单，“1+16+124”即1个市级清单、16个开发区清单和124个管控单元清单</w:t>
            </w:r>
            <w:r>
              <w:rPr>
                <w:rFonts w:hint="eastAsia"/>
                <w:color w:val="auto"/>
                <w:sz w:val="24"/>
                <w:szCs w:val="22"/>
                <w:highlight w:val="none"/>
                <w:lang w:eastAsia="zh-CN"/>
              </w:rPr>
              <w:t>，</w:t>
            </w:r>
            <w:r>
              <w:rPr>
                <w:rFonts w:hint="eastAsia"/>
                <w:color w:val="auto"/>
                <w:sz w:val="24"/>
                <w:szCs w:val="22"/>
                <w:highlight w:val="none"/>
                <w:lang w:val="en-US" w:eastAsia="zh-CN"/>
              </w:rPr>
              <w:t>根据《安徽五河经济开发区总体发展规划（</w:t>
            </w:r>
            <w:r>
              <w:rPr>
                <w:rFonts w:hint="default"/>
                <w:color w:val="auto"/>
                <w:sz w:val="24"/>
                <w:szCs w:val="22"/>
                <w:highlight w:val="none"/>
                <w:lang w:val="en-US" w:eastAsia="zh-CN"/>
              </w:rPr>
              <w:t>2012-2030</w:t>
            </w:r>
            <w:r>
              <w:rPr>
                <w:rFonts w:hint="eastAsia"/>
                <w:color w:val="auto"/>
                <w:sz w:val="24"/>
                <w:szCs w:val="22"/>
                <w:highlight w:val="none"/>
                <w:lang w:val="en-US" w:eastAsia="zh-CN"/>
              </w:rPr>
              <w:t>）（修编）环境影响报告书》中</w:t>
            </w:r>
            <w:r>
              <w:rPr>
                <w:rFonts w:hint="default"/>
                <w:color w:val="auto"/>
                <w:sz w:val="24"/>
                <w:szCs w:val="22"/>
                <w:highlight w:val="none"/>
                <w:lang w:val="en-US" w:eastAsia="zh-CN"/>
              </w:rPr>
              <w:t>“10.5</w:t>
            </w:r>
            <w:r>
              <w:rPr>
                <w:rFonts w:hint="eastAsia"/>
                <w:color w:val="auto"/>
                <w:sz w:val="24"/>
                <w:szCs w:val="22"/>
                <w:highlight w:val="none"/>
                <w:lang w:val="en-US" w:eastAsia="zh-CN"/>
              </w:rPr>
              <w:t>生态环境准入清单</w:t>
            </w:r>
            <w:r>
              <w:rPr>
                <w:rFonts w:hint="default"/>
                <w:color w:val="auto"/>
                <w:sz w:val="24"/>
                <w:szCs w:val="22"/>
                <w:highlight w:val="none"/>
                <w:lang w:val="en-US" w:eastAsia="zh-CN"/>
              </w:rPr>
              <w:t>”</w:t>
            </w:r>
            <w:r>
              <w:rPr>
                <w:rFonts w:hint="eastAsia"/>
                <w:color w:val="auto"/>
                <w:sz w:val="24"/>
                <w:szCs w:val="22"/>
                <w:highlight w:val="none"/>
                <w:lang w:val="en-US" w:eastAsia="zh-CN"/>
              </w:rPr>
              <w:t>，五河经济开发区产业准入指导清单见表1-8。</w:t>
            </w:r>
          </w:p>
          <w:p w14:paraId="3E209866">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color w:val="auto"/>
                <w:szCs w:val="22"/>
                <w:highlight w:val="none"/>
              </w:rPr>
            </w:pPr>
            <w:r>
              <w:rPr>
                <w:rFonts w:hint="eastAsia" w:hAnsi="宋体"/>
                <w:color w:val="auto"/>
                <w:sz w:val="24"/>
                <w:szCs w:val="22"/>
                <w:highlight w:val="none"/>
              </w:rPr>
              <w:t>综上所述，本项目的建设符</w:t>
            </w:r>
            <w:r>
              <w:rPr>
                <w:rFonts w:hint="eastAsia" w:ascii="宋体" w:hAnsi="宋体"/>
                <w:color w:val="auto"/>
                <w:sz w:val="24"/>
                <w:szCs w:val="22"/>
                <w:highlight w:val="none"/>
              </w:rPr>
              <w:t>合“三线一单”相</w:t>
            </w:r>
            <w:r>
              <w:rPr>
                <w:rFonts w:hint="eastAsia" w:hAnsi="宋体"/>
                <w:color w:val="auto"/>
                <w:sz w:val="24"/>
                <w:szCs w:val="22"/>
                <w:highlight w:val="none"/>
              </w:rPr>
              <w:t>关要求</w:t>
            </w:r>
            <w:r>
              <w:rPr>
                <w:rFonts w:hint="eastAsia" w:hAnsi="宋体"/>
                <w:color w:val="auto"/>
                <w:sz w:val="24"/>
                <w:szCs w:val="22"/>
                <w:highlight w:val="none"/>
                <w:lang w:eastAsia="zh-CN"/>
              </w:rPr>
              <w:t>。</w:t>
            </w:r>
          </w:p>
          <w:p w14:paraId="71B34132">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color w:val="auto"/>
                <w:szCs w:val="22"/>
                <w:highlight w:val="none"/>
              </w:rPr>
            </w:pPr>
            <w:r>
              <w:rPr>
                <w:b/>
                <w:color w:val="auto"/>
                <w:sz w:val="21"/>
                <w:szCs w:val="21"/>
                <w:highlight w:val="none"/>
              </w:rPr>
              <w:t>表</w:t>
            </w:r>
            <w:r>
              <w:rPr>
                <w:rFonts w:hint="eastAsia"/>
                <w:b/>
                <w:color w:val="auto"/>
                <w:sz w:val="21"/>
                <w:szCs w:val="21"/>
                <w:highlight w:val="none"/>
                <w:lang w:val="en-US" w:eastAsia="zh-CN"/>
              </w:rPr>
              <w:t>1-7</w:t>
            </w:r>
            <w:r>
              <w:rPr>
                <w:rFonts w:hint="eastAsia"/>
                <w:b/>
                <w:color w:val="auto"/>
                <w:sz w:val="21"/>
                <w:szCs w:val="21"/>
                <w:highlight w:val="none"/>
              </w:rPr>
              <w:t xml:space="preserve">  本项</w:t>
            </w:r>
            <w:r>
              <w:rPr>
                <w:rFonts w:hint="eastAsia" w:ascii="Times New Roman" w:hAnsi="Times New Roman" w:eastAsia="宋体" w:cs="Times New Roman"/>
                <w:b/>
                <w:color w:val="auto"/>
                <w:sz w:val="21"/>
                <w:szCs w:val="21"/>
                <w:highlight w:val="none"/>
              </w:rPr>
              <w:t>目与</w:t>
            </w:r>
            <w:r>
              <w:rPr>
                <w:rFonts w:hint="eastAsia" w:ascii="Times New Roman" w:hAnsi="Times New Roman" w:eastAsia="宋体" w:cs="Times New Roman"/>
                <w:b/>
                <w:color w:val="auto"/>
                <w:sz w:val="21"/>
                <w:szCs w:val="21"/>
                <w:highlight w:val="none"/>
                <w:lang w:val="en-US" w:eastAsia="zh-CN"/>
              </w:rPr>
              <w:t>重点管控单元分区符合性</w:t>
            </w:r>
            <w:r>
              <w:rPr>
                <w:rFonts w:hint="eastAsia" w:ascii="Times New Roman" w:hAnsi="Times New Roman" w:eastAsia="宋体" w:cs="Times New Roman"/>
                <w:b/>
                <w:color w:val="auto"/>
                <w:sz w:val="21"/>
                <w:szCs w:val="21"/>
                <w:highlight w:val="none"/>
              </w:rPr>
              <w:t>分析</w:t>
            </w:r>
          </w:p>
          <w:tbl>
            <w:tblPr>
              <w:tblStyle w:val="323"/>
              <w:tblW w:w="4997" w:type="pct"/>
              <w:tblInd w:w="-6" w:type="dxa"/>
              <w:tblBorders>
                <w:top w:val="single" w:color="000000" w:sz="4" w:space="0"/>
                <w:left w:val="single" w:color="000000" w:sz="4" w:space="0"/>
                <w:bottom w:val="single" w:color="000000" w:sz="6"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1"/>
              <w:gridCol w:w="3937"/>
              <w:gridCol w:w="1776"/>
              <w:gridCol w:w="528"/>
            </w:tblGrid>
            <w:tr w14:paraId="4D62E7B0">
              <w:tblPrEx>
                <w:tblBorders>
                  <w:top w:val="single" w:color="000000" w:sz="4" w:space="0"/>
                  <w:left w:val="single" w:color="000000" w:sz="4" w:space="0"/>
                  <w:bottom w:val="single"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6" w:type="pct"/>
                  <w:tcBorders>
                    <w:tl2br w:val="nil"/>
                    <w:tr2bl w:val="nil"/>
                  </w:tcBorders>
                  <w:vAlign w:val="center"/>
                </w:tcPr>
                <w:p w14:paraId="0C4A80AE">
                  <w:pPr>
                    <w:pStyle w:val="356"/>
                    <w:keepNext w:val="0"/>
                    <w:keepLines w:val="0"/>
                    <w:pageBreakBefore w:val="0"/>
                    <w:widowControl w:val="0"/>
                    <w:tabs>
                      <w:tab w:val="center" w:pos="350"/>
                    </w:tabs>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pacing w:val="1"/>
                      <w:sz w:val="21"/>
                      <w:szCs w:val="21"/>
                      <w:highlight w:val="none"/>
                    </w:rPr>
                    <w:t>管控</w:t>
                  </w:r>
                  <w:r>
                    <w:rPr>
                      <w:rFonts w:hint="default" w:ascii="Times New Roman" w:hAnsi="Times New Roman" w:cs="Times New Roman"/>
                      <w:b/>
                      <w:bCs/>
                      <w:color w:val="auto"/>
                      <w:spacing w:val="3"/>
                      <w:sz w:val="21"/>
                      <w:szCs w:val="21"/>
                      <w:highlight w:val="none"/>
                    </w:rPr>
                    <w:t>要求</w:t>
                  </w:r>
                </w:p>
              </w:tc>
              <w:tc>
                <w:tcPr>
                  <w:tcW w:w="2803" w:type="pct"/>
                  <w:tcBorders>
                    <w:tl2br w:val="nil"/>
                    <w:tr2bl w:val="nil"/>
                  </w:tcBorders>
                  <w:vAlign w:val="center"/>
                </w:tcPr>
                <w:p w14:paraId="447167B5">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b/>
                      <w:bCs/>
                      <w:color w:val="auto"/>
                      <w:spacing w:val="6"/>
                      <w:sz w:val="21"/>
                      <w:szCs w:val="21"/>
                      <w:highlight w:val="none"/>
                      <w:lang w:val="en-US" w:eastAsia="zh-CN"/>
                    </w:rPr>
                    <w:t>安徽“三线一单”管控要求查询报告</w:t>
                  </w:r>
                  <w:r>
                    <w:rPr>
                      <w:rFonts w:hint="default" w:ascii="Times New Roman" w:hAnsi="Times New Roman" w:cs="Times New Roman"/>
                      <w:b/>
                      <w:bCs/>
                      <w:color w:val="auto"/>
                      <w:spacing w:val="6"/>
                      <w:sz w:val="21"/>
                      <w:szCs w:val="21"/>
                      <w:highlight w:val="none"/>
                    </w:rPr>
                    <w:t>重点管控要求（摘录）</w:t>
                  </w:r>
                </w:p>
              </w:tc>
              <w:tc>
                <w:tcPr>
                  <w:tcW w:w="1264" w:type="pct"/>
                  <w:tcBorders>
                    <w:tl2br w:val="nil"/>
                    <w:tr2bl w:val="nil"/>
                  </w:tcBorders>
                  <w:vAlign w:val="center"/>
                </w:tcPr>
                <w:p w14:paraId="4FF70EB9">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pacing w:val="6"/>
                      <w:sz w:val="21"/>
                      <w:szCs w:val="21"/>
                      <w:highlight w:val="none"/>
                    </w:rPr>
                    <w:t>符合性分析</w:t>
                  </w:r>
                </w:p>
              </w:tc>
              <w:tc>
                <w:tcPr>
                  <w:tcW w:w="375" w:type="pct"/>
                  <w:tcBorders>
                    <w:tl2br w:val="nil"/>
                    <w:tr2bl w:val="nil"/>
                  </w:tcBorders>
                  <w:vAlign w:val="center"/>
                </w:tcPr>
                <w:p w14:paraId="48592253">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相符性</w:t>
                  </w:r>
                </w:p>
              </w:tc>
            </w:tr>
            <w:tr w14:paraId="634A8E56">
              <w:tblPrEx>
                <w:tblBorders>
                  <w:top w:val="single" w:color="000000" w:sz="4" w:space="0"/>
                  <w:left w:val="single" w:color="000000" w:sz="4" w:space="0"/>
                  <w:bottom w:val="single"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6" w:type="pct"/>
                  <w:tcBorders>
                    <w:tl2br w:val="nil"/>
                    <w:tr2bl w:val="nil"/>
                  </w:tcBorders>
                  <w:vAlign w:val="center"/>
                </w:tcPr>
                <w:p w14:paraId="624C06A4">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空间</w:t>
                  </w:r>
                  <w:r>
                    <w:rPr>
                      <w:rFonts w:hint="default" w:ascii="Times New Roman" w:hAnsi="Times New Roman" w:cs="Times New Roman"/>
                      <w:color w:val="auto"/>
                      <w:spacing w:val="4"/>
                      <w:sz w:val="21"/>
                      <w:szCs w:val="21"/>
                      <w:highlight w:val="none"/>
                    </w:rPr>
                    <w:t>布局</w:t>
                  </w:r>
                  <w:r>
                    <w:rPr>
                      <w:rFonts w:hint="default" w:ascii="Times New Roman" w:hAnsi="Times New Roman" w:cs="Times New Roman"/>
                      <w:color w:val="auto"/>
                      <w:spacing w:val="2"/>
                      <w:sz w:val="21"/>
                      <w:szCs w:val="21"/>
                      <w:highlight w:val="none"/>
                    </w:rPr>
                    <w:t>约束</w:t>
                  </w:r>
                </w:p>
              </w:tc>
              <w:tc>
                <w:tcPr>
                  <w:tcW w:w="2803" w:type="pct"/>
                  <w:tcBorders>
                    <w:tl2br w:val="nil"/>
                    <w:tr2bl w:val="nil"/>
                  </w:tcBorders>
                  <w:vAlign w:val="center"/>
                </w:tcPr>
                <w:p w14:paraId="1183425D">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pacing w:val="8"/>
                      <w:sz w:val="21"/>
                      <w:szCs w:val="21"/>
                      <w:highlight w:val="none"/>
                    </w:rPr>
                    <w:t>1</w:t>
                  </w:r>
                  <w:r>
                    <w:rPr>
                      <w:rFonts w:hint="default" w:ascii="Times New Roman" w:hAnsi="Times New Roman" w:eastAsia="宋体" w:cs="Times New Roman"/>
                      <w:color w:val="auto"/>
                      <w:spacing w:val="8"/>
                      <w:sz w:val="21"/>
                      <w:szCs w:val="21"/>
                      <w:highlight w:val="none"/>
                      <w:lang w:eastAsia="zh-CN"/>
                    </w:rPr>
                    <w:t>、</w:t>
                  </w:r>
                  <w:r>
                    <w:rPr>
                      <w:rFonts w:hint="default" w:ascii="Times New Roman" w:hAnsi="Times New Roman" w:cs="Times New Roman"/>
                      <w:color w:val="auto"/>
                      <w:spacing w:val="8"/>
                      <w:sz w:val="21"/>
                      <w:szCs w:val="21"/>
                      <w:highlight w:val="none"/>
                    </w:rPr>
                    <w:t>在城市城区及其近郊禁止新建、扩建钢铁、有色、石化、水泥、化工等重污染企业。</w:t>
                  </w:r>
                </w:p>
                <w:p w14:paraId="61B3CF16">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pacing w:val="9"/>
                      <w:sz w:val="21"/>
                      <w:szCs w:val="21"/>
                      <w:highlight w:val="none"/>
                    </w:rPr>
                    <w:t>2</w:t>
                  </w:r>
                  <w:r>
                    <w:rPr>
                      <w:rFonts w:hint="default" w:ascii="Times New Roman" w:hAnsi="Times New Roman" w:eastAsia="宋体" w:cs="Times New Roman"/>
                      <w:color w:val="auto"/>
                      <w:spacing w:val="9"/>
                      <w:sz w:val="21"/>
                      <w:szCs w:val="21"/>
                      <w:highlight w:val="none"/>
                      <w:lang w:eastAsia="zh-CN"/>
                    </w:rPr>
                    <w:t>、</w:t>
                  </w:r>
                  <w:r>
                    <w:rPr>
                      <w:rFonts w:hint="default" w:ascii="Times New Roman" w:hAnsi="Times New Roman" w:cs="Times New Roman"/>
                      <w:color w:val="auto"/>
                      <w:spacing w:val="9"/>
                      <w:sz w:val="21"/>
                      <w:szCs w:val="21"/>
                      <w:highlight w:val="none"/>
                    </w:rPr>
                    <w:t>禁止新建燃料类煤气发生炉（园区现有企业统</w:t>
                  </w:r>
                  <w:r>
                    <w:rPr>
                      <w:rFonts w:hint="default" w:ascii="Times New Roman" w:hAnsi="Times New Roman" w:cs="Times New Roman"/>
                      <w:color w:val="auto"/>
                      <w:spacing w:val="7"/>
                      <w:sz w:val="21"/>
                      <w:szCs w:val="21"/>
                      <w:highlight w:val="none"/>
                    </w:rPr>
                    <w:t>一建设的清洁煤制气中心除外）。</w:t>
                  </w:r>
                </w:p>
                <w:p w14:paraId="7033816D">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pacing w:val="7"/>
                      <w:sz w:val="21"/>
                      <w:szCs w:val="21"/>
                      <w:highlight w:val="none"/>
                    </w:rPr>
                    <w:t>3</w:t>
                  </w:r>
                  <w:r>
                    <w:rPr>
                      <w:rFonts w:hint="default" w:ascii="Times New Roman" w:hAnsi="Times New Roman" w:eastAsia="宋体" w:cs="Times New Roman"/>
                      <w:color w:val="auto"/>
                      <w:spacing w:val="7"/>
                      <w:sz w:val="21"/>
                      <w:szCs w:val="21"/>
                      <w:highlight w:val="none"/>
                      <w:lang w:eastAsia="zh-CN"/>
                    </w:rPr>
                    <w:t>、</w:t>
                  </w:r>
                  <w:r>
                    <w:rPr>
                      <w:rFonts w:hint="default" w:ascii="Times New Roman" w:hAnsi="Times New Roman" w:cs="Times New Roman"/>
                      <w:color w:val="auto"/>
                      <w:spacing w:val="7"/>
                      <w:sz w:val="21"/>
                      <w:szCs w:val="21"/>
                      <w:highlight w:val="none"/>
                    </w:rPr>
                    <w:t>严禁新增钢铁、焦化、</w:t>
                  </w:r>
                  <w:r>
                    <w:rPr>
                      <w:rFonts w:hint="default" w:ascii="Times New Roman" w:hAnsi="Times New Roman" w:cs="Times New Roman"/>
                      <w:color w:val="auto"/>
                      <w:spacing w:val="-60"/>
                      <w:sz w:val="21"/>
                      <w:szCs w:val="21"/>
                      <w:highlight w:val="none"/>
                    </w:rPr>
                    <w:t xml:space="preserve"> </w:t>
                  </w:r>
                  <w:r>
                    <w:rPr>
                      <w:rFonts w:hint="default" w:ascii="Times New Roman" w:hAnsi="Times New Roman" w:cs="Times New Roman"/>
                      <w:color w:val="auto"/>
                      <w:spacing w:val="7"/>
                      <w:sz w:val="21"/>
                      <w:szCs w:val="21"/>
                      <w:highlight w:val="none"/>
                    </w:rPr>
                    <w:t>电解铝、铸造、水泥和</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pacing w:val="9"/>
                      <w:sz w:val="21"/>
                      <w:szCs w:val="21"/>
                      <w:highlight w:val="none"/>
                    </w:rPr>
                    <w:t>平板玻璃等产能；严格执行钢铁、水泥、平板玻</w:t>
                  </w:r>
                  <w:r>
                    <w:rPr>
                      <w:rFonts w:hint="default" w:ascii="Times New Roman" w:hAnsi="Times New Roman" w:cs="Times New Roman"/>
                      <w:color w:val="auto"/>
                      <w:spacing w:val="8"/>
                      <w:sz w:val="21"/>
                      <w:szCs w:val="21"/>
                      <w:highlight w:val="none"/>
                    </w:rPr>
                    <w:t>璃等行业产能置换实施办法。</w:t>
                  </w:r>
                </w:p>
                <w:p w14:paraId="5A0787E0">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pacing w:val="7"/>
                      <w:sz w:val="21"/>
                      <w:szCs w:val="21"/>
                      <w:highlight w:val="none"/>
                    </w:rPr>
                    <w:t>9</w:t>
                  </w:r>
                  <w:r>
                    <w:rPr>
                      <w:rFonts w:hint="default" w:ascii="Times New Roman" w:hAnsi="Times New Roman" w:eastAsia="宋体" w:cs="Times New Roman"/>
                      <w:color w:val="auto"/>
                      <w:spacing w:val="7"/>
                      <w:sz w:val="21"/>
                      <w:szCs w:val="21"/>
                      <w:highlight w:val="none"/>
                      <w:lang w:eastAsia="zh-CN"/>
                    </w:rPr>
                    <w:t>、</w:t>
                  </w:r>
                  <w:r>
                    <w:rPr>
                      <w:rFonts w:hint="default" w:ascii="Times New Roman" w:hAnsi="Times New Roman" w:cs="Times New Roman"/>
                      <w:color w:val="auto"/>
                      <w:spacing w:val="7"/>
                      <w:sz w:val="21"/>
                      <w:szCs w:val="21"/>
                      <w:highlight w:val="none"/>
                    </w:rPr>
                    <w:t>严格控制新增“两高</w:t>
                  </w:r>
                  <w:r>
                    <w:rPr>
                      <w:rFonts w:hint="default" w:ascii="Times New Roman" w:hAnsi="Times New Roman" w:cs="Times New Roman"/>
                      <w:color w:val="auto"/>
                      <w:spacing w:val="-60"/>
                      <w:sz w:val="21"/>
                      <w:szCs w:val="21"/>
                      <w:highlight w:val="none"/>
                    </w:rPr>
                    <w:t xml:space="preserve"> </w:t>
                  </w:r>
                  <w:r>
                    <w:rPr>
                      <w:rFonts w:hint="default" w:ascii="Times New Roman" w:hAnsi="Times New Roman" w:cs="Times New Roman"/>
                      <w:color w:val="auto"/>
                      <w:spacing w:val="7"/>
                      <w:sz w:val="21"/>
                      <w:szCs w:val="21"/>
                      <w:highlight w:val="none"/>
                    </w:rPr>
                    <w:t>”项目审批，认真分析评</w:t>
                  </w:r>
                  <w:r>
                    <w:rPr>
                      <w:rFonts w:hint="default" w:ascii="Times New Roman" w:hAnsi="Times New Roman" w:cs="Times New Roman"/>
                      <w:color w:val="auto"/>
                      <w:spacing w:val="6"/>
                      <w:sz w:val="21"/>
                      <w:szCs w:val="21"/>
                      <w:highlight w:val="none"/>
                    </w:rPr>
                    <w:t>估拟建项目必要性、可行性和对产业高质量发展、</w:t>
                  </w:r>
                  <w:r>
                    <w:rPr>
                      <w:rFonts w:hint="default" w:ascii="Times New Roman" w:hAnsi="Times New Roman" w:cs="Times New Roman"/>
                      <w:color w:val="auto"/>
                      <w:spacing w:val="9"/>
                      <w:sz w:val="21"/>
                      <w:szCs w:val="21"/>
                      <w:highlight w:val="none"/>
                    </w:rPr>
                    <w:t>能耗双控、碳排放和环境质量的影响，严格审查</w:t>
                  </w:r>
                  <w:r>
                    <w:rPr>
                      <w:rFonts w:hint="default" w:ascii="Times New Roman" w:hAnsi="Times New Roman" w:cs="Times New Roman"/>
                      <w:color w:val="auto"/>
                      <w:spacing w:val="-6"/>
                      <w:sz w:val="21"/>
                      <w:szCs w:val="21"/>
                      <w:highlight w:val="none"/>
                    </w:rPr>
                    <w:t>项目是否符合产业政策、产业规划、“三线一单</w:t>
                  </w:r>
                  <w:r>
                    <w:rPr>
                      <w:rFonts w:hint="default" w:ascii="Times New Roman" w:hAnsi="Times New Roman" w:cs="Times New Roman"/>
                      <w:color w:val="auto"/>
                      <w:spacing w:val="-54"/>
                      <w:sz w:val="21"/>
                      <w:szCs w:val="21"/>
                      <w:highlight w:val="none"/>
                    </w:rPr>
                    <w:t xml:space="preserve"> </w:t>
                  </w:r>
                  <w:r>
                    <w:rPr>
                      <w:rFonts w:hint="default" w:ascii="Times New Roman" w:hAnsi="Times New Roman" w:cs="Times New Roman"/>
                      <w:color w:val="auto"/>
                      <w:spacing w:val="-6"/>
                      <w:sz w:val="21"/>
                      <w:szCs w:val="21"/>
                      <w:highlight w:val="none"/>
                    </w:rPr>
                    <w:t>”、</w:t>
                  </w:r>
                  <w:r>
                    <w:rPr>
                      <w:rFonts w:hint="default" w:ascii="Times New Roman" w:hAnsi="Times New Roman" w:cs="Times New Roman"/>
                      <w:color w:val="auto"/>
                      <w:spacing w:val="9"/>
                      <w:sz w:val="21"/>
                      <w:szCs w:val="21"/>
                      <w:highlight w:val="none"/>
                    </w:rPr>
                    <w:t>规划环评要求，是否依法依规落实产能置换、能耗置换、煤炭消费减量替代、污染物排放区域削</w:t>
                  </w:r>
                  <w:r>
                    <w:rPr>
                      <w:rFonts w:hint="default" w:ascii="Times New Roman" w:hAnsi="Times New Roman" w:cs="Times New Roman"/>
                      <w:color w:val="auto"/>
                      <w:spacing w:val="7"/>
                      <w:sz w:val="21"/>
                      <w:szCs w:val="21"/>
                      <w:highlight w:val="none"/>
                    </w:rPr>
                    <w:t>减等要求。对已建成投产的存量“两高</w:t>
                  </w:r>
                  <w:r>
                    <w:rPr>
                      <w:rFonts w:hint="default" w:ascii="Times New Roman" w:hAnsi="Times New Roman" w:cs="Times New Roman"/>
                      <w:color w:val="auto"/>
                      <w:spacing w:val="-59"/>
                      <w:sz w:val="21"/>
                      <w:szCs w:val="21"/>
                      <w:highlight w:val="none"/>
                    </w:rPr>
                    <w:t xml:space="preserve"> </w:t>
                  </w:r>
                  <w:r>
                    <w:rPr>
                      <w:rFonts w:hint="default" w:ascii="Times New Roman" w:hAnsi="Times New Roman" w:cs="Times New Roman"/>
                      <w:color w:val="auto"/>
                      <w:spacing w:val="7"/>
                      <w:sz w:val="21"/>
                      <w:szCs w:val="21"/>
                      <w:highlight w:val="none"/>
                    </w:rPr>
                    <w:t>”项目，</w:t>
                  </w:r>
                  <w:r>
                    <w:rPr>
                      <w:rFonts w:hint="default" w:ascii="Times New Roman" w:hAnsi="Times New Roman" w:cs="Times New Roman"/>
                      <w:color w:val="auto"/>
                      <w:spacing w:val="9"/>
                      <w:sz w:val="21"/>
                      <w:szCs w:val="21"/>
                      <w:highlight w:val="none"/>
                    </w:rPr>
                    <w:t>有节能减排潜力的加快改造升级，属于落后产能</w:t>
                  </w:r>
                  <w:r>
                    <w:rPr>
                      <w:rFonts w:hint="default" w:ascii="Times New Roman" w:hAnsi="Times New Roman" w:cs="Times New Roman"/>
                      <w:color w:val="auto"/>
                      <w:spacing w:val="3"/>
                      <w:sz w:val="21"/>
                      <w:szCs w:val="21"/>
                      <w:highlight w:val="none"/>
                    </w:rPr>
                    <w:t>的加快淘汰。</w:t>
                  </w:r>
                </w:p>
                <w:p w14:paraId="68F761C1">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pacing w:val="8"/>
                      <w:sz w:val="21"/>
                      <w:szCs w:val="21"/>
                      <w:highlight w:val="none"/>
                    </w:rPr>
                    <w:t>10</w:t>
                  </w:r>
                  <w:r>
                    <w:rPr>
                      <w:rFonts w:hint="default" w:ascii="Times New Roman" w:hAnsi="Times New Roman" w:eastAsia="宋体" w:cs="Times New Roman"/>
                      <w:color w:val="auto"/>
                      <w:spacing w:val="8"/>
                      <w:sz w:val="21"/>
                      <w:szCs w:val="21"/>
                      <w:highlight w:val="none"/>
                      <w:lang w:eastAsia="zh-CN"/>
                    </w:rPr>
                    <w:t>、</w:t>
                  </w:r>
                  <w:r>
                    <w:rPr>
                      <w:rFonts w:hint="default" w:ascii="Times New Roman" w:hAnsi="Times New Roman" w:cs="Times New Roman"/>
                      <w:color w:val="auto"/>
                      <w:spacing w:val="8"/>
                      <w:sz w:val="21"/>
                      <w:szCs w:val="21"/>
                      <w:highlight w:val="none"/>
                    </w:rPr>
                    <w:t>禁止建设生产和使用高挥发性有机物含量涂料、油墨、胶粘剂、清洗剂等项目。</w:t>
                  </w:r>
                </w:p>
                <w:p w14:paraId="155F773B">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pacing w:val="8"/>
                      <w:sz w:val="21"/>
                      <w:szCs w:val="21"/>
                      <w:highlight w:val="none"/>
                    </w:rPr>
                    <w:t>29</w:t>
                  </w:r>
                  <w:r>
                    <w:rPr>
                      <w:rFonts w:hint="default" w:ascii="Times New Roman" w:hAnsi="Times New Roman" w:eastAsia="宋体" w:cs="Times New Roman"/>
                      <w:color w:val="auto"/>
                      <w:spacing w:val="8"/>
                      <w:sz w:val="21"/>
                      <w:szCs w:val="21"/>
                      <w:highlight w:val="none"/>
                      <w:lang w:eastAsia="zh-CN"/>
                    </w:rPr>
                    <w:t>、</w:t>
                  </w:r>
                  <w:r>
                    <w:rPr>
                      <w:rFonts w:hint="default" w:ascii="Times New Roman" w:hAnsi="Times New Roman" w:cs="Times New Roman"/>
                      <w:color w:val="auto"/>
                      <w:spacing w:val="8"/>
                      <w:sz w:val="21"/>
                      <w:szCs w:val="21"/>
                      <w:highlight w:val="none"/>
                    </w:rPr>
                    <w:t>加大工业涂装、包装印刷等行业低挥发性有机</w:t>
                  </w:r>
                  <w:r>
                    <w:rPr>
                      <w:rFonts w:hint="default" w:ascii="Times New Roman" w:hAnsi="Times New Roman" w:cs="Times New Roman"/>
                      <w:color w:val="auto"/>
                      <w:spacing w:val="5"/>
                      <w:sz w:val="21"/>
                      <w:szCs w:val="21"/>
                      <w:highlight w:val="none"/>
                    </w:rPr>
                    <w:t>物含量原辅材料替代力度，严格执行涂料、油墨、</w:t>
                  </w:r>
                  <w:r>
                    <w:rPr>
                      <w:rFonts w:hint="default" w:ascii="Times New Roman" w:hAnsi="Times New Roman" w:cs="Times New Roman"/>
                      <w:color w:val="auto"/>
                      <w:spacing w:val="10"/>
                      <w:sz w:val="21"/>
                      <w:szCs w:val="21"/>
                      <w:highlight w:val="none"/>
                    </w:rPr>
                    <w:t>胶粘剂、清洗剂挥发性有机物含量限值标准，确</w:t>
                  </w:r>
                  <w:r>
                    <w:rPr>
                      <w:rFonts w:hint="default" w:ascii="Times New Roman" w:hAnsi="Times New Roman" w:cs="Times New Roman"/>
                      <w:color w:val="auto"/>
                      <w:spacing w:val="15"/>
                      <w:sz w:val="21"/>
                      <w:szCs w:val="21"/>
                      <w:highlight w:val="none"/>
                    </w:rPr>
                    <w:t>保生产、销售、进口、使用符合标准的产品。</w:t>
                  </w:r>
                </w:p>
              </w:tc>
              <w:tc>
                <w:tcPr>
                  <w:tcW w:w="1264" w:type="pct"/>
                  <w:tcBorders>
                    <w:tl2br w:val="nil"/>
                    <w:tr2bl w:val="nil"/>
                  </w:tcBorders>
                  <w:vAlign w:val="center"/>
                </w:tcPr>
                <w:p w14:paraId="4812839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p w14:paraId="718177A6">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本项目属于</w:t>
                  </w:r>
                  <w:r>
                    <w:rPr>
                      <w:rFonts w:hint="default" w:ascii="Times New Roman" w:hAnsi="Times New Roman" w:eastAsia="宋体" w:cs="Times New Roman"/>
                      <w:color w:val="auto"/>
                      <w:kern w:val="0"/>
                      <w:sz w:val="21"/>
                      <w:szCs w:val="21"/>
                      <w:highlight w:val="none"/>
                      <w:lang w:val="en-US" w:eastAsia="zh-CN" w:bidi="ar"/>
                    </w:rPr>
                    <w:t>C1953塑料鞋制造、</w:t>
                  </w:r>
                  <w:r>
                    <w:rPr>
                      <w:rFonts w:hint="eastAsia" w:ascii="Times New Roman" w:hAnsi="Times New Roman" w:eastAsia="宋体" w:cs="Times New Roman"/>
                      <w:color w:val="auto"/>
                      <w:kern w:val="0"/>
                      <w:sz w:val="21"/>
                      <w:szCs w:val="21"/>
                      <w:highlight w:val="none"/>
                      <w:lang w:val="en-US" w:eastAsia="zh-CN" w:bidi="ar"/>
                    </w:rPr>
                    <w:t>C1819其他机织服装制造</w:t>
                  </w:r>
                  <w:r>
                    <w:rPr>
                      <w:rFonts w:hint="default" w:ascii="Times New Roman" w:hAnsi="Times New Roman" w:cs="Times New Roman"/>
                      <w:color w:val="auto"/>
                      <w:spacing w:val="10"/>
                      <w:sz w:val="21"/>
                      <w:szCs w:val="21"/>
                      <w:highlight w:val="none"/>
                    </w:rPr>
                    <w:t>，不属于“两</w:t>
                  </w:r>
                  <w:r>
                    <w:rPr>
                      <w:rFonts w:hint="default" w:ascii="Times New Roman" w:hAnsi="Times New Roman" w:cs="Times New Roman"/>
                      <w:color w:val="auto"/>
                      <w:spacing w:val="7"/>
                      <w:sz w:val="21"/>
                      <w:szCs w:val="21"/>
                      <w:highlight w:val="none"/>
                    </w:rPr>
                    <w:t>高</w:t>
                  </w:r>
                  <w:r>
                    <w:rPr>
                      <w:rFonts w:hint="default" w:ascii="Times New Roman" w:hAnsi="Times New Roman" w:cs="Times New Roman"/>
                      <w:color w:val="auto"/>
                      <w:spacing w:val="-71"/>
                      <w:sz w:val="21"/>
                      <w:szCs w:val="21"/>
                      <w:highlight w:val="none"/>
                    </w:rPr>
                    <w:t xml:space="preserve"> </w:t>
                  </w:r>
                  <w:r>
                    <w:rPr>
                      <w:rFonts w:hint="default" w:ascii="Times New Roman" w:hAnsi="Times New Roman" w:cs="Times New Roman"/>
                      <w:color w:val="auto"/>
                      <w:spacing w:val="7"/>
                      <w:sz w:val="21"/>
                      <w:szCs w:val="21"/>
                      <w:highlight w:val="none"/>
                    </w:rPr>
                    <w:t>”项目和重污染企业，</w:t>
                  </w:r>
                  <w:r>
                    <w:rPr>
                      <w:rFonts w:hint="default" w:ascii="Times New Roman" w:hAnsi="Times New Roman" w:cs="Times New Roman"/>
                      <w:color w:val="auto"/>
                      <w:spacing w:val="7"/>
                      <w:sz w:val="21"/>
                      <w:szCs w:val="21"/>
                      <w:highlight w:val="none"/>
                      <w:lang w:val="en-US" w:eastAsia="zh-CN"/>
                    </w:rPr>
                    <w:t>使用的脱模剂</w:t>
                  </w:r>
                  <w:r>
                    <w:rPr>
                      <w:rFonts w:hint="default" w:ascii="Times New Roman" w:hAnsi="Times New Roman" w:eastAsia="宋体" w:cs="Times New Roman"/>
                      <w:color w:val="auto"/>
                      <w:kern w:val="0"/>
                      <w:sz w:val="21"/>
                      <w:szCs w:val="21"/>
                      <w:highlight w:val="none"/>
                      <w:lang w:val="en-US" w:eastAsia="zh-CN" w:bidi="ar"/>
                    </w:rPr>
                    <w:t>满足《清洗剂挥发性有机化合物含量限值》（GB38508-2020）表</w:t>
                  </w:r>
                  <w:r>
                    <w:rPr>
                      <w:rFonts w:hint="eastAsia" w:ascii="Times New Roman" w:hAnsi="Times New Roman"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水基清洗剂限值要求。</w:t>
                  </w:r>
                </w:p>
              </w:tc>
              <w:tc>
                <w:tcPr>
                  <w:tcW w:w="375" w:type="pct"/>
                  <w:tcBorders>
                    <w:tl2br w:val="nil"/>
                    <w:tr2bl w:val="nil"/>
                  </w:tcBorders>
                  <w:vAlign w:val="center"/>
                </w:tcPr>
                <w:p w14:paraId="444DD536">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38B66646">
              <w:tblPrEx>
                <w:tblBorders>
                  <w:top w:val="single" w:color="000000" w:sz="4" w:space="0"/>
                  <w:left w:val="single" w:color="000000" w:sz="4" w:space="0"/>
                  <w:bottom w:val="single"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6" w:type="pct"/>
                  <w:tcBorders>
                    <w:tl2br w:val="nil"/>
                    <w:tr2bl w:val="nil"/>
                  </w:tcBorders>
                  <w:vAlign w:val="center"/>
                </w:tcPr>
                <w:p w14:paraId="7A2A5BC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p w14:paraId="0E69274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p w14:paraId="0A2C128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p w14:paraId="2A89B64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p w14:paraId="6CBECBA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p w14:paraId="2C29479E">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污染</w:t>
                  </w:r>
                  <w:r>
                    <w:rPr>
                      <w:rFonts w:hint="default" w:ascii="Times New Roman" w:hAnsi="Times New Roman" w:cs="Times New Roman"/>
                      <w:color w:val="auto"/>
                      <w:spacing w:val="4"/>
                      <w:sz w:val="21"/>
                      <w:szCs w:val="21"/>
                      <w:highlight w:val="none"/>
                    </w:rPr>
                    <w:t>物排放管</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pacing w:val="1"/>
                      <w:sz w:val="21"/>
                      <w:szCs w:val="21"/>
                      <w:highlight w:val="none"/>
                    </w:rPr>
                    <w:t>控</w:t>
                  </w:r>
                </w:p>
              </w:tc>
              <w:tc>
                <w:tcPr>
                  <w:tcW w:w="2803" w:type="pct"/>
                  <w:tcBorders>
                    <w:tl2br w:val="nil"/>
                    <w:tr2bl w:val="nil"/>
                  </w:tcBorders>
                  <w:vAlign w:val="center"/>
                </w:tcPr>
                <w:p w14:paraId="2242671B">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pacing w:val="8"/>
                      <w:sz w:val="21"/>
                      <w:szCs w:val="21"/>
                      <w:highlight w:val="none"/>
                    </w:rPr>
                    <w:t>54</w:t>
                  </w:r>
                  <w:r>
                    <w:rPr>
                      <w:rFonts w:hint="default" w:ascii="Times New Roman" w:hAnsi="Times New Roman" w:eastAsia="宋体" w:cs="Times New Roman"/>
                      <w:color w:val="auto"/>
                      <w:spacing w:val="8"/>
                      <w:sz w:val="21"/>
                      <w:szCs w:val="21"/>
                      <w:highlight w:val="none"/>
                      <w:lang w:eastAsia="zh-CN"/>
                    </w:rPr>
                    <w:t>、</w:t>
                  </w:r>
                  <w:r>
                    <w:rPr>
                      <w:rFonts w:hint="default" w:ascii="Times New Roman" w:hAnsi="Times New Roman" w:cs="Times New Roman"/>
                      <w:color w:val="auto"/>
                      <w:spacing w:val="8"/>
                      <w:sz w:val="21"/>
                      <w:szCs w:val="21"/>
                      <w:highlight w:val="none"/>
                    </w:rPr>
                    <w:t>全面推动挥发性有机物纳入排污许可管理。禁</w:t>
                  </w:r>
                  <w:r>
                    <w:rPr>
                      <w:rFonts w:hint="default" w:ascii="Times New Roman" w:hAnsi="Times New Roman" w:cs="Times New Roman"/>
                      <w:color w:val="auto"/>
                      <w:spacing w:val="9"/>
                      <w:sz w:val="21"/>
                      <w:szCs w:val="21"/>
                      <w:highlight w:val="none"/>
                    </w:rPr>
                    <w:t>止建设生产和使用高挥发性有机物含量涂料、油墨、胶粘剂、清洗剂等项目。加快推进石化、化工、涂装、医药、包装印刷和油品储运销等重点行业挥发性有机物深度治理，全面提升废气收集</w:t>
                  </w:r>
                  <w:r>
                    <w:rPr>
                      <w:rFonts w:hint="default" w:ascii="Times New Roman" w:hAnsi="Times New Roman" w:cs="Times New Roman"/>
                      <w:color w:val="auto"/>
                      <w:spacing w:val="8"/>
                      <w:sz w:val="21"/>
                      <w:szCs w:val="21"/>
                      <w:highlight w:val="none"/>
                    </w:rPr>
                    <w:t>率、治理设施同步运行率和去除率，提高水性、</w:t>
                  </w:r>
                  <w:r>
                    <w:rPr>
                      <w:rFonts w:hint="default" w:ascii="Times New Roman" w:hAnsi="Times New Roman" w:cs="Times New Roman"/>
                      <w:color w:val="auto"/>
                      <w:spacing w:val="6"/>
                      <w:sz w:val="21"/>
                      <w:szCs w:val="21"/>
                      <w:highlight w:val="none"/>
                    </w:rPr>
                    <w:t>高固体分、无溶剂、粉末、辐射固化等低挥发性</w:t>
                  </w:r>
                  <w:r>
                    <w:rPr>
                      <w:rFonts w:hint="default" w:ascii="Times New Roman" w:hAnsi="Times New Roman" w:cs="Times New Roman"/>
                      <w:color w:val="auto"/>
                      <w:spacing w:val="9"/>
                      <w:sz w:val="21"/>
                      <w:szCs w:val="21"/>
                      <w:highlight w:val="none"/>
                    </w:rPr>
                    <w:t>有机物含量产品的比重。加大工业涂装、包装印刷等行业低挥发性有机物含量原辅材料替代力</w:t>
                  </w:r>
                  <w:r>
                    <w:rPr>
                      <w:rFonts w:hint="default" w:ascii="Times New Roman" w:hAnsi="Times New Roman" w:cs="Times New Roman"/>
                      <w:color w:val="auto"/>
                      <w:spacing w:val="6"/>
                      <w:sz w:val="21"/>
                      <w:szCs w:val="21"/>
                      <w:highlight w:val="none"/>
                    </w:rPr>
                    <w:t>度，严格 执行涂料、油墨、胶粘剂、清洗剂挥发</w:t>
                  </w:r>
                  <w:r>
                    <w:rPr>
                      <w:rFonts w:hint="default" w:ascii="Times New Roman" w:hAnsi="Times New Roman" w:cs="Times New Roman"/>
                      <w:color w:val="auto"/>
                      <w:spacing w:val="1"/>
                      <w:sz w:val="21"/>
                      <w:szCs w:val="21"/>
                      <w:highlight w:val="none"/>
                    </w:rPr>
                    <w:t>性有机物含量限值标准，确保生产、销售、进口、</w:t>
                  </w:r>
                  <w:r>
                    <w:rPr>
                      <w:rFonts w:hint="default" w:ascii="Times New Roman" w:hAnsi="Times New Roman" w:cs="Times New Roman"/>
                      <w:color w:val="auto"/>
                      <w:spacing w:val="5"/>
                      <w:sz w:val="21"/>
                      <w:szCs w:val="21"/>
                      <w:highlight w:val="none"/>
                    </w:rPr>
                    <w:t>使用符合标准的产品。到</w:t>
                  </w:r>
                  <w:r>
                    <w:rPr>
                      <w:rFonts w:hint="default" w:ascii="Times New Roman" w:hAnsi="Times New Roman" w:cs="Times New Roman"/>
                      <w:color w:val="auto"/>
                      <w:spacing w:val="-31"/>
                      <w:sz w:val="21"/>
                      <w:szCs w:val="21"/>
                      <w:highlight w:val="none"/>
                    </w:rPr>
                    <w:t xml:space="preserve"> </w:t>
                  </w:r>
                  <w:r>
                    <w:rPr>
                      <w:rFonts w:hint="default" w:ascii="Times New Roman" w:hAnsi="Times New Roman" w:eastAsia="Times New Roman" w:cs="Times New Roman"/>
                      <w:color w:val="auto"/>
                      <w:spacing w:val="5"/>
                      <w:sz w:val="21"/>
                      <w:szCs w:val="21"/>
                      <w:highlight w:val="none"/>
                    </w:rPr>
                    <w:t>2025</w:t>
                  </w:r>
                  <w:r>
                    <w:rPr>
                      <w:rFonts w:hint="default" w:ascii="Times New Roman" w:hAnsi="Times New Roman" w:cs="Times New Roman"/>
                      <w:color w:val="auto"/>
                      <w:spacing w:val="5"/>
                      <w:sz w:val="21"/>
                      <w:szCs w:val="21"/>
                      <w:highlight w:val="none"/>
                    </w:rPr>
                    <w:t>年，溶剂型工业涂</w:t>
                  </w:r>
                  <w:r>
                    <w:rPr>
                      <w:rFonts w:hint="default" w:ascii="Times New Roman" w:hAnsi="Times New Roman" w:cs="Times New Roman"/>
                      <w:color w:val="auto"/>
                      <w:spacing w:val="7"/>
                      <w:sz w:val="21"/>
                      <w:szCs w:val="21"/>
                      <w:highlight w:val="none"/>
                    </w:rPr>
                    <w:t>料、油墨使用比例分别降低</w:t>
                  </w:r>
                  <w:r>
                    <w:rPr>
                      <w:rFonts w:hint="default" w:ascii="Times New Roman" w:hAnsi="Times New Roman" w:cs="Times New Roman"/>
                      <w:color w:val="auto"/>
                      <w:spacing w:val="-38"/>
                      <w:sz w:val="21"/>
                      <w:szCs w:val="21"/>
                      <w:highlight w:val="none"/>
                    </w:rPr>
                    <w:t xml:space="preserve"> </w:t>
                  </w:r>
                  <w:r>
                    <w:rPr>
                      <w:rFonts w:hint="default" w:ascii="Times New Roman" w:hAnsi="Times New Roman" w:eastAsia="Times New Roman" w:cs="Times New Roman"/>
                      <w:color w:val="auto"/>
                      <w:spacing w:val="7"/>
                      <w:sz w:val="21"/>
                      <w:szCs w:val="21"/>
                      <w:highlight w:val="none"/>
                    </w:rPr>
                    <w:t>20</w:t>
                  </w:r>
                  <w:r>
                    <w:rPr>
                      <w:rFonts w:hint="default" w:ascii="Times New Roman" w:hAnsi="Times New Roman" w:cs="Times New Roman"/>
                      <w:color w:val="auto"/>
                      <w:spacing w:val="7"/>
                      <w:sz w:val="21"/>
                      <w:szCs w:val="21"/>
                      <w:highlight w:val="none"/>
                    </w:rPr>
                    <w:t>个、</w:t>
                  </w:r>
                  <w:r>
                    <w:rPr>
                      <w:rFonts w:hint="default" w:ascii="Times New Roman" w:hAnsi="Times New Roman" w:eastAsia="Times New Roman" w:cs="Times New Roman"/>
                      <w:color w:val="auto"/>
                      <w:spacing w:val="7"/>
                      <w:sz w:val="21"/>
                      <w:szCs w:val="21"/>
                      <w:highlight w:val="none"/>
                    </w:rPr>
                    <w:t>10</w:t>
                  </w:r>
                  <w:r>
                    <w:rPr>
                      <w:rFonts w:hint="default" w:ascii="Times New Roman" w:hAnsi="Times New Roman" w:cs="Times New Roman"/>
                      <w:color w:val="auto"/>
                      <w:spacing w:val="7"/>
                      <w:sz w:val="21"/>
                      <w:szCs w:val="21"/>
                      <w:highlight w:val="none"/>
                    </w:rPr>
                    <w:t>个百分</w:t>
                  </w:r>
                  <w:r>
                    <w:rPr>
                      <w:rFonts w:hint="default" w:ascii="Times New Roman" w:hAnsi="Times New Roman" w:cs="Times New Roman"/>
                      <w:color w:val="auto"/>
                      <w:spacing w:val="6"/>
                      <w:sz w:val="21"/>
                      <w:szCs w:val="21"/>
                      <w:highlight w:val="none"/>
                    </w:rPr>
                    <w:t>点。</w:t>
                  </w:r>
                  <w:r>
                    <w:rPr>
                      <w:rFonts w:hint="default" w:ascii="Times New Roman" w:hAnsi="Times New Roman" w:cs="Times New Roman"/>
                      <w:color w:val="auto"/>
                      <w:spacing w:val="7"/>
                      <w:sz w:val="21"/>
                      <w:szCs w:val="21"/>
                      <w:highlight w:val="none"/>
                    </w:rPr>
                    <w:t>溶剂型胶粘剂使用量降低</w:t>
                  </w:r>
                  <w:r>
                    <w:rPr>
                      <w:rFonts w:hint="default" w:ascii="Times New Roman" w:hAnsi="Times New Roman" w:cs="Times New Roman"/>
                      <w:color w:val="auto"/>
                      <w:spacing w:val="-37"/>
                      <w:sz w:val="21"/>
                      <w:szCs w:val="21"/>
                      <w:highlight w:val="none"/>
                    </w:rPr>
                    <w:t xml:space="preserve"> </w:t>
                  </w:r>
                  <w:r>
                    <w:rPr>
                      <w:rFonts w:hint="default" w:ascii="Times New Roman" w:hAnsi="Times New Roman" w:eastAsia="Times New Roman" w:cs="Times New Roman"/>
                      <w:color w:val="auto"/>
                      <w:spacing w:val="7"/>
                      <w:sz w:val="21"/>
                      <w:szCs w:val="21"/>
                      <w:highlight w:val="none"/>
                    </w:rPr>
                    <w:t>20%</w:t>
                  </w:r>
                  <w:r>
                    <w:rPr>
                      <w:rFonts w:hint="default" w:ascii="Times New Roman" w:hAnsi="Times New Roman" w:cs="Times New Roman"/>
                      <w:color w:val="auto"/>
                      <w:spacing w:val="7"/>
                      <w:sz w:val="21"/>
                      <w:szCs w:val="21"/>
                      <w:highlight w:val="none"/>
                    </w:rPr>
                    <w:t>。</w:t>
                  </w:r>
                </w:p>
              </w:tc>
              <w:tc>
                <w:tcPr>
                  <w:tcW w:w="1264" w:type="pct"/>
                  <w:tcBorders>
                    <w:tl2br w:val="nil"/>
                    <w:tr2bl w:val="nil"/>
                  </w:tcBorders>
                  <w:vAlign w:val="center"/>
                </w:tcPr>
                <w:p w14:paraId="2D18F7E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p w14:paraId="61C30DEB">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8"/>
                      <w:sz w:val="21"/>
                      <w:szCs w:val="21"/>
                      <w:highlight w:val="none"/>
                    </w:rPr>
                    <w:t>本项目使用</w:t>
                  </w:r>
                  <w:r>
                    <w:rPr>
                      <w:rFonts w:hint="default" w:ascii="Times New Roman" w:hAnsi="Times New Roman" w:cs="Times New Roman"/>
                      <w:color w:val="auto"/>
                      <w:spacing w:val="8"/>
                      <w:sz w:val="21"/>
                      <w:szCs w:val="21"/>
                      <w:highlight w:val="none"/>
                      <w:lang w:val="en-US" w:eastAsia="zh-CN"/>
                    </w:rPr>
                    <w:t>脱模剂作为浇注机清洗剂，其VOCs含量</w:t>
                  </w:r>
                  <w:r>
                    <w:rPr>
                      <w:rFonts w:hint="default" w:ascii="Times New Roman" w:hAnsi="Times New Roman" w:eastAsia="宋体" w:cs="Times New Roman"/>
                      <w:color w:val="auto"/>
                      <w:kern w:val="0"/>
                      <w:sz w:val="21"/>
                      <w:szCs w:val="21"/>
                      <w:highlight w:val="none"/>
                      <w:lang w:val="en-US" w:eastAsia="zh-CN" w:bidi="ar"/>
                    </w:rPr>
                    <w:t>满足《清洗剂挥发性有机化合物含量限值》（GB38508-2020）表</w:t>
                  </w:r>
                  <w:r>
                    <w:rPr>
                      <w:rFonts w:hint="eastAsia" w:ascii="Times New Roman" w:hAnsi="Times New Roman"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水基清洗剂限值要求</w:t>
                  </w:r>
                  <w:r>
                    <w:rPr>
                      <w:rFonts w:hint="default" w:ascii="Times New Roman" w:hAnsi="Times New Roman" w:cs="Times New Roman"/>
                      <w:color w:val="auto"/>
                      <w:spacing w:val="3"/>
                      <w:sz w:val="21"/>
                      <w:szCs w:val="21"/>
                      <w:highlight w:val="none"/>
                    </w:rPr>
                    <w:t>。</w:t>
                  </w:r>
                </w:p>
              </w:tc>
              <w:tc>
                <w:tcPr>
                  <w:tcW w:w="375" w:type="pct"/>
                  <w:tcBorders>
                    <w:tl2br w:val="nil"/>
                    <w:tr2bl w:val="nil"/>
                  </w:tcBorders>
                  <w:vAlign w:val="center"/>
                </w:tcPr>
                <w:p w14:paraId="751F656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p w14:paraId="681A6D8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p w14:paraId="0B6136B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p w14:paraId="057DC56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p w14:paraId="2DD493B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p w14:paraId="7FDFD87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p w14:paraId="591D08F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p w14:paraId="0B8A772F">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6627F35C">
              <w:tblPrEx>
                <w:tblBorders>
                  <w:top w:val="single" w:color="000000" w:sz="4" w:space="0"/>
                  <w:left w:val="single" w:color="000000" w:sz="4" w:space="0"/>
                  <w:bottom w:val="single"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6" w:type="pct"/>
                  <w:tcBorders>
                    <w:tl2br w:val="nil"/>
                    <w:tr2bl w:val="nil"/>
                  </w:tcBorders>
                  <w:vAlign w:val="center"/>
                </w:tcPr>
                <w:p w14:paraId="1C9C897B">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资源</w:t>
                  </w:r>
                  <w:r>
                    <w:rPr>
                      <w:rFonts w:hint="default" w:ascii="Times New Roman" w:hAnsi="Times New Roman" w:cs="Times New Roman"/>
                      <w:color w:val="auto"/>
                      <w:spacing w:val="4"/>
                      <w:sz w:val="21"/>
                      <w:szCs w:val="21"/>
                      <w:highlight w:val="none"/>
                    </w:rPr>
                    <w:t>开发</w:t>
                  </w:r>
                  <w:r>
                    <w:rPr>
                      <w:rFonts w:hint="default" w:ascii="Times New Roman" w:hAnsi="Times New Roman" w:cs="Times New Roman"/>
                      <w:color w:val="auto"/>
                      <w:spacing w:val="2"/>
                      <w:sz w:val="21"/>
                      <w:szCs w:val="21"/>
                      <w:highlight w:val="none"/>
                    </w:rPr>
                    <w:t>效率</w:t>
                  </w:r>
                </w:p>
                <w:p w14:paraId="5B96EA98">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要求</w:t>
                  </w:r>
                </w:p>
              </w:tc>
              <w:tc>
                <w:tcPr>
                  <w:tcW w:w="2803" w:type="pct"/>
                  <w:tcBorders>
                    <w:tl2br w:val="nil"/>
                    <w:tr2bl w:val="nil"/>
                  </w:tcBorders>
                  <w:vAlign w:val="center"/>
                </w:tcPr>
                <w:p w14:paraId="6902B02F">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pacing w:val="7"/>
                      <w:sz w:val="21"/>
                      <w:szCs w:val="21"/>
                      <w:highlight w:val="none"/>
                    </w:rPr>
                    <w:t>196</w:t>
                  </w:r>
                  <w:r>
                    <w:rPr>
                      <w:rFonts w:hint="default" w:ascii="Times New Roman" w:hAnsi="Times New Roman" w:eastAsia="宋体" w:cs="Times New Roman"/>
                      <w:color w:val="auto"/>
                      <w:spacing w:val="7"/>
                      <w:sz w:val="21"/>
                      <w:szCs w:val="21"/>
                      <w:highlight w:val="none"/>
                      <w:lang w:eastAsia="zh-CN"/>
                    </w:rPr>
                    <w:t>、</w:t>
                  </w:r>
                  <w:r>
                    <w:rPr>
                      <w:rFonts w:hint="default" w:ascii="Times New Roman" w:hAnsi="Times New Roman" w:cs="Times New Roman"/>
                      <w:color w:val="auto"/>
                      <w:spacing w:val="7"/>
                      <w:sz w:val="21"/>
                      <w:szCs w:val="21"/>
                      <w:highlight w:val="none"/>
                    </w:rPr>
                    <w:t>在禁燃区内的企业事业单位和其他生产经营者，应当在规定的期限内停止使用高污染燃</w:t>
                  </w:r>
                  <w:r>
                    <w:rPr>
                      <w:rFonts w:hint="default" w:ascii="Times New Roman" w:hAnsi="Times New Roman" w:cs="Times New Roman"/>
                      <w:color w:val="auto"/>
                      <w:spacing w:val="6"/>
                      <w:sz w:val="21"/>
                      <w:szCs w:val="21"/>
                      <w:highlight w:val="none"/>
                    </w:rPr>
                    <w:t>料，</w:t>
                  </w:r>
                  <w:r>
                    <w:rPr>
                      <w:rFonts w:hint="default" w:ascii="Times New Roman" w:hAnsi="Times New Roman" w:cs="Times New Roman"/>
                      <w:color w:val="auto"/>
                      <w:spacing w:val="7"/>
                      <w:sz w:val="21"/>
                      <w:szCs w:val="21"/>
                      <w:highlight w:val="none"/>
                    </w:rPr>
                    <w:t>改用天然气、液化石油气、</w:t>
                  </w:r>
                  <w:r>
                    <w:rPr>
                      <w:rFonts w:hint="default" w:ascii="Times New Roman" w:hAnsi="Times New Roman" w:cs="Times New Roman"/>
                      <w:color w:val="auto"/>
                      <w:spacing w:val="-55"/>
                      <w:sz w:val="21"/>
                      <w:szCs w:val="21"/>
                      <w:highlight w:val="none"/>
                    </w:rPr>
                    <w:t xml:space="preserve"> </w:t>
                  </w:r>
                  <w:r>
                    <w:rPr>
                      <w:rFonts w:hint="default" w:ascii="Times New Roman" w:hAnsi="Times New Roman" w:cs="Times New Roman"/>
                      <w:color w:val="auto"/>
                      <w:spacing w:val="7"/>
                      <w:sz w:val="21"/>
                      <w:szCs w:val="21"/>
                      <w:highlight w:val="none"/>
                    </w:rPr>
                    <w:t>电能或者其他清洁能</w:t>
                  </w:r>
                  <w:r>
                    <w:rPr>
                      <w:rFonts w:hint="default" w:ascii="Times New Roman" w:hAnsi="Times New Roman" w:cs="Times New Roman"/>
                      <w:color w:val="auto"/>
                      <w:sz w:val="21"/>
                      <w:szCs w:val="21"/>
                      <w:highlight w:val="none"/>
                    </w:rPr>
                    <w:t>源。</w:t>
                  </w:r>
                </w:p>
                <w:p w14:paraId="7B05BCA2">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pacing w:val="8"/>
                      <w:sz w:val="21"/>
                      <w:szCs w:val="21"/>
                      <w:highlight w:val="none"/>
                    </w:rPr>
                    <w:t>63</w:t>
                  </w:r>
                  <w:r>
                    <w:rPr>
                      <w:rFonts w:hint="default" w:ascii="Times New Roman" w:hAnsi="Times New Roman" w:eastAsia="宋体" w:cs="Times New Roman"/>
                      <w:color w:val="auto"/>
                      <w:spacing w:val="8"/>
                      <w:sz w:val="21"/>
                      <w:szCs w:val="21"/>
                      <w:highlight w:val="none"/>
                      <w:lang w:eastAsia="zh-CN"/>
                    </w:rPr>
                    <w:t>、</w:t>
                  </w:r>
                  <w:r>
                    <w:rPr>
                      <w:rFonts w:hint="default" w:ascii="Times New Roman" w:hAnsi="Times New Roman" w:cs="Times New Roman"/>
                      <w:color w:val="auto"/>
                      <w:spacing w:val="8"/>
                      <w:sz w:val="21"/>
                      <w:szCs w:val="21"/>
                      <w:highlight w:val="none"/>
                    </w:rPr>
                    <w:t>在禁燃区内，禁止销售、燃用高污染燃料；禁</w:t>
                  </w:r>
                  <w:r>
                    <w:rPr>
                      <w:rFonts w:hint="default" w:ascii="Times New Roman" w:hAnsi="Times New Roman" w:cs="Times New Roman"/>
                      <w:color w:val="auto"/>
                      <w:spacing w:val="6"/>
                      <w:sz w:val="21"/>
                      <w:szCs w:val="21"/>
                      <w:highlight w:val="none"/>
                    </w:rPr>
                    <w:t>止新建、扩建燃用高污染燃料的设施，已建成的，</w:t>
                  </w:r>
                  <w:r>
                    <w:rPr>
                      <w:rFonts w:hint="default" w:ascii="Times New Roman" w:hAnsi="Times New Roman" w:cs="Times New Roman"/>
                      <w:color w:val="auto"/>
                      <w:spacing w:val="9"/>
                      <w:sz w:val="21"/>
                      <w:szCs w:val="21"/>
                      <w:highlight w:val="none"/>
                    </w:rPr>
                    <w:t>应当在各区政府（含市高新区管委会、市经开区管委会）规定的期限内改用天然气、页岩气、液</w:t>
                  </w:r>
                  <w:r>
                    <w:rPr>
                      <w:rFonts w:hint="default" w:ascii="Times New Roman" w:hAnsi="Times New Roman" w:cs="Times New Roman"/>
                      <w:color w:val="auto"/>
                      <w:spacing w:val="8"/>
                      <w:sz w:val="21"/>
                      <w:szCs w:val="21"/>
                      <w:highlight w:val="none"/>
                    </w:rPr>
                    <w:t>化石油气、电或者其他清洁能源。</w:t>
                  </w:r>
                </w:p>
              </w:tc>
              <w:tc>
                <w:tcPr>
                  <w:tcW w:w="1264" w:type="pct"/>
                  <w:tcBorders>
                    <w:tl2br w:val="nil"/>
                    <w:tr2bl w:val="nil"/>
                  </w:tcBorders>
                  <w:vAlign w:val="center"/>
                </w:tcPr>
                <w:p w14:paraId="02E4514A">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9"/>
                      <w:sz w:val="21"/>
                      <w:szCs w:val="21"/>
                      <w:highlight w:val="none"/>
                    </w:rPr>
                    <w:t>本项目使用</w:t>
                  </w:r>
                  <w:r>
                    <w:rPr>
                      <w:rFonts w:hint="default" w:ascii="Times New Roman" w:hAnsi="Times New Roman" w:cs="Times New Roman"/>
                      <w:color w:val="auto"/>
                      <w:spacing w:val="5"/>
                      <w:sz w:val="21"/>
                      <w:szCs w:val="21"/>
                      <w:highlight w:val="none"/>
                    </w:rPr>
                    <w:t>清洁能源</w:t>
                  </w:r>
                  <w:r>
                    <w:rPr>
                      <w:rFonts w:hint="default" w:ascii="Times New Roman" w:hAnsi="Times New Roman" w:cs="Times New Roman"/>
                      <w:color w:val="auto"/>
                      <w:spacing w:val="9"/>
                      <w:sz w:val="21"/>
                      <w:szCs w:val="21"/>
                      <w:highlight w:val="none"/>
                    </w:rPr>
                    <w:t>电</w:t>
                  </w:r>
                  <w:r>
                    <w:rPr>
                      <w:rFonts w:hint="default" w:ascii="Times New Roman" w:hAnsi="Times New Roman" w:cs="Times New Roman"/>
                      <w:color w:val="auto"/>
                      <w:spacing w:val="5"/>
                      <w:sz w:val="21"/>
                      <w:szCs w:val="21"/>
                      <w:highlight w:val="none"/>
                    </w:rPr>
                    <w:t>能</w:t>
                  </w:r>
                </w:p>
              </w:tc>
              <w:tc>
                <w:tcPr>
                  <w:tcW w:w="375" w:type="pct"/>
                  <w:tcBorders>
                    <w:tl2br w:val="nil"/>
                    <w:tr2bl w:val="nil"/>
                  </w:tcBorders>
                  <w:vAlign w:val="center"/>
                </w:tcPr>
                <w:p w14:paraId="7CACB4EB">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bl>
          <w:p w14:paraId="19686A6D">
            <w:pPr>
              <w:pStyle w:val="8"/>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firstLine="0" w:firstLineChars="0"/>
              <w:jc w:val="center"/>
              <w:textAlignment w:val="auto"/>
              <w:rPr>
                <w:rFonts w:hint="default"/>
                <w:color w:val="auto"/>
                <w:szCs w:val="22"/>
                <w:highlight w:val="none"/>
                <w:lang w:val="en-US"/>
              </w:rPr>
            </w:pPr>
            <w:r>
              <w:rPr>
                <w:b/>
                <w:color w:val="auto"/>
                <w:sz w:val="21"/>
                <w:szCs w:val="21"/>
                <w:highlight w:val="none"/>
              </w:rPr>
              <w:t>表</w:t>
            </w:r>
            <w:r>
              <w:rPr>
                <w:rFonts w:hint="eastAsia"/>
                <w:b/>
                <w:color w:val="auto"/>
                <w:sz w:val="21"/>
                <w:szCs w:val="21"/>
                <w:highlight w:val="none"/>
                <w:lang w:val="en-US" w:eastAsia="zh-CN"/>
              </w:rPr>
              <w:t>1-8</w:t>
            </w:r>
            <w:r>
              <w:rPr>
                <w:rFonts w:hint="eastAsia"/>
                <w:b/>
                <w:color w:val="auto"/>
                <w:sz w:val="21"/>
                <w:szCs w:val="21"/>
                <w:highlight w:val="none"/>
              </w:rPr>
              <w:t xml:space="preserve">  </w:t>
            </w:r>
            <w:r>
              <w:rPr>
                <w:rFonts w:hint="eastAsia"/>
                <w:b/>
                <w:color w:val="auto"/>
                <w:sz w:val="21"/>
                <w:szCs w:val="21"/>
                <w:highlight w:val="none"/>
                <w:lang w:val="en-US" w:eastAsia="zh-CN"/>
              </w:rPr>
              <w:t>五河经济开发区</w:t>
            </w:r>
            <w:r>
              <w:rPr>
                <w:rFonts w:hint="eastAsia" w:cs="Times New Roman"/>
                <w:b/>
                <w:color w:val="auto"/>
                <w:sz w:val="21"/>
                <w:szCs w:val="21"/>
                <w:highlight w:val="none"/>
                <w:lang w:val="en-US" w:eastAsia="zh-CN"/>
              </w:rPr>
              <w:t>产业准入指导清单（摘录）</w:t>
            </w:r>
          </w:p>
          <w:tbl>
            <w:tblPr>
              <w:tblStyle w:val="323"/>
              <w:tblW w:w="4999" w:type="pct"/>
              <w:tblInd w:w="0" w:type="dxa"/>
              <w:tblBorders>
                <w:top w:val="single" w:color="000000" w:sz="4" w:space="0"/>
                <w:left w:val="single" w:color="000000" w:sz="4" w:space="0"/>
                <w:bottom w:val="single" w:color="000000" w:sz="6"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7"/>
              <w:gridCol w:w="1968"/>
              <w:gridCol w:w="2648"/>
              <w:gridCol w:w="1442"/>
            </w:tblGrid>
            <w:tr w14:paraId="04785F62">
              <w:tblPrEx>
                <w:tblBorders>
                  <w:top w:val="single" w:color="000000" w:sz="4" w:space="0"/>
                  <w:left w:val="single" w:color="000000" w:sz="4" w:space="0"/>
                  <w:bottom w:val="single"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8" w:type="pct"/>
                  <w:tcBorders>
                    <w:tl2br w:val="nil"/>
                    <w:tr2bl w:val="nil"/>
                  </w:tcBorders>
                  <w:vAlign w:val="center"/>
                </w:tcPr>
                <w:p w14:paraId="7DCCFFC5">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
                      <w:bCs/>
                      <w:color w:val="auto"/>
                      <w:spacing w:val="4"/>
                      <w:sz w:val="21"/>
                      <w:szCs w:val="21"/>
                      <w:highlight w:val="none"/>
                    </w:rPr>
                  </w:pPr>
                  <w:r>
                    <w:rPr>
                      <w:rFonts w:hint="eastAsia" w:ascii="Times New Roman" w:hAnsi="Times New Roman" w:cs="Times New Roman"/>
                      <w:b/>
                      <w:bCs/>
                      <w:color w:val="auto"/>
                      <w:spacing w:val="4"/>
                      <w:sz w:val="21"/>
                      <w:szCs w:val="21"/>
                      <w:highlight w:val="none"/>
                      <w:lang w:val="en-US" w:eastAsia="zh-CN"/>
                    </w:rPr>
                    <w:t>类别</w:t>
                  </w:r>
                </w:p>
              </w:tc>
              <w:tc>
                <w:tcPr>
                  <w:tcW w:w="3285" w:type="pct"/>
                  <w:gridSpan w:val="2"/>
                  <w:tcBorders>
                    <w:tl2br w:val="nil"/>
                    <w:tr2bl w:val="nil"/>
                  </w:tcBorders>
                  <w:vAlign w:val="center"/>
                </w:tcPr>
                <w:p w14:paraId="471B7F6B">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
                      <w:bCs/>
                      <w:color w:val="auto"/>
                      <w:spacing w:val="4"/>
                      <w:sz w:val="21"/>
                      <w:szCs w:val="21"/>
                      <w:highlight w:val="none"/>
                    </w:rPr>
                  </w:pPr>
                  <w:r>
                    <w:rPr>
                      <w:rFonts w:hint="eastAsia" w:ascii="Times New Roman" w:hAnsi="Times New Roman" w:cs="Times New Roman"/>
                      <w:b/>
                      <w:bCs/>
                      <w:color w:val="auto"/>
                      <w:spacing w:val="4"/>
                      <w:sz w:val="21"/>
                      <w:szCs w:val="21"/>
                      <w:highlight w:val="none"/>
                      <w:lang w:val="en-US" w:eastAsia="zh-CN"/>
                    </w:rPr>
                    <w:t>《国民经济行业分类（</w:t>
                  </w:r>
                  <w:r>
                    <w:rPr>
                      <w:rFonts w:hint="default" w:ascii="Times New Roman" w:hAnsi="Times New Roman" w:cs="Times New Roman"/>
                      <w:b/>
                      <w:bCs/>
                      <w:color w:val="auto"/>
                      <w:spacing w:val="4"/>
                      <w:sz w:val="21"/>
                      <w:szCs w:val="21"/>
                      <w:highlight w:val="none"/>
                      <w:lang w:val="en-US" w:eastAsia="zh-CN"/>
                    </w:rPr>
                    <w:t>GB/T4754-2017</w:t>
                  </w:r>
                  <w:r>
                    <w:rPr>
                      <w:rFonts w:hint="eastAsia" w:ascii="Times New Roman" w:hAnsi="Times New Roman" w:cs="Times New Roman"/>
                      <w:b/>
                      <w:bCs/>
                      <w:color w:val="auto"/>
                      <w:spacing w:val="4"/>
                      <w:sz w:val="21"/>
                      <w:szCs w:val="21"/>
                      <w:highlight w:val="none"/>
                      <w:lang w:val="en-US" w:eastAsia="zh-CN"/>
                    </w:rPr>
                    <w:t>）》及国家标准</w:t>
                  </w:r>
                  <w:r>
                    <w:rPr>
                      <w:rFonts w:hint="default" w:ascii="Times New Roman" w:hAnsi="Times New Roman" w:cs="Times New Roman"/>
                      <w:b/>
                      <w:bCs/>
                      <w:color w:val="auto"/>
                      <w:spacing w:val="4"/>
                      <w:sz w:val="21"/>
                      <w:szCs w:val="21"/>
                      <w:highlight w:val="none"/>
                      <w:lang w:val="en-US" w:eastAsia="zh-CN"/>
                    </w:rPr>
                    <w:t>1</w:t>
                  </w:r>
                  <w:r>
                    <w:rPr>
                      <w:rFonts w:hint="eastAsia" w:ascii="Times New Roman" w:hAnsi="Times New Roman" w:cs="Times New Roman"/>
                      <w:b/>
                      <w:bCs/>
                      <w:color w:val="auto"/>
                      <w:spacing w:val="4"/>
                      <w:sz w:val="21"/>
                      <w:szCs w:val="21"/>
                      <w:highlight w:val="none"/>
                      <w:lang w:val="en-US" w:eastAsia="zh-CN"/>
                    </w:rPr>
                    <w:t>号修改单中行业类别</w:t>
                  </w:r>
                </w:p>
              </w:tc>
              <w:tc>
                <w:tcPr>
                  <w:tcW w:w="1026" w:type="pct"/>
                  <w:tcBorders>
                    <w:tl2br w:val="nil"/>
                    <w:tr2bl w:val="nil"/>
                  </w:tcBorders>
                  <w:vAlign w:val="center"/>
                </w:tcPr>
                <w:p w14:paraId="1C92C918">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
                      <w:bCs/>
                      <w:color w:val="auto"/>
                      <w:spacing w:val="4"/>
                      <w:sz w:val="21"/>
                      <w:szCs w:val="21"/>
                      <w:highlight w:val="none"/>
                      <w:lang w:val="en-US" w:eastAsia="zh-CN"/>
                    </w:rPr>
                  </w:pPr>
                  <w:r>
                    <w:rPr>
                      <w:rFonts w:hint="eastAsia" w:ascii="Times New Roman" w:hAnsi="Times New Roman" w:cs="Times New Roman"/>
                      <w:b/>
                      <w:bCs/>
                      <w:color w:val="auto"/>
                      <w:spacing w:val="4"/>
                      <w:sz w:val="21"/>
                      <w:szCs w:val="21"/>
                      <w:highlight w:val="none"/>
                      <w:lang w:val="en-US" w:eastAsia="zh-CN"/>
                    </w:rPr>
                    <w:t>准入程度</w:t>
                  </w:r>
                </w:p>
              </w:tc>
            </w:tr>
            <w:tr w14:paraId="15EB280C">
              <w:tblPrEx>
                <w:tblBorders>
                  <w:top w:val="single" w:color="000000" w:sz="4" w:space="0"/>
                  <w:left w:val="single" w:color="000000" w:sz="4" w:space="0"/>
                  <w:bottom w:val="single"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8" w:type="pct"/>
                  <w:vMerge w:val="restart"/>
                  <w:tcBorders>
                    <w:tl2br w:val="nil"/>
                    <w:tr2bl w:val="nil"/>
                  </w:tcBorders>
                  <w:vAlign w:val="center"/>
                </w:tcPr>
                <w:p w14:paraId="6F52CD25">
                  <w:pPr>
                    <w:keepNext w:val="0"/>
                    <w:keepLines w:val="0"/>
                    <w:widowControl/>
                    <w:suppressLineNumbers w:val="0"/>
                    <w:jc w:val="center"/>
                    <w:rPr>
                      <w:rFonts w:hint="default" w:ascii="Times New Roman" w:hAnsi="Times New Roman" w:cs="Times New Roman"/>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轻纺及纺织服装业</w:t>
                  </w:r>
                </w:p>
              </w:tc>
              <w:tc>
                <w:tcPr>
                  <w:tcW w:w="1401" w:type="pct"/>
                  <w:tcBorders>
                    <w:right w:val="single" w:color="auto" w:sz="4" w:space="0"/>
                    <w:tl2br w:val="nil"/>
                    <w:tr2bl w:val="nil"/>
                  </w:tcBorders>
                  <w:vAlign w:val="center"/>
                </w:tcPr>
                <w:p w14:paraId="32F03DB8">
                  <w:pPr>
                    <w:keepNext w:val="0"/>
                    <w:keepLines w:val="0"/>
                    <w:widowControl/>
                    <w:suppressLineNumbers w:val="0"/>
                    <w:jc w:val="center"/>
                    <w:rPr>
                      <w:rFonts w:hint="default" w:cs="Times New Roman"/>
                      <w:color w:val="auto"/>
                      <w:kern w:val="0"/>
                      <w:sz w:val="20"/>
                      <w:szCs w:val="20"/>
                      <w:highlight w:val="none"/>
                      <w:lang w:val="en-US" w:eastAsia="zh-CN" w:bidi="ar"/>
                    </w:rPr>
                  </w:pPr>
                  <w:r>
                    <w:rPr>
                      <w:rFonts w:hint="eastAsia" w:cs="Times New Roman"/>
                      <w:color w:val="auto"/>
                      <w:kern w:val="0"/>
                      <w:sz w:val="20"/>
                      <w:szCs w:val="20"/>
                      <w:highlight w:val="none"/>
                      <w:lang w:val="en-US" w:eastAsia="zh-CN" w:bidi="ar"/>
                    </w:rPr>
                    <w:t>C181机织服装制造</w:t>
                  </w:r>
                </w:p>
              </w:tc>
              <w:tc>
                <w:tcPr>
                  <w:tcW w:w="1884" w:type="pct"/>
                  <w:tcBorders>
                    <w:left w:val="single" w:color="auto" w:sz="4" w:space="0"/>
                    <w:tl2br w:val="nil"/>
                    <w:tr2bl w:val="nil"/>
                  </w:tcBorders>
                  <w:shd w:val="clear" w:color="auto" w:fill="auto"/>
                  <w:vAlign w:val="center"/>
                </w:tcPr>
                <w:p w14:paraId="18C881A1">
                  <w:pPr>
                    <w:keepNext w:val="0"/>
                    <w:keepLines w:val="0"/>
                    <w:widowControl/>
                    <w:suppressLineNumbers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cs="宋体"/>
                      <w:color w:val="auto"/>
                      <w:kern w:val="0"/>
                      <w:sz w:val="20"/>
                      <w:szCs w:val="20"/>
                      <w:highlight w:val="none"/>
                      <w:lang w:val="en-US" w:eastAsia="zh-CN" w:bidi="ar"/>
                    </w:rPr>
                    <w:t>符</w:t>
                  </w:r>
                  <w:r>
                    <w:rPr>
                      <w:rFonts w:hint="eastAsia" w:ascii="宋体" w:hAnsi="宋体" w:eastAsia="宋体" w:cs="宋体"/>
                      <w:color w:val="auto"/>
                      <w:kern w:val="0"/>
                      <w:sz w:val="20"/>
                      <w:szCs w:val="20"/>
                      <w:highlight w:val="none"/>
                      <w:lang w:val="en-US" w:eastAsia="zh-CN" w:bidi="ar"/>
                    </w:rPr>
                    <w:t>合产业政策和清洁生产要求</w:t>
                  </w:r>
                </w:p>
              </w:tc>
              <w:tc>
                <w:tcPr>
                  <w:tcW w:w="1026" w:type="pct"/>
                  <w:tcBorders>
                    <w:tl2br w:val="nil"/>
                    <w:tr2bl w:val="nil"/>
                  </w:tcBorders>
                  <w:shd w:val="clear" w:color="auto" w:fill="auto"/>
                  <w:vAlign w:val="center"/>
                </w:tcPr>
                <w:p w14:paraId="5BAA2BA9">
                  <w:pPr>
                    <w:pStyle w:val="35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优先进入</w:t>
                  </w:r>
                </w:p>
              </w:tc>
            </w:tr>
            <w:tr w14:paraId="5B7F247F">
              <w:tblPrEx>
                <w:tblBorders>
                  <w:top w:val="single" w:color="000000" w:sz="4" w:space="0"/>
                  <w:left w:val="single" w:color="000000" w:sz="4" w:space="0"/>
                  <w:bottom w:val="single"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8" w:type="pct"/>
                  <w:vMerge w:val="continue"/>
                  <w:tcBorders>
                    <w:tl2br w:val="nil"/>
                    <w:tr2bl w:val="nil"/>
                  </w:tcBorders>
                  <w:vAlign w:val="center"/>
                </w:tcPr>
                <w:p w14:paraId="2139B42D">
                  <w:pPr>
                    <w:keepNext w:val="0"/>
                    <w:keepLines w:val="0"/>
                    <w:widowControl/>
                    <w:suppressLineNumbers w:val="0"/>
                    <w:jc w:val="center"/>
                    <w:rPr>
                      <w:rFonts w:hint="default" w:ascii="Times New Roman" w:hAnsi="Times New Roman" w:cs="Times New Roman"/>
                      <w:color w:val="auto"/>
                      <w:sz w:val="21"/>
                      <w:szCs w:val="21"/>
                      <w:highlight w:val="none"/>
                      <w:lang w:val="en-US"/>
                    </w:rPr>
                  </w:pPr>
                </w:p>
              </w:tc>
              <w:tc>
                <w:tcPr>
                  <w:tcW w:w="1401" w:type="pct"/>
                  <w:tcBorders>
                    <w:right w:val="single" w:color="auto" w:sz="4" w:space="0"/>
                    <w:tl2br w:val="nil"/>
                    <w:tr2bl w:val="nil"/>
                  </w:tcBorders>
                  <w:vAlign w:val="center"/>
                </w:tcPr>
                <w:p w14:paraId="2A3A3FF0">
                  <w:pPr>
                    <w:keepNext w:val="0"/>
                    <w:keepLines w:val="0"/>
                    <w:widowControl/>
                    <w:suppressLineNumbers w:val="0"/>
                    <w:jc w:val="center"/>
                    <w:rPr>
                      <w:rFonts w:hint="default" w:ascii="Times New Roman" w:hAnsi="Times New Roman" w:cs="Times New Roman"/>
                      <w:color w:val="auto"/>
                      <w:sz w:val="21"/>
                      <w:szCs w:val="21"/>
                      <w:highlight w:val="none"/>
                      <w:lang w:val="en-US"/>
                    </w:rPr>
                  </w:pPr>
                  <w:r>
                    <w:rPr>
                      <w:rFonts w:hint="eastAsia" w:cs="Times New Roman"/>
                      <w:color w:val="auto"/>
                      <w:kern w:val="0"/>
                      <w:sz w:val="20"/>
                      <w:szCs w:val="20"/>
                      <w:highlight w:val="none"/>
                      <w:lang w:val="en-US" w:eastAsia="zh-CN" w:bidi="ar"/>
                    </w:rPr>
                    <w:t>C195制鞋业</w:t>
                  </w:r>
                </w:p>
              </w:tc>
              <w:tc>
                <w:tcPr>
                  <w:tcW w:w="1884" w:type="pct"/>
                  <w:tcBorders>
                    <w:left w:val="single" w:color="auto" w:sz="4" w:space="0"/>
                    <w:tl2br w:val="nil"/>
                    <w:tr2bl w:val="nil"/>
                  </w:tcBorders>
                  <w:vAlign w:val="center"/>
                </w:tcPr>
                <w:p w14:paraId="5799F675">
                  <w:pPr>
                    <w:keepNext w:val="0"/>
                    <w:keepLines w:val="0"/>
                    <w:widowControl/>
                    <w:suppressLineNumbers w:val="0"/>
                    <w:jc w:val="center"/>
                    <w:rPr>
                      <w:rFonts w:hint="default" w:ascii="Times New Roman" w:hAnsi="Times New Roman" w:cs="Times New Roman"/>
                      <w:color w:val="auto"/>
                      <w:sz w:val="21"/>
                      <w:szCs w:val="21"/>
                      <w:highlight w:val="none"/>
                    </w:rPr>
                  </w:pPr>
                  <w:r>
                    <w:rPr>
                      <w:rFonts w:hint="eastAsia" w:ascii="宋体" w:hAnsi="宋体" w:cs="宋体"/>
                      <w:color w:val="auto"/>
                      <w:kern w:val="0"/>
                      <w:sz w:val="20"/>
                      <w:szCs w:val="20"/>
                      <w:highlight w:val="none"/>
                      <w:lang w:val="en-US" w:eastAsia="zh-CN" w:bidi="ar"/>
                    </w:rPr>
                    <w:t>符</w:t>
                  </w:r>
                  <w:r>
                    <w:rPr>
                      <w:rFonts w:hint="eastAsia" w:ascii="宋体" w:hAnsi="宋体" w:eastAsia="宋体" w:cs="宋体"/>
                      <w:color w:val="auto"/>
                      <w:kern w:val="0"/>
                      <w:sz w:val="20"/>
                      <w:szCs w:val="20"/>
                      <w:highlight w:val="none"/>
                      <w:lang w:val="en-US" w:eastAsia="zh-CN" w:bidi="ar"/>
                    </w:rPr>
                    <w:t>合产业政策和清洁生产要求</w:t>
                  </w:r>
                </w:p>
              </w:tc>
              <w:tc>
                <w:tcPr>
                  <w:tcW w:w="1026" w:type="pct"/>
                  <w:tcBorders>
                    <w:tl2br w:val="nil"/>
                    <w:tr2bl w:val="nil"/>
                  </w:tcBorders>
                  <w:vAlign w:val="center"/>
                </w:tcPr>
                <w:p w14:paraId="1AF6B9AC">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允许进入</w:t>
                  </w:r>
                </w:p>
              </w:tc>
            </w:tr>
          </w:tbl>
          <w:p w14:paraId="19D99E46">
            <w:pPr>
              <w:pStyle w:val="356"/>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0"/>
              <w:textAlignment w:val="auto"/>
              <w:rPr>
                <w:rFonts w:ascii="Times New Roman" w:hAnsi="Times New Roman" w:eastAsia="宋体" w:cs="Times New Roman"/>
                <w:b/>
                <w:bCs/>
                <w:color w:val="auto"/>
                <w:kern w:val="2"/>
                <w:sz w:val="24"/>
                <w:szCs w:val="20"/>
                <w:highlight w:val="none"/>
                <w:lang w:val="en-US" w:eastAsia="zh-CN" w:bidi="ar-SA"/>
              </w:rPr>
            </w:pPr>
            <w:r>
              <w:rPr>
                <w:rFonts w:ascii="Times New Roman" w:hAnsi="Times New Roman" w:eastAsia="宋体" w:cs="Times New Roman"/>
                <w:b/>
                <w:bCs/>
                <w:color w:val="auto"/>
                <w:kern w:val="2"/>
                <w:sz w:val="24"/>
                <w:szCs w:val="20"/>
                <w:highlight w:val="none"/>
                <w:lang w:val="en-US" w:eastAsia="zh-CN" w:bidi="ar-SA"/>
              </w:rPr>
              <w:t>4、与安徽省人民政府关于印发《安徽省空气质量持续改善行动方案》（皖政〔2024〕36 号）的相符性</w:t>
            </w:r>
          </w:p>
          <w:p w14:paraId="1364B4F6">
            <w:pPr>
              <w:pStyle w:val="3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ascii="Times New Roman" w:hAnsi="Times New Roman" w:eastAsia="宋体" w:cs="Times New Roman"/>
                <w:color w:val="auto"/>
                <w:kern w:val="2"/>
                <w:sz w:val="24"/>
                <w:szCs w:val="20"/>
                <w:highlight w:val="none"/>
                <w:lang w:val="en-US" w:eastAsia="zh-CN" w:bidi="ar-SA"/>
              </w:rPr>
            </w:pPr>
            <w:r>
              <w:rPr>
                <w:rFonts w:ascii="Times New Roman" w:hAnsi="Times New Roman" w:eastAsia="宋体" w:cs="Times New Roman"/>
                <w:color w:val="auto"/>
                <w:kern w:val="2"/>
                <w:sz w:val="24"/>
                <w:szCs w:val="20"/>
                <w:highlight w:val="none"/>
                <w:lang w:val="en-US" w:eastAsia="zh-CN" w:bidi="ar-SA"/>
              </w:rPr>
              <w:t>项目与《安徽省空气质量持续改善行动方案》相符性分析内容，具体见下表。</w:t>
            </w:r>
          </w:p>
          <w:p w14:paraId="3730B211">
            <w:pPr>
              <w:pStyle w:val="3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ascii="Times New Roman" w:hAnsi="Times New Roman" w:eastAsia="宋体" w:cs="Times New Roman"/>
                <w:b/>
                <w:color w:val="auto"/>
                <w:kern w:val="2"/>
                <w:sz w:val="21"/>
                <w:szCs w:val="21"/>
                <w:highlight w:val="none"/>
                <w:lang w:val="en-US" w:eastAsia="zh-CN" w:bidi="ar-SA"/>
              </w:rPr>
            </w:pPr>
            <w:r>
              <w:rPr>
                <w:rFonts w:ascii="Times New Roman" w:hAnsi="Times New Roman" w:eastAsia="宋体" w:cs="Times New Roman"/>
                <w:b/>
                <w:color w:val="auto"/>
                <w:kern w:val="2"/>
                <w:sz w:val="21"/>
                <w:szCs w:val="21"/>
                <w:highlight w:val="none"/>
                <w:lang w:val="en-US" w:eastAsia="zh-CN" w:bidi="ar-SA"/>
              </w:rPr>
              <w:t>表1-</w:t>
            </w:r>
            <w:r>
              <w:rPr>
                <w:rFonts w:hint="eastAsia" w:ascii="Times New Roman" w:hAnsi="Times New Roman" w:cs="Times New Roman"/>
                <w:b/>
                <w:color w:val="auto"/>
                <w:kern w:val="2"/>
                <w:sz w:val="21"/>
                <w:szCs w:val="21"/>
                <w:highlight w:val="none"/>
                <w:lang w:val="en-US" w:eastAsia="zh-CN" w:bidi="ar-SA"/>
              </w:rPr>
              <w:t>9</w:t>
            </w:r>
            <w:r>
              <w:rPr>
                <w:rFonts w:ascii="Times New Roman" w:hAnsi="Times New Roman" w:eastAsia="宋体" w:cs="Times New Roman"/>
                <w:b/>
                <w:color w:val="auto"/>
                <w:kern w:val="2"/>
                <w:sz w:val="21"/>
                <w:szCs w:val="21"/>
                <w:highlight w:val="none"/>
                <w:lang w:val="en-US" w:eastAsia="zh-CN" w:bidi="ar-SA"/>
              </w:rPr>
              <w:t xml:space="preserve">  与《安徽省空气质量持续改善行动方案》相符性分析</w:t>
            </w:r>
          </w:p>
          <w:tbl>
            <w:tblPr>
              <w:tblStyle w:val="323"/>
              <w:tblW w:w="4989"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3132"/>
              <w:gridCol w:w="2484"/>
              <w:gridCol w:w="714"/>
            </w:tblGrid>
            <w:tr w14:paraId="5BEA0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486" w:type="pct"/>
                  <w:tcBorders>
                    <w:tl2br w:val="nil"/>
                    <w:tr2bl w:val="nil"/>
                  </w:tcBorders>
                  <w:vAlign w:val="center"/>
                </w:tcPr>
                <w:p w14:paraId="6ECE79DD">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pacing w:val="4"/>
                      <w:sz w:val="21"/>
                      <w:szCs w:val="21"/>
                      <w:highlight w:val="none"/>
                    </w:rPr>
                    <w:t>序号</w:t>
                  </w:r>
                </w:p>
              </w:tc>
              <w:tc>
                <w:tcPr>
                  <w:tcW w:w="2233" w:type="pct"/>
                  <w:tcBorders>
                    <w:tl2br w:val="nil"/>
                    <w:tr2bl w:val="nil"/>
                  </w:tcBorders>
                  <w:vAlign w:val="center"/>
                </w:tcPr>
                <w:p w14:paraId="2B111616">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pacing w:val="6"/>
                      <w:sz w:val="21"/>
                      <w:szCs w:val="21"/>
                      <w:highlight w:val="none"/>
                    </w:rPr>
                    <w:t>方案要求</w:t>
                  </w:r>
                </w:p>
              </w:tc>
              <w:tc>
                <w:tcPr>
                  <w:tcW w:w="1771" w:type="pct"/>
                  <w:tcBorders>
                    <w:tl2br w:val="nil"/>
                    <w:tr2bl w:val="nil"/>
                  </w:tcBorders>
                  <w:vAlign w:val="center"/>
                </w:tcPr>
                <w:p w14:paraId="55D8E643">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pacing w:val="5"/>
                      <w:sz w:val="21"/>
                      <w:szCs w:val="21"/>
                      <w:highlight w:val="none"/>
                    </w:rPr>
                    <w:t>项目情况</w:t>
                  </w:r>
                </w:p>
              </w:tc>
              <w:tc>
                <w:tcPr>
                  <w:tcW w:w="508" w:type="pct"/>
                  <w:tcBorders>
                    <w:tl2br w:val="nil"/>
                    <w:tr2bl w:val="nil"/>
                  </w:tcBorders>
                  <w:vAlign w:val="center"/>
                </w:tcPr>
                <w:p w14:paraId="2D14856C">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pacing w:val="5"/>
                      <w:sz w:val="21"/>
                      <w:szCs w:val="21"/>
                      <w:highlight w:val="none"/>
                    </w:rPr>
                    <w:t>相符性</w:t>
                  </w:r>
                </w:p>
              </w:tc>
            </w:tr>
            <w:tr w14:paraId="1416A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486" w:type="pct"/>
                  <w:tcBorders>
                    <w:tl2br w:val="nil"/>
                    <w:tr2bl w:val="nil"/>
                  </w:tcBorders>
                  <w:vAlign w:val="center"/>
                </w:tcPr>
                <w:p w14:paraId="2131543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w:t>
                  </w:r>
                </w:p>
              </w:tc>
              <w:tc>
                <w:tcPr>
                  <w:tcW w:w="2233" w:type="pct"/>
                  <w:tcBorders>
                    <w:tl2br w:val="nil"/>
                    <w:tr2bl w:val="nil"/>
                  </w:tcBorders>
                  <w:vAlign w:val="center"/>
                </w:tcPr>
                <w:p w14:paraId="01A4AB53">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坚决遏制高耗能、高排放、低水平项目盲目上马。</w:t>
                  </w:r>
                  <w:r>
                    <w:rPr>
                      <w:rFonts w:hint="default" w:ascii="Times New Roman" w:hAnsi="Times New Roman" w:cs="Times New Roman"/>
                      <w:color w:val="auto"/>
                      <w:spacing w:val="14"/>
                      <w:sz w:val="21"/>
                      <w:szCs w:val="21"/>
                      <w:highlight w:val="none"/>
                    </w:rPr>
                    <w:t>新改扩建项目严格落实国家产业规划、产业政</w:t>
                  </w:r>
                  <w:r>
                    <w:rPr>
                      <w:rFonts w:hint="default" w:ascii="Times New Roman" w:hAnsi="Times New Roman" w:cs="Times New Roman"/>
                      <w:color w:val="auto"/>
                      <w:spacing w:val="4"/>
                      <w:sz w:val="21"/>
                      <w:szCs w:val="21"/>
                      <w:highlight w:val="none"/>
                    </w:rPr>
                    <w:t>策、生态环境分区管控方案、规划环评、项目环</w:t>
                  </w:r>
                  <w:r>
                    <w:rPr>
                      <w:rFonts w:hint="default" w:ascii="Times New Roman" w:hAnsi="Times New Roman" w:cs="Times New Roman"/>
                      <w:color w:val="auto"/>
                      <w:spacing w:val="-2"/>
                      <w:sz w:val="21"/>
                      <w:szCs w:val="21"/>
                      <w:highlight w:val="none"/>
                    </w:rPr>
                    <w:t>评、节能审查、产能置换、重点污染物总量控</w:t>
                  </w:r>
                  <w:r>
                    <w:rPr>
                      <w:rFonts w:hint="default" w:ascii="Times New Roman" w:hAnsi="Times New Roman" w:cs="Times New Roman"/>
                      <w:color w:val="auto"/>
                      <w:spacing w:val="-3"/>
                      <w:sz w:val="21"/>
                      <w:szCs w:val="21"/>
                      <w:highlight w:val="none"/>
                    </w:rPr>
                    <w:t>制、</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pacing w:val="4"/>
                      <w:sz w:val="21"/>
                      <w:szCs w:val="21"/>
                      <w:highlight w:val="none"/>
                    </w:rPr>
                    <w:t>污染物排放区域削减、碳排放达峰目标等相关要</w:t>
                  </w:r>
                  <w:r>
                    <w:rPr>
                      <w:rFonts w:hint="default" w:ascii="Times New Roman" w:hAnsi="Times New Roman" w:cs="Times New Roman"/>
                      <w:color w:val="auto"/>
                      <w:spacing w:val="7"/>
                      <w:sz w:val="21"/>
                      <w:szCs w:val="21"/>
                      <w:highlight w:val="none"/>
                    </w:rPr>
                    <w:t>求，原则上采用清洁运输方式</w:t>
                  </w:r>
                  <w:r>
                    <w:rPr>
                      <w:rFonts w:hint="default" w:ascii="Times New Roman" w:hAnsi="Times New Roman" w:cs="Times New Roman"/>
                      <w:color w:val="auto"/>
                      <w:spacing w:val="4"/>
                      <w:sz w:val="21"/>
                      <w:szCs w:val="21"/>
                      <w:highlight w:val="none"/>
                    </w:rPr>
                    <w:t>。严格执行《产业结构调整指导目录》。</w:t>
                  </w:r>
                </w:p>
              </w:tc>
              <w:tc>
                <w:tcPr>
                  <w:tcW w:w="1771" w:type="pct"/>
                  <w:tcBorders>
                    <w:tl2br w:val="nil"/>
                    <w:tr2bl w:val="nil"/>
                  </w:tcBorders>
                  <w:vAlign w:val="center"/>
                </w:tcPr>
                <w:p w14:paraId="54CB2204">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8"/>
                      <w:sz w:val="21"/>
                      <w:szCs w:val="21"/>
                      <w:highlight w:val="none"/>
                    </w:rPr>
                    <w:t>本项</w:t>
                  </w:r>
                  <w:r>
                    <w:rPr>
                      <w:rFonts w:hint="default" w:ascii="Times New Roman" w:hAnsi="Times New Roman" w:cs="Times New Roman"/>
                      <w:color w:val="auto"/>
                      <w:spacing w:val="-29"/>
                      <w:sz w:val="21"/>
                      <w:szCs w:val="21"/>
                      <w:highlight w:val="none"/>
                    </w:rPr>
                    <w:t xml:space="preserve"> </w:t>
                  </w:r>
                  <w:r>
                    <w:rPr>
                      <w:rFonts w:hint="default" w:ascii="Times New Roman" w:hAnsi="Times New Roman" w:cs="Times New Roman"/>
                      <w:color w:val="auto"/>
                      <w:spacing w:val="8"/>
                      <w:sz w:val="21"/>
                      <w:szCs w:val="21"/>
                      <w:highlight w:val="none"/>
                    </w:rPr>
                    <w:t>目属于</w:t>
                  </w:r>
                  <w:r>
                    <w:rPr>
                      <w:rFonts w:hint="default" w:ascii="Times New Roman" w:hAnsi="Times New Roman" w:eastAsia="宋体" w:cs="Times New Roman"/>
                      <w:color w:val="auto"/>
                      <w:kern w:val="0"/>
                      <w:sz w:val="21"/>
                      <w:szCs w:val="21"/>
                      <w:highlight w:val="none"/>
                      <w:lang w:val="en-US" w:eastAsia="zh-CN" w:bidi="ar"/>
                    </w:rPr>
                    <w:t>C1953塑料鞋制造、</w:t>
                  </w:r>
                  <w:r>
                    <w:rPr>
                      <w:rFonts w:hint="eastAsia" w:ascii="Times New Roman" w:hAnsi="Times New Roman" w:eastAsia="宋体" w:cs="Times New Roman"/>
                      <w:color w:val="auto"/>
                      <w:kern w:val="0"/>
                      <w:sz w:val="21"/>
                      <w:szCs w:val="21"/>
                      <w:highlight w:val="none"/>
                      <w:lang w:val="en-US" w:eastAsia="zh-CN" w:bidi="ar"/>
                    </w:rPr>
                    <w:t>C1819其他机织服装制造</w:t>
                  </w:r>
                  <w:r>
                    <w:rPr>
                      <w:rFonts w:hint="default" w:ascii="Times New Roman" w:hAnsi="Times New Roman" w:cs="Times New Roman"/>
                      <w:color w:val="auto"/>
                      <w:spacing w:val="9"/>
                      <w:sz w:val="21"/>
                      <w:szCs w:val="21"/>
                      <w:highlight w:val="none"/>
                    </w:rPr>
                    <w:t>，对照《产业结构调整指</w:t>
                  </w:r>
                  <w:r>
                    <w:rPr>
                      <w:rFonts w:hint="default" w:ascii="Times New Roman" w:hAnsi="Times New Roman" w:eastAsia="宋体" w:cs="Times New Roman"/>
                      <w:color w:val="auto"/>
                      <w:sz w:val="21"/>
                      <w:szCs w:val="21"/>
                      <w:highlight w:val="none"/>
                    </w:rPr>
                    <w:t>导目录（2024年本）》，项目</w:t>
                  </w:r>
                  <w:r>
                    <w:rPr>
                      <w:rFonts w:hint="eastAsia" w:ascii="Times New Roman" w:hAnsi="Times New Roman" w:eastAsia="宋体" w:cs="Times New Roman"/>
                      <w:color w:val="auto"/>
                      <w:sz w:val="21"/>
                      <w:szCs w:val="21"/>
                      <w:highlight w:val="none"/>
                      <w:lang w:val="en-US" w:eastAsia="zh-CN"/>
                    </w:rPr>
                    <w:t>在其</w:t>
                  </w:r>
                  <w:r>
                    <w:rPr>
                      <w:rFonts w:hint="default" w:ascii="Times New Roman" w:hAnsi="Times New Roman" w:eastAsia="宋体" w:cs="Times New Roman"/>
                      <w:color w:val="auto"/>
                      <w:sz w:val="21"/>
                      <w:szCs w:val="21"/>
                      <w:highlight w:val="none"/>
                    </w:rPr>
                    <w:t>划分的鼓励类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限制类、淘汰类</w:t>
                  </w:r>
                  <w:r>
                    <w:rPr>
                      <w:rFonts w:hint="default" w:ascii="Times New Roman" w:hAnsi="Times New Roman" w:eastAsia="宋体" w:cs="Times New Roman"/>
                      <w:color w:val="auto"/>
                      <w:sz w:val="21"/>
                      <w:szCs w:val="21"/>
                      <w:highlight w:val="none"/>
                      <w:lang w:eastAsia="zh-CN"/>
                    </w:rPr>
                    <w:t>之外</w:t>
                  </w:r>
                  <w:r>
                    <w:rPr>
                      <w:rFonts w:hint="default" w:ascii="Times New Roman" w:hAnsi="Times New Roman" w:eastAsia="宋体" w:cs="Times New Roman"/>
                      <w:color w:val="auto"/>
                      <w:sz w:val="21"/>
                      <w:szCs w:val="21"/>
                      <w:highlight w:val="none"/>
                    </w:rPr>
                    <w:t>，，且符合国家有关法律、法规和政策规定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属于允许类项目；</w:t>
                  </w:r>
                  <w:r>
                    <w:rPr>
                      <w:rFonts w:hint="eastAsia" w:ascii="Times New Roman" w:hAnsi="Times New Roman" w:eastAsia="宋体" w:cs="Times New Roman"/>
                      <w:color w:val="auto"/>
                      <w:sz w:val="21"/>
                      <w:szCs w:val="21"/>
                      <w:highlight w:val="none"/>
                      <w:lang w:val="en-US" w:eastAsia="zh-CN"/>
                    </w:rPr>
                    <w:t>且</w:t>
                  </w:r>
                  <w:r>
                    <w:rPr>
                      <w:rFonts w:hint="default" w:ascii="Times New Roman" w:hAnsi="Times New Roman" w:cs="Times New Roman"/>
                      <w:color w:val="auto"/>
                      <w:spacing w:val="9"/>
                      <w:sz w:val="21"/>
                      <w:szCs w:val="21"/>
                      <w:highlight w:val="none"/>
                    </w:rPr>
                    <w:t>项目已取得</w:t>
                  </w:r>
                  <w:r>
                    <w:rPr>
                      <w:rFonts w:hint="default" w:ascii="Times New Roman" w:hAnsi="Times New Roman" w:cs="Times New Roman"/>
                      <w:color w:val="auto"/>
                      <w:spacing w:val="26"/>
                      <w:sz w:val="21"/>
                      <w:szCs w:val="21"/>
                      <w:highlight w:val="none"/>
                    </w:rPr>
                    <w:t>五河县发展和改革委员会</w:t>
                  </w:r>
                  <w:r>
                    <w:rPr>
                      <w:rFonts w:hint="default" w:ascii="Times New Roman" w:hAnsi="Times New Roman" w:cs="Times New Roman"/>
                      <w:color w:val="auto"/>
                      <w:spacing w:val="-9"/>
                      <w:sz w:val="21"/>
                      <w:szCs w:val="21"/>
                      <w:highlight w:val="none"/>
                    </w:rPr>
                    <w:t>案，项目代码为</w:t>
                  </w:r>
                  <w:r>
                    <w:rPr>
                      <w:rFonts w:hint="default" w:ascii="Times New Roman" w:hAnsi="Times New Roman" w:eastAsia="宋体" w:cs="Times New Roman"/>
                      <w:color w:val="auto"/>
                      <w:sz w:val="21"/>
                      <w:szCs w:val="21"/>
                      <w:highlight w:val="none"/>
                    </w:rPr>
                    <w:t>2</w:t>
                  </w:r>
                  <w:r>
                    <w:rPr>
                      <w:rFonts w:hint="default" w:ascii="Times New Roman" w:hAnsi="Times New Roman" w:cs="Times New Roman"/>
                      <w:color w:val="auto"/>
                      <w:sz w:val="21"/>
                      <w:szCs w:val="21"/>
                      <w:highlight w:val="none"/>
                      <w:lang w:val="en-US" w:eastAsia="zh-CN"/>
                    </w:rPr>
                    <w:t>503</w:t>
                  </w:r>
                  <w:r>
                    <w:rPr>
                      <w:rFonts w:hint="default" w:ascii="Times New Roman" w:hAnsi="Times New Roman" w:eastAsia="宋体" w:cs="Times New Roman"/>
                      <w:color w:val="auto"/>
                      <w:sz w:val="21"/>
                      <w:szCs w:val="21"/>
                      <w:highlight w:val="none"/>
                    </w:rPr>
                    <w:t>-34</w:t>
                  </w:r>
                  <w:r>
                    <w:rPr>
                      <w:rFonts w:hint="default" w:ascii="Times New Roman" w:hAnsi="Times New Roman" w:cs="Times New Roman"/>
                      <w:color w:val="auto"/>
                      <w:sz w:val="21"/>
                      <w:szCs w:val="21"/>
                      <w:highlight w:val="none"/>
                      <w:lang w:val="en-US" w:eastAsia="zh-CN"/>
                    </w:rPr>
                    <w:t>0322</w:t>
                  </w:r>
                  <w:r>
                    <w:rPr>
                      <w:rFonts w:hint="default" w:ascii="Times New Roman" w:hAnsi="Times New Roman" w:eastAsia="宋体" w:cs="Times New Roman"/>
                      <w:color w:val="auto"/>
                      <w:sz w:val="21"/>
                      <w:szCs w:val="21"/>
                      <w:highlight w:val="none"/>
                    </w:rPr>
                    <w:t>-04-01-</w:t>
                  </w:r>
                  <w:r>
                    <w:rPr>
                      <w:rFonts w:hint="default" w:ascii="Times New Roman" w:hAnsi="Times New Roman" w:cs="Times New Roman"/>
                      <w:color w:val="auto"/>
                      <w:sz w:val="21"/>
                      <w:szCs w:val="21"/>
                      <w:highlight w:val="none"/>
                      <w:lang w:val="en-US" w:eastAsia="zh-CN"/>
                    </w:rPr>
                    <w:t>180136</w:t>
                  </w:r>
                  <w:r>
                    <w:rPr>
                      <w:rFonts w:hint="default" w:ascii="Times New Roman" w:hAnsi="Times New Roman" w:cs="Times New Roman"/>
                      <w:color w:val="auto"/>
                      <w:spacing w:val="8"/>
                      <w:sz w:val="21"/>
                      <w:szCs w:val="21"/>
                      <w:highlight w:val="none"/>
                    </w:rPr>
                    <w:t>；根据《安徽省节</w:t>
                  </w:r>
                  <w:r>
                    <w:rPr>
                      <w:rFonts w:hint="default" w:ascii="Times New Roman" w:hAnsi="Times New Roman" w:cs="Times New Roman"/>
                      <w:color w:val="auto"/>
                      <w:spacing w:val="26"/>
                      <w:sz w:val="21"/>
                      <w:szCs w:val="21"/>
                      <w:highlight w:val="none"/>
                    </w:rPr>
                    <w:t>能减排及应对气候变化工作领导小组关于进一步加强新</w:t>
                  </w:r>
                  <w:r>
                    <w:rPr>
                      <w:rFonts w:hint="default" w:ascii="Times New Roman" w:hAnsi="Times New Roman" w:cs="Times New Roman"/>
                      <w:color w:val="auto"/>
                      <w:spacing w:val="5"/>
                      <w:sz w:val="21"/>
                      <w:szCs w:val="21"/>
                      <w:highlight w:val="none"/>
                    </w:rPr>
                    <w:t>上“两高</w:t>
                  </w:r>
                  <w:r>
                    <w:rPr>
                      <w:rFonts w:hint="default" w:ascii="Times New Roman" w:hAnsi="Times New Roman" w:cs="Times New Roman"/>
                      <w:color w:val="auto"/>
                      <w:spacing w:val="-60"/>
                      <w:sz w:val="21"/>
                      <w:szCs w:val="21"/>
                      <w:highlight w:val="none"/>
                    </w:rPr>
                    <w:t xml:space="preserve"> </w:t>
                  </w:r>
                  <w:r>
                    <w:rPr>
                      <w:rFonts w:hint="default" w:ascii="Times New Roman" w:hAnsi="Times New Roman" w:cs="Times New Roman"/>
                      <w:color w:val="auto"/>
                      <w:spacing w:val="5"/>
                      <w:sz w:val="21"/>
                      <w:szCs w:val="21"/>
                      <w:highlight w:val="none"/>
                    </w:rPr>
                    <w:t>”项目管理的通知》</w:t>
                  </w:r>
                  <w:r>
                    <w:rPr>
                      <w:rFonts w:hint="default" w:ascii="Times New Roman" w:hAnsi="Times New Roman" w:cs="Times New Roman"/>
                      <w:color w:val="auto"/>
                      <w:spacing w:val="7"/>
                      <w:sz w:val="21"/>
                      <w:szCs w:val="21"/>
                      <w:highlight w:val="none"/>
                    </w:rPr>
                    <w:t>（皖节能〔</w:t>
                  </w:r>
                  <w:r>
                    <w:rPr>
                      <w:rFonts w:hint="default" w:ascii="Times New Roman" w:hAnsi="Times New Roman" w:eastAsia="Times New Roman" w:cs="Times New Roman"/>
                      <w:color w:val="auto"/>
                      <w:spacing w:val="7"/>
                      <w:sz w:val="21"/>
                      <w:szCs w:val="21"/>
                      <w:highlight w:val="none"/>
                    </w:rPr>
                    <w:t>2021</w:t>
                  </w:r>
                  <w:r>
                    <w:rPr>
                      <w:rFonts w:hint="default" w:ascii="Times New Roman" w:hAnsi="Times New Roman" w:cs="Times New Roman"/>
                      <w:color w:val="auto"/>
                      <w:spacing w:val="7"/>
                      <w:sz w:val="21"/>
                      <w:szCs w:val="21"/>
                      <w:highlight w:val="none"/>
                    </w:rPr>
                    <w:t>〕</w:t>
                  </w:r>
                  <w:r>
                    <w:rPr>
                      <w:rFonts w:hint="default" w:ascii="Times New Roman" w:hAnsi="Times New Roman" w:eastAsia="Times New Roman" w:cs="Times New Roman"/>
                      <w:color w:val="auto"/>
                      <w:spacing w:val="7"/>
                      <w:sz w:val="21"/>
                      <w:szCs w:val="21"/>
                      <w:highlight w:val="none"/>
                    </w:rPr>
                    <w:t>3</w:t>
                  </w:r>
                  <w:r>
                    <w:rPr>
                      <w:rFonts w:hint="default" w:ascii="Times New Roman" w:hAnsi="Times New Roman" w:cs="Times New Roman"/>
                      <w:color w:val="auto"/>
                      <w:spacing w:val="7"/>
                      <w:sz w:val="21"/>
                      <w:szCs w:val="21"/>
                      <w:highlight w:val="none"/>
                    </w:rPr>
                    <w:t>号</w:t>
                  </w:r>
                  <w:r>
                    <w:rPr>
                      <w:rFonts w:hint="default" w:ascii="Times New Roman" w:hAnsi="Times New Roman" w:cs="Times New Roman"/>
                      <w:color w:val="auto"/>
                      <w:spacing w:val="1"/>
                      <w:sz w:val="21"/>
                      <w:szCs w:val="21"/>
                      <w:highlight w:val="none"/>
                    </w:rPr>
                    <w:t>）</w:t>
                  </w:r>
                  <w:r>
                    <w:rPr>
                      <w:rFonts w:hint="default" w:ascii="Times New Roman" w:hAnsi="Times New Roman" w:cs="Times New Roman"/>
                      <w:color w:val="auto"/>
                      <w:spacing w:val="-57"/>
                      <w:sz w:val="21"/>
                      <w:szCs w:val="21"/>
                      <w:highlight w:val="none"/>
                    </w:rPr>
                    <w:t xml:space="preserve"> </w:t>
                  </w:r>
                  <w:r>
                    <w:rPr>
                      <w:rFonts w:hint="default" w:ascii="Times New Roman" w:hAnsi="Times New Roman" w:cs="Times New Roman"/>
                      <w:color w:val="auto"/>
                      <w:spacing w:val="1"/>
                      <w:sz w:val="21"/>
                      <w:szCs w:val="21"/>
                      <w:highlight w:val="none"/>
                    </w:rPr>
                    <w:t>，</w:t>
                  </w:r>
                  <w:r>
                    <w:rPr>
                      <w:rFonts w:hint="default" w:ascii="Times New Roman" w:hAnsi="Times New Roman" w:cs="Times New Roman"/>
                      <w:color w:val="auto"/>
                      <w:spacing w:val="7"/>
                      <w:sz w:val="21"/>
                      <w:szCs w:val="21"/>
                      <w:highlight w:val="none"/>
                    </w:rPr>
                    <w:t>本</w:t>
                  </w:r>
                  <w:r>
                    <w:rPr>
                      <w:rFonts w:hint="default" w:ascii="Times New Roman" w:hAnsi="Times New Roman" w:cs="Times New Roman"/>
                      <w:color w:val="auto"/>
                      <w:spacing w:val="5"/>
                      <w:sz w:val="21"/>
                      <w:szCs w:val="21"/>
                      <w:highlight w:val="none"/>
                    </w:rPr>
                    <w:t>项目不属于“两高</w:t>
                  </w:r>
                  <w:r>
                    <w:rPr>
                      <w:rFonts w:hint="default" w:ascii="Times New Roman" w:hAnsi="Times New Roman" w:cs="Times New Roman"/>
                      <w:color w:val="auto"/>
                      <w:spacing w:val="-64"/>
                      <w:sz w:val="21"/>
                      <w:szCs w:val="21"/>
                      <w:highlight w:val="none"/>
                    </w:rPr>
                    <w:t xml:space="preserve"> </w:t>
                  </w:r>
                  <w:r>
                    <w:rPr>
                      <w:rFonts w:hint="default" w:ascii="Times New Roman" w:hAnsi="Times New Roman" w:cs="Times New Roman"/>
                      <w:color w:val="auto"/>
                      <w:spacing w:val="5"/>
                      <w:sz w:val="21"/>
                      <w:szCs w:val="21"/>
                      <w:highlight w:val="none"/>
                    </w:rPr>
                    <w:t>”项目。</w:t>
                  </w:r>
                </w:p>
              </w:tc>
              <w:tc>
                <w:tcPr>
                  <w:tcW w:w="508" w:type="pct"/>
                  <w:tcBorders>
                    <w:tl2br w:val="nil"/>
                    <w:tr2bl w:val="nil"/>
                  </w:tcBorders>
                  <w:vAlign w:val="center"/>
                </w:tcPr>
                <w:p w14:paraId="008D3A2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p w14:paraId="17502D81">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062E6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6" w:type="pct"/>
                  <w:tcBorders>
                    <w:tl2br w:val="nil"/>
                    <w:tr2bl w:val="nil"/>
                  </w:tcBorders>
                  <w:vAlign w:val="center"/>
                </w:tcPr>
                <w:p w14:paraId="7899953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2233" w:type="pct"/>
                  <w:tcBorders>
                    <w:tl2br w:val="nil"/>
                    <w:tr2bl w:val="nil"/>
                  </w:tcBorders>
                  <w:shd w:val="clear" w:color="auto" w:fill="auto"/>
                  <w:vAlign w:val="center"/>
                </w:tcPr>
                <w:p w14:paraId="2D26446A">
                  <w:pPr>
                    <w:pStyle w:val="356"/>
                    <w:keepNext w:val="0"/>
                    <w:keepLines w:val="0"/>
                    <w:pageBreakBefore w:val="0"/>
                    <w:widowControl w:val="0"/>
                    <w:kinsoku/>
                    <w:wordWrap/>
                    <w:overflowPunct/>
                    <w:topLinePunct w:val="0"/>
                    <w:autoSpaceDE/>
                    <w:autoSpaceDN/>
                    <w:bidi w:val="0"/>
                    <w:adjustRightInd/>
                    <w:snapToGrid/>
                    <w:spacing w:line="240" w:lineRule="auto"/>
                    <w:ind w:left="0" w:leftChars="0" w:right="55"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cs="Times New Roman"/>
                      <w:color w:val="auto"/>
                      <w:spacing w:val="4"/>
                      <w:sz w:val="21"/>
                      <w:szCs w:val="21"/>
                      <w:highlight w:val="none"/>
                    </w:rPr>
                    <w:t>加强</w:t>
                  </w:r>
                  <w:r>
                    <w:rPr>
                      <w:rFonts w:hint="default" w:ascii="Times New Roman" w:hAnsi="Times New Roman" w:cs="Times New Roman"/>
                      <w:color w:val="auto"/>
                      <w:spacing w:val="-30"/>
                      <w:sz w:val="21"/>
                      <w:szCs w:val="21"/>
                      <w:highlight w:val="none"/>
                    </w:rPr>
                    <w:t xml:space="preserve"> </w:t>
                  </w:r>
                  <w:r>
                    <w:rPr>
                      <w:rFonts w:hint="default" w:ascii="Times New Roman" w:hAnsi="Times New Roman" w:eastAsia="Times New Roman" w:cs="Times New Roman"/>
                      <w:color w:val="auto"/>
                      <w:sz w:val="21"/>
                      <w:szCs w:val="21"/>
                      <w:highlight w:val="none"/>
                    </w:rPr>
                    <w:t>VOCs</w:t>
                  </w:r>
                  <w:r>
                    <w:rPr>
                      <w:rFonts w:hint="default" w:ascii="Times New Roman" w:hAnsi="Times New Roman" w:eastAsia="Times New Roman" w:cs="Times New Roman"/>
                      <w:color w:val="auto"/>
                      <w:spacing w:val="4"/>
                      <w:sz w:val="21"/>
                      <w:szCs w:val="21"/>
                      <w:highlight w:val="none"/>
                    </w:rPr>
                    <w:t xml:space="preserve"> </w:t>
                  </w:r>
                  <w:r>
                    <w:rPr>
                      <w:rFonts w:hint="default" w:ascii="Times New Roman" w:hAnsi="Times New Roman" w:cs="Times New Roman"/>
                      <w:color w:val="auto"/>
                      <w:spacing w:val="4"/>
                      <w:sz w:val="21"/>
                      <w:szCs w:val="21"/>
                      <w:highlight w:val="none"/>
                    </w:rPr>
                    <w:t>综合治理。鼓励储罐使用低泄漏的呼吸阀、紧急泄压阀。汽车罐车推广使用密封式快速接头。污水处理场所高浓度有机废气单独收集</w:t>
                  </w:r>
                  <w:r>
                    <w:rPr>
                      <w:rFonts w:hint="default" w:ascii="Times New Roman" w:hAnsi="Times New Roman" w:cs="Times New Roman"/>
                      <w:color w:val="auto"/>
                      <w:spacing w:val="15"/>
                      <w:sz w:val="21"/>
                      <w:szCs w:val="21"/>
                      <w:highlight w:val="none"/>
                    </w:rPr>
                    <w:t>处理；含</w:t>
                  </w:r>
                  <w:r>
                    <w:rPr>
                      <w:rFonts w:hint="default" w:ascii="Times New Roman" w:hAnsi="Times New Roman" w:eastAsia="Times New Roman" w:cs="Times New Roman"/>
                      <w:color w:val="auto"/>
                      <w:sz w:val="21"/>
                      <w:szCs w:val="21"/>
                      <w:highlight w:val="none"/>
                    </w:rPr>
                    <w:t>VOCs</w:t>
                  </w:r>
                  <w:r>
                    <w:rPr>
                      <w:rFonts w:hint="default" w:ascii="Times New Roman" w:hAnsi="Times New Roman" w:cs="Times New Roman"/>
                      <w:color w:val="auto"/>
                      <w:spacing w:val="15"/>
                      <w:sz w:val="21"/>
                      <w:szCs w:val="21"/>
                      <w:highlight w:val="none"/>
                    </w:rPr>
                    <w:t>有机废水储罐、装置区集水井</w:t>
                  </w:r>
                  <w:r>
                    <w:rPr>
                      <w:rFonts w:hint="default" w:ascii="Times New Roman" w:hAnsi="Times New Roman" w:cs="Times New Roman"/>
                      <w:color w:val="auto"/>
                      <w:spacing w:val="4"/>
                      <w:sz w:val="21"/>
                      <w:szCs w:val="21"/>
                      <w:highlight w:val="none"/>
                    </w:rPr>
                    <w:t>（池）有机废气密闭收集处理。石化、化工行业</w:t>
                  </w:r>
                  <w:r>
                    <w:rPr>
                      <w:rFonts w:hint="default" w:ascii="Times New Roman" w:hAnsi="Times New Roman" w:cs="Times New Roman"/>
                      <w:color w:val="auto"/>
                      <w:spacing w:val="10"/>
                      <w:sz w:val="21"/>
                      <w:szCs w:val="21"/>
                      <w:highlight w:val="none"/>
                    </w:rPr>
                    <w:t>集中的城市和重点工业园区，</w:t>
                  </w:r>
                  <w:r>
                    <w:rPr>
                      <w:rFonts w:hint="default" w:ascii="Times New Roman" w:hAnsi="Times New Roman" w:eastAsia="Times New Roman" w:cs="Times New Roman"/>
                      <w:color w:val="auto"/>
                      <w:spacing w:val="10"/>
                      <w:sz w:val="21"/>
                      <w:szCs w:val="21"/>
                      <w:highlight w:val="none"/>
                    </w:rPr>
                    <w:t>2024</w:t>
                  </w:r>
                  <w:r>
                    <w:rPr>
                      <w:rFonts w:hint="default" w:ascii="Times New Roman" w:hAnsi="Times New Roman" w:cs="Times New Roman"/>
                      <w:color w:val="auto"/>
                      <w:spacing w:val="10"/>
                      <w:sz w:val="21"/>
                      <w:szCs w:val="21"/>
                      <w:highlight w:val="none"/>
                    </w:rPr>
                    <w:t>年底前建立</w:t>
                  </w:r>
                  <w:r>
                    <w:rPr>
                      <w:rFonts w:hint="default" w:ascii="Times New Roman" w:hAnsi="Times New Roman" w:cs="Times New Roman"/>
                      <w:color w:val="auto"/>
                      <w:spacing w:val="18"/>
                      <w:sz w:val="21"/>
                      <w:szCs w:val="21"/>
                      <w:highlight w:val="none"/>
                    </w:rPr>
                    <w:t xml:space="preserve"> </w:t>
                  </w:r>
                  <w:r>
                    <w:rPr>
                      <w:rFonts w:hint="default" w:ascii="Times New Roman" w:hAnsi="Times New Roman" w:cs="Times New Roman"/>
                      <w:color w:val="auto"/>
                      <w:spacing w:val="4"/>
                      <w:sz w:val="21"/>
                      <w:szCs w:val="21"/>
                      <w:highlight w:val="none"/>
                    </w:rPr>
                    <w:t>统一的泄漏检测与修复信息管理平台。企业开停工、检维修期间，及时收集处理退料、清洗、吹扫等作业产生的</w:t>
                  </w:r>
                  <w:r>
                    <w:rPr>
                      <w:rFonts w:hint="default" w:ascii="Times New Roman" w:hAnsi="Times New Roman" w:cs="Times New Roman"/>
                      <w:color w:val="auto"/>
                      <w:spacing w:val="-28"/>
                      <w:sz w:val="21"/>
                      <w:szCs w:val="21"/>
                      <w:highlight w:val="none"/>
                    </w:rPr>
                    <w:t xml:space="preserve"> </w:t>
                  </w:r>
                  <w:r>
                    <w:rPr>
                      <w:rFonts w:hint="default" w:ascii="Times New Roman" w:hAnsi="Times New Roman" w:eastAsia="Times New Roman" w:cs="Times New Roman"/>
                      <w:color w:val="auto"/>
                      <w:sz w:val="21"/>
                      <w:szCs w:val="21"/>
                      <w:highlight w:val="none"/>
                    </w:rPr>
                    <w:t>VOCs</w:t>
                  </w:r>
                  <w:r>
                    <w:rPr>
                      <w:rFonts w:hint="default" w:ascii="Times New Roman" w:hAnsi="Times New Roman" w:cs="Times New Roman"/>
                      <w:color w:val="auto"/>
                      <w:spacing w:val="4"/>
                      <w:sz w:val="21"/>
                      <w:szCs w:val="21"/>
                      <w:highlight w:val="none"/>
                    </w:rPr>
                    <w:t>废气，不得将火炬燃烧装</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pacing w:val="8"/>
                      <w:sz w:val="21"/>
                      <w:szCs w:val="21"/>
                      <w:highlight w:val="none"/>
                    </w:rPr>
                    <w:t>置作为日常大气污染处理设施。</w:t>
                  </w:r>
                </w:p>
              </w:tc>
              <w:tc>
                <w:tcPr>
                  <w:tcW w:w="1771" w:type="pct"/>
                  <w:tcBorders>
                    <w:tl2br w:val="nil"/>
                    <w:tr2bl w:val="nil"/>
                  </w:tcBorders>
                  <w:shd w:val="clear" w:color="auto" w:fill="auto"/>
                  <w:vAlign w:val="center"/>
                </w:tcPr>
                <w:p w14:paraId="24C0EA1C">
                  <w:pPr>
                    <w:pStyle w:val="35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cs="Times New Roman"/>
                      <w:color w:val="auto"/>
                      <w:spacing w:val="8"/>
                      <w:sz w:val="21"/>
                      <w:szCs w:val="21"/>
                      <w:highlight w:val="none"/>
                    </w:rPr>
                    <w:t>本</w:t>
                  </w:r>
                  <w:r>
                    <w:rPr>
                      <w:rFonts w:hint="default" w:ascii="Times New Roman" w:hAnsi="Times New Roman" w:eastAsia="宋体" w:cs="Times New Roman"/>
                      <w:color w:val="auto"/>
                      <w:spacing w:val="7"/>
                      <w:sz w:val="21"/>
                      <w:szCs w:val="21"/>
                      <w:highlight w:val="none"/>
                    </w:rPr>
                    <w:t>项目使用的含VOCs原辅料均采用密封桶装；</w:t>
                  </w:r>
                  <w:r>
                    <w:rPr>
                      <w:rFonts w:hint="default" w:ascii="Times New Roman" w:hAnsi="Times New Roman" w:eastAsia="宋体" w:cs="Times New Roman"/>
                      <w:color w:val="auto"/>
                      <w:spacing w:val="7"/>
                      <w:sz w:val="21"/>
                      <w:szCs w:val="21"/>
                      <w:highlight w:val="none"/>
                      <w:lang w:val="en-US" w:eastAsia="zh-CN"/>
                    </w:rPr>
                    <w:t>有机废气经集气罩收集后接入二级</w:t>
                  </w:r>
                  <w:r>
                    <w:rPr>
                      <w:rFonts w:hint="default" w:ascii="Times New Roman" w:hAnsi="Times New Roman" w:eastAsia="宋体" w:cs="Times New Roman"/>
                      <w:color w:val="auto"/>
                      <w:spacing w:val="7"/>
                      <w:sz w:val="21"/>
                      <w:szCs w:val="21"/>
                      <w:highlight w:val="none"/>
                    </w:rPr>
                    <w:t>活性炭吸附脱附处理后由1根</w:t>
                  </w:r>
                  <w:r>
                    <w:rPr>
                      <w:rFonts w:hint="default" w:ascii="Times New Roman" w:hAnsi="Times New Roman" w:eastAsia="宋体" w:cs="Times New Roman"/>
                      <w:color w:val="auto"/>
                      <w:spacing w:val="7"/>
                      <w:sz w:val="21"/>
                      <w:szCs w:val="21"/>
                      <w:highlight w:val="none"/>
                      <w:lang w:val="en-US" w:eastAsia="zh-CN"/>
                    </w:rPr>
                    <w:t>15</w:t>
                  </w:r>
                  <w:r>
                    <w:rPr>
                      <w:rFonts w:hint="default" w:ascii="Times New Roman" w:hAnsi="Times New Roman" w:eastAsia="宋体" w:cs="Times New Roman"/>
                      <w:color w:val="auto"/>
                      <w:spacing w:val="7"/>
                      <w:sz w:val="21"/>
                      <w:szCs w:val="21"/>
                      <w:highlight w:val="none"/>
                    </w:rPr>
                    <w:t>m 高排气筒（DA002）排放。</w:t>
                  </w:r>
                </w:p>
              </w:tc>
              <w:tc>
                <w:tcPr>
                  <w:tcW w:w="508" w:type="pct"/>
                  <w:tcBorders>
                    <w:tl2br w:val="nil"/>
                    <w:tr2bl w:val="nil"/>
                  </w:tcBorders>
                  <w:vAlign w:val="center"/>
                </w:tcPr>
                <w:p w14:paraId="4D88776C">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3"/>
                      <w:sz w:val="21"/>
                      <w:szCs w:val="21"/>
                      <w:highlight w:val="none"/>
                    </w:rPr>
                  </w:pPr>
                  <w:r>
                    <w:rPr>
                      <w:rFonts w:hint="default" w:ascii="Times New Roman" w:hAnsi="Times New Roman" w:cs="Times New Roman"/>
                      <w:color w:val="auto"/>
                      <w:spacing w:val="3"/>
                      <w:sz w:val="21"/>
                      <w:szCs w:val="21"/>
                      <w:highlight w:val="none"/>
                    </w:rPr>
                    <w:t>符合</w:t>
                  </w:r>
                </w:p>
              </w:tc>
            </w:tr>
            <w:tr w14:paraId="3CE26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6" w:type="pct"/>
                  <w:tcBorders>
                    <w:tl2br w:val="nil"/>
                    <w:tr2bl w:val="nil"/>
                  </w:tcBorders>
                  <w:vAlign w:val="center"/>
                </w:tcPr>
                <w:p w14:paraId="6D16AE6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2233" w:type="pct"/>
                  <w:tcBorders>
                    <w:tl2br w:val="nil"/>
                    <w:tr2bl w:val="nil"/>
                  </w:tcBorders>
                  <w:shd w:val="clear" w:color="auto" w:fill="auto"/>
                  <w:vAlign w:val="center"/>
                </w:tcPr>
                <w:p w14:paraId="3B89322B">
                  <w:pPr>
                    <w:pStyle w:val="356"/>
                    <w:keepNext w:val="0"/>
                    <w:keepLines w:val="0"/>
                    <w:pageBreakBefore w:val="0"/>
                    <w:widowControl w:val="0"/>
                    <w:kinsoku/>
                    <w:wordWrap/>
                    <w:overflowPunct/>
                    <w:topLinePunct w:val="0"/>
                    <w:autoSpaceDE/>
                    <w:autoSpaceDN/>
                    <w:bidi w:val="0"/>
                    <w:adjustRightInd/>
                    <w:snapToGrid/>
                    <w:spacing w:line="240" w:lineRule="auto"/>
                    <w:ind w:left="0" w:leftChars="0" w:right="55" w:rightChars="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cs="Times New Roman"/>
                      <w:color w:val="auto"/>
                      <w:spacing w:val="7"/>
                      <w:sz w:val="21"/>
                      <w:szCs w:val="21"/>
                      <w:highlight w:val="none"/>
                    </w:rPr>
                    <w:t>加快低（无）</w:t>
                  </w:r>
                  <w:r>
                    <w:rPr>
                      <w:rFonts w:hint="default" w:ascii="Times New Roman" w:hAnsi="Times New Roman" w:eastAsia="Times New Roman" w:cs="Times New Roman"/>
                      <w:color w:val="auto"/>
                      <w:sz w:val="21"/>
                      <w:szCs w:val="21"/>
                      <w:highlight w:val="none"/>
                    </w:rPr>
                    <w:t>VOCs</w:t>
                  </w:r>
                  <w:r>
                    <w:rPr>
                      <w:rFonts w:hint="default" w:ascii="Times New Roman" w:hAnsi="Times New Roman" w:cs="Times New Roman"/>
                      <w:color w:val="auto"/>
                      <w:spacing w:val="7"/>
                      <w:sz w:val="21"/>
                      <w:szCs w:val="21"/>
                      <w:highlight w:val="none"/>
                    </w:rPr>
                    <w:t>原辅材料替代。严格控制生</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pacing w:val="4"/>
                      <w:sz w:val="21"/>
                      <w:szCs w:val="21"/>
                      <w:highlight w:val="none"/>
                    </w:rPr>
                    <w:t>产和使用高</w:t>
                  </w:r>
                  <w:r>
                    <w:rPr>
                      <w:rFonts w:hint="default" w:ascii="Times New Roman" w:hAnsi="Times New Roman" w:cs="Times New Roman"/>
                      <w:color w:val="auto"/>
                      <w:spacing w:val="-29"/>
                      <w:sz w:val="21"/>
                      <w:szCs w:val="21"/>
                      <w:highlight w:val="none"/>
                    </w:rPr>
                    <w:t xml:space="preserve"> </w:t>
                  </w:r>
                  <w:r>
                    <w:rPr>
                      <w:rFonts w:hint="default" w:ascii="Times New Roman" w:hAnsi="Times New Roman" w:eastAsia="Times New Roman" w:cs="Times New Roman"/>
                      <w:color w:val="auto"/>
                      <w:sz w:val="21"/>
                      <w:szCs w:val="21"/>
                      <w:highlight w:val="none"/>
                    </w:rPr>
                    <w:t>VOCs</w:t>
                  </w:r>
                  <w:r>
                    <w:rPr>
                      <w:rFonts w:hint="default" w:ascii="Times New Roman" w:hAnsi="Times New Roman" w:cs="Times New Roman"/>
                      <w:color w:val="auto"/>
                      <w:spacing w:val="4"/>
                      <w:sz w:val="21"/>
                      <w:szCs w:val="21"/>
                      <w:highlight w:val="none"/>
                    </w:rPr>
                    <w:t>含量涂料、油墨、胶粘剂、清</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pacing w:val="4"/>
                      <w:sz w:val="21"/>
                      <w:szCs w:val="21"/>
                      <w:highlight w:val="none"/>
                    </w:rPr>
                    <w:t>洗剂等建设项目。推动现有高</w:t>
                  </w:r>
                  <w:r>
                    <w:rPr>
                      <w:rFonts w:hint="default" w:ascii="Times New Roman" w:hAnsi="Times New Roman" w:cs="Times New Roman"/>
                      <w:color w:val="auto"/>
                      <w:spacing w:val="-29"/>
                      <w:sz w:val="21"/>
                      <w:szCs w:val="21"/>
                      <w:highlight w:val="none"/>
                    </w:rPr>
                    <w:t xml:space="preserve"> </w:t>
                  </w:r>
                  <w:r>
                    <w:rPr>
                      <w:rFonts w:hint="default" w:ascii="Times New Roman" w:hAnsi="Times New Roman" w:eastAsia="Times New Roman" w:cs="Times New Roman"/>
                      <w:color w:val="auto"/>
                      <w:sz w:val="21"/>
                      <w:szCs w:val="21"/>
                      <w:highlight w:val="none"/>
                    </w:rPr>
                    <w:t>VOCs</w:t>
                  </w:r>
                  <w:r>
                    <w:rPr>
                      <w:rFonts w:hint="default" w:ascii="Times New Roman" w:hAnsi="Times New Roman" w:cs="Times New Roman"/>
                      <w:color w:val="auto"/>
                      <w:spacing w:val="4"/>
                      <w:sz w:val="21"/>
                      <w:szCs w:val="21"/>
                      <w:highlight w:val="none"/>
                    </w:rPr>
                    <w:t>含量产品生</w:t>
                  </w:r>
                  <w:r>
                    <w:rPr>
                      <w:rFonts w:hint="default" w:ascii="Times New Roman" w:hAnsi="Times New Roman" w:cs="Times New Roman"/>
                      <w:color w:val="auto"/>
                      <w:spacing w:val="10"/>
                      <w:sz w:val="21"/>
                      <w:szCs w:val="21"/>
                      <w:highlight w:val="none"/>
                    </w:rPr>
                    <w:t>产企业加快产品升级转型，提高低（无）</w:t>
                  </w:r>
                  <w:r>
                    <w:rPr>
                      <w:rFonts w:hint="default" w:ascii="Times New Roman" w:hAnsi="Times New Roman" w:eastAsia="Times New Roman" w:cs="Times New Roman"/>
                      <w:color w:val="auto"/>
                      <w:sz w:val="21"/>
                      <w:szCs w:val="21"/>
                      <w:highlight w:val="none"/>
                    </w:rPr>
                    <w:t>VOCs</w:t>
                  </w:r>
                  <w:r>
                    <w:rPr>
                      <w:rFonts w:hint="default" w:ascii="Times New Roman" w:hAnsi="Times New Roman" w:cs="Times New Roman"/>
                      <w:color w:val="auto"/>
                      <w:spacing w:val="4"/>
                      <w:sz w:val="21"/>
                      <w:szCs w:val="21"/>
                      <w:highlight w:val="none"/>
                    </w:rPr>
                    <w:t>含量产品比重。加大工业涂装行业、包装印刷行</w:t>
                  </w:r>
                  <w:r>
                    <w:rPr>
                      <w:rFonts w:hint="default" w:ascii="Times New Roman" w:hAnsi="Times New Roman" w:cs="Times New Roman"/>
                      <w:color w:val="auto"/>
                      <w:spacing w:val="7"/>
                      <w:sz w:val="21"/>
                      <w:szCs w:val="21"/>
                      <w:highlight w:val="none"/>
                    </w:rPr>
                    <w:t>业及电子行业低（无）</w:t>
                  </w:r>
                  <w:r>
                    <w:rPr>
                      <w:rFonts w:hint="default" w:ascii="Times New Roman" w:hAnsi="Times New Roman" w:eastAsia="Times New Roman" w:cs="Times New Roman"/>
                      <w:color w:val="auto"/>
                      <w:sz w:val="21"/>
                      <w:szCs w:val="21"/>
                      <w:highlight w:val="none"/>
                    </w:rPr>
                    <w:t>VOCs</w:t>
                  </w:r>
                  <w:r>
                    <w:rPr>
                      <w:rFonts w:hint="default" w:ascii="Times New Roman" w:hAnsi="Times New Roman" w:cs="Times New Roman"/>
                      <w:color w:val="auto"/>
                      <w:spacing w:val="7"/>
                      <w:sz w:val="21"/>
                      <w:szCs w:val="21"/>
                      <w:highlight w:val="none"/>
                    </w:rPr>
                    <w:t>含量原辅材料替代</w:t>
                  </w:r>
                  <w:r>
                    <w:rPr>
                      <w:rFonts w:hint="default" w:ascii="Times New Roman" w:hAnsi="Times New Roman" w:cs="Times New Roman"/>
                      <w:color w:val="auto"/>
                      <w:spacing w:val="14"/>
                      <w:sz w:val="21"/>
                      <w:szCs w:val="21"/>
                      <w:highlight w:val="none"/>
                    </w:rPr>
                    <w:t xml:space="preserve"> </w:t>
                  </w:r>
                  <w:r>
                    <w:rPr>
                      <w:rFonts w:hint="default" w:ascii="Times New Roman" w:hAnsi="Times New Roman" w:cs="Times New Roman"/>
                      <w:color w:val="auto"/>
                      <w:spacing w:val="4"/>
                      <w:sz w:val="21"/>
                      <w:szCs w:val="21"/>
                      <w:highlight w:val="none"/>
                    </w:rPr>
                    <w:t>力度。室外构筑物防护和城市道路交通标志推广</w:t>
                  </w:r>
                  <w:r>
                    <w:rPr>
                      <w:rFonts w:hint="default" w:ascii="Times New Roman" w:hAnsi="Times New Roman" w:cs="Times New Roman"/>
                      <w:color w:val="auto"/>
                      <w:spacing w:val="11"/>
                      <w:sz w:val="21"/>
                      <w:szCs w:val="21"/>
                      <w:highlight w:val="none"/>
                    </w:rPr>
                    <w:t>使用低（无）</w:t>
                  </w:r>
                  <w:r>
                    <w:rPr>
                      <w:rFonts w:hint="default" w:ascii="Times New Roman" w:hAnsi="Times New Roman" w:eastAsia="Times New Roman" w:cs="Times New Roman"/>
                      <w:color w:val="auto"/>
                      <w:sz w:val="21"/>
                      <w:szCs w:val="21"/>
                      <w:highlight w:val="none"/>
                    </w:rPr>
                    <w:t>VOCs</w:t>
                  </w:r>
                  <w:r>
                    <w:rPr>
                      <w:rFonts w:hint="default" w:ascii="Times New Roman" w:hAnsi="Times New Roman" w:cs="Times New Roman"/>
                      <w:color w:val="auto"/>
                      <w:spacing w:val="11"/>
                      <w:sz w:val="21"/>
                      <w:szCs w:val="21"/>
                      <w:highlight w:val="none"/>
                    </w:rPr>
                    <w:t>含量涂料。严格执行</w:t>
                  </w:r>
                  <w:r>
                    <w:rPr>
                      <w:rFonts w:hint="default" w:ascii="Times New Roman" w:hAnsi="Times New Roman" w:cs="Times New Roman"/>
                      <w:color w:val="auto"/>
                      <w:spacing w:val="-30"/>
                      <w:sz w:val="21"/>
                      <w:szCs w:val="21"/>
                      <w:highlight w:val="none"/>
                    </w:rPr>
                    <w:t xml:space="preserve"> </w:t>
                  </w:r>
                  <w:r>
                    <w:rPr>
                      <w:rFonts w:hint="default" w:ascii="Times New Roman" w:hAnsi="Times New Roman" w:eastAsia="Times New Roman" w:cs="Times New Roman"/>
                      <w:color w:val="auto"/>
                      <w:sz w:val="21"/>
                      <w:szCs w:val="21"/>
                      <w:highlight w:val="none"/>
                    </w:rPr>
                    <w:t>VOCs</w:t>
                  </w:r>
                  <w:r>
                    <w:rPr>
                      <w:rFonts w:hint="default" w:ascii="Times New Roman" w:hAnsi="Times New Roman" w:cs="Times New Roman"/>
                      <w:color w:val="auto"/>
                      <w:spacing w:val="4"/>
                      <w:sz w:val="21"/>
                      <w:szCs w:val="21"/>
                      <w:highlight w:val="none"/>
                    </w:rPr>
                    <w:t>含量限值标准，确保生产、销售、进口、使用符</w:t>
                  </w:r>
                  <w:r>
                    <w:rPr>
                      <w:rFonts w:hint="default" w:ascii="Times New Roman" w:hAnsi="Times New Roman" w:cs="Times New Roman"/>
                      <w:color w:val="auto"/>
                      <w:spacing w:val="13"/>
                      <w:sz w:val="21"/>
                      <w:szCs w:val="21"/>
                      <w:highlight w:val="none"/>
                    </w:rPr>
                    <w:t xml:space="preserve"> </w:t>
                  </w:r>
                  <w:r>
                    <w:rPr>
                      <w:rFonts w:hint="default" w:ascii="Times New Roman" w:hAnsi="Times New Roman" w:cs="Times New Roman"/>
                      <w:color w:val="auto"/>
                      <w:spacing w:val="7"/>
                      <w:sz w:val="21"/>
                      <w:szCs w:val="21"/>
                      <w:highlight w:val="none"/>
                    </w:rPr>
                    <w:t>合标准的产品。</w:t>
                  </w:r>
                </w:p>
              </w:tc>
              <w:tc>
                <w:tcPr>
                  <w:tcW w:w="1771" w:type="pct"/>
                  <w:tcBorders>
                    <w:tl2br w:val="nil"/>
                    <w:tr2bl w:val="nil"/>
                  </w:tcBorders>
                  <w:shd w:val="clear" w:color="auto" w:fill="auto"/>
                  <w:vAlign w:val="center"/>
                </w:tcPr>
                <w:p w14:paraId="3BF3B6FD">
                  <w:pPr>
                    <w:pStyle w:val="356"/>
                    <w:keepNext w:val="0"/>
                    <w:keepLines w:val="0"/>
                    <w:pageBreakBefore w:val="0"/>
                    <w:widowControl w:val="0"/>
                    <w:kinsoku/>
                    <w:wordWrap/>
                    <w:overflowPunct/>
                    <w:topLinePunct w:val="0"/>
                    <w:autoSpaceDE/>
                    <w:autoSpaceDN/>
                    <w:bidi w:val="0"/>
                    <w:adjustRightInd/>
                    <w:snapToGrid/>
                    <w:spacing w:line="240" w:lineRule="auto"/>
                    <w:ind w:left="0" w:leftChars="0" w:right="48"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cs="Times New Roman"/>
                      <w:color w:val="auto"/>
                      <w:spacing w:val="20"/>
                      <w:sz w:val="21"/>
                      <w:szCs w:val="21"/>
                      <w:highlight w:val="none"/>
                    </w:rPr>
                    <w:t>本项目</w:t>
                  </w:r>
                  <w:r>
                    <w:rPr>
                      <w:rFonts w:hint="default" w:ascii="Times New Roman" w:hAnsi="Times New Roman" w:cs="Times New Roman"/>
                      <w:color w:val="auto"/>
                      <w:spacing w:val="8"/>
                      <w:sz w:val="21"/>
                      <w:szCs w:val="21"/>
                      <w:highlight w:val="none"/>
                    </w:rPr>
                    <w:t>使用</w:t>
                  </w:r>
                  <w:r>
                    <w:rPr>
                      <w:rFonts w:hint="default" w:ascii="Times New Roman" w:hAnsi="Times New Roman" w:cs="Times New Roman"/>
                      <w:color w:val="auto"/>
                      <w:spacing w:val="8"/>
                      <w:sz w:val="21"/>
                      <w:szCs w:val="21"/>
                      <w:highlight w:val="none"/>
                      <w:lang w:val="en-US" w:eastAsia="zh-CN"/>
                    </w:rPr>
                    <w:t>脱模剂作为浇注机清洗剂，其VOCs含量</w:t>
                  </w:r>
                  <w:r>
                    <w:rPr>
                      <w:rFonts w:hint="default" w:ascii="Times New Roman" w:hAnsi="Times New Roman" w:eastAsia="宋体" w:cs="Times New Roman"/>
                      <w:color w:val="auto"/>
                      <w:kern w:val="0"/>
                      <w:sz w:val="21"/>
                      <w:szCs w:val="21"/>
                      <w:highlight w:val="none"/>
                      <w:lang w:val="en-US" w:eastAsia="zh-CN" w:bidi="ar"/>
                    </w:rPr>
                    <w:t>满足《清洗剂挥发性有机化合物含量限值》（GB38508-2020）表</w:t>
                  </w:r>
                  <w:r>
                    <w:rPr>
                      <w:rFonts w:hint="eastAsia" w:ascii="Times New Roman" w:hAnsi="Times New Roman"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水基清洗剂限值要求</w:t>
                  </w:r>
                  <w:r>
                    <w:rPr>
                      <w:rFonts w:hint="default" w:ascii="Times New Roman" w:hAnsi="Times New Roman" w:cs="Times New Roman"/>
                      <w:color w:val="auto"/>
                      <w:spacing w:val="3"/>
                      <w:sz w:val="21"/>
                      <w:szCs w:val="21"/>
                      <w:highlight w:val="none"/>
                    </w:rPr>
                    <w:t>。</w:t>
                  </w:r>
                </w:p>
              </w:tc>
              <w:tc>
                <w:tcPr>
                  <w:tcW w:w="508" w:type="pct"/>
                  <w:tcBorders>
                    <w:tl2br w:val="nil"/>
                    <w:tr2bl w:val="nil"/>
                  </w:tcBorders>
                  <w:vAlign w:val="center"/>
                </w:tcPr>
                <w:p w14:paraId="3BA3C437">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3"/>
                      <w:sz w:val="21"/>
                      <w:szCs w:val="21"/>
                      <w:highlight w:val="none"/>
                    </w:rPr>
                  </w:pPr>
                  <w:r>
                    <w:rPr>
                      <w:rFonts w:hint="default" w:ascii="Times New Roman" w:hAnsi="Times New Roman" w:cs="Times New Roman"/>
                      <w:color w:val="auto"/>
                      <w:spacing w:val="3"/>
                      <w:sz w:val="21"/>
                      <w:szCs w:val="21"/>
                      <w:highlight w:val="none"/>
                    </w:rPr>
                    <w:t>符合</w:t>
                  </w:r>
                </w:p>
              </w:tc>
            </w:tr>
            <w:tr w14:paraId="13F46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6" w:type="pct"/>
                  <w:tcBorders>
                    <w:tl2br w:val="nil"/>
                    <w:tr2bl w:val="nil"/>
                  </w:tcBorders>
                  <w:vAlign w:val="center"/>
                </w:tcPr>
                <w:p w14:paraId="11FD616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2233" w:type="pct"/>
                  <w:tcBorders>
                    <w:tl2br w:val="nil"/>
                    <w:tr2bl w:val="nil"/>
                  </w:tcBorders>
                  <w:vAlign w:val="center"/>
                </w:tcPr>
                <w:p w14:paraId="247455BA">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3"/>
                      <w:sz w:val="21"/>
                      <w:szCs w:val="21"/>
                      <w:highlight w:val="none"/>
                    </w:rPr>
                  </w:pPr>
                  <w:r>
                    <w:rPr>
                      <w:rFonts w:hint="default" w:ascii="Times New Roman" w:hAnsi="Times New Roman" w:cs="Times New Roman"/>
                      <w:color w:val="auto"/>
                      <w:spacing w:val="7"/>
                      <w:sz w:val="21"/>
                      <w:szCs w:val="21"/>
                      <w:highlight w:val="none"/>
                    </w:rPr>
                    <w:t>加快涉气重点行业深度治理。高质量推进钢铁、</w:t>
                  </w:r>
                  <w:r>
                    <w:rPr>
                      <w:rFonts w:hint="default" w:ascii="Times New Roman" w:hAnsi="Times New Roman" w:cs="Times New Roman"/>
                      <w:color w:val="auto"/>
                      <w:spacing w:val="14"/>
                      <w:sz w:val="21"/>
                      <w:szCs w:val="21"/>
                      <w:highlight w:val="none"/>
                    </w:rPr>
                    <w:t>水泥、焦化等重点行业及燃煤锅炉超低排放改</w:t>
                  </w:r>
                  <w:r>
                    <w:rPr>
                      <w:rFonts w:hint="default" w:ascii="Times New Roman" w:hAnsi="Times New Roman" w:cs="Times New Roman"/>
                      <w:color w:val="auto"/>
                      <w:spacing w:val="7"/>
                      <w:sz w:val="21"/>
                      <w:szCs w:val="21"/>
                      <w:highlight w:val="none"/>
                    </w:rPr>
                    <w:t>造。到</w:t>
                  </w:r>
                  <w:r>
                    <w:rPr>
                      <w:rFonts w:hint="default" w:ascii="Times New Roman" w:hAnsi="Times New Roman" w:cs="Times New Roman"/>
                      <w:color w:val="auto"/>
                      <w:spacing w:val="-27"/>
                      <w:sz w:val="21"/>
                      <w:szCs w:val="21"/>
                      <w:highlight w:val="none"/>
                    </w:rPr>
                    <w:t xml:space="preserve"> </w:t>
                  </w:r>
                  <w:r>
                    <w:rPr>
                      <w:rFonts w:hint="default" w:ascii="Times New Roman" w:hAnsi="Times New Roman" w:eastAsia="Times New Roman" w:cs="Times New Roman"/>
                      <w:color w:val="auto"/>
                      <w:spacing w:val="7"/>
                      <w:sz w:val="21"/>
                      <w:szCs w:val="21"/>
                      <w:highlight w:val="none"/>
                    </w:rPr>
                    <w:t xml:space="preserve">2025 </w:t>
                  </w:r>
                  <w:r>
                    <w:rPr>
                      <w:rFonts w:hint="default" w:ascii="Times New Roman" w:hAnsi="Times New Roman" w:cs="Times New Roman"/>
                      <w:color w:val="auto"/>
                      <w:spacing w:val="7"/>
                      <w:sz w:val="21"/>
                      <w:szCs w:val="21"/>
                      <w:highlight w:val="none"/>
                    </w:rPr>
                    <w:t>年，全省钢铁冶炼企业、燃煤锅炉</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pacing w:val="4"/>
                      <w:sz w:val="21"/>
                      <w:szCs w:val="21"/>
                      <w:highlight w:val="none"/>
                    </w:rPr>
                    <w:t>全面完成超低排放改造，独立烧结、球团、热轧企业参照钢铁超低排放标准力争完成改造。</w:t>
                  </w:r>
                </w:p>
              </w:tc>
              <w:tc>
                <w:tcPr>
                  <w:tcW w:w="1771" w:type="pct"/>
                  <w:tcBorders>
                    <w:tl2br w:val="nil"/>
                    <w:tr2bl w:val="nil"/>
                  </w:tcBorders>
                  <w:vAlign w:val="center"/>
                </w:tcPr>
                <w:p w14:paraId="6AD87B2E">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lang w:val="en-US" w:eastAsia="zh-CN"/>
                    </w:rPr>
                    <w:t>本项目</w:t>
                  </w:r>
                  <w:r>
                    <w:rPr>
                      <w:rFonts w:hint="default" w:ascii="Times New Roman" w:hAnsi="Times New Roman" w:cs="Times New Roman"/>
                      <w:color w:val="auto"/>
                      <w:spacing w:val="8"/>
                      <w:sz w:val="21"/>
                      <w:szCs w:val="21"/>
                      <w:highlight w:val="none"/>
                    </w:rPr>
                    <w:t>不涉及燃</w:t>
                  </w:r>
                  <w:r>
                    <w:rPr>
                      <w:rFonts w:hint="default" w:ascii="Times New Roman" w:hAnsi="Times New Roman" w:cs="Times New Roman"/>
                      <w:color w:val="auto"/>
                      <w:spacing w:val="7"/>
                      <w:sz w:val="21"/>
                      <w:szCs w:val="21"/>
                      <w:highlight w:val="none"/>
                    </w:rPr>
                    <w:t>煤锅炉的使用。</w:t>
                  </w:r>
                </w:p>
              </w:tc>
              <w:tc>
                <w:tcPr>
                  <w:tcW w:w="508" w:type="pct"/>
                  <w:tcBorders>
                    <w:tl2br w:val="nil"/>
                    <w:tr2bl w:val="nil"/>
                  </w:tcBorders>
                  <w:vAlign w:val="center"/>
                </w:tcPr>
                <w:p w14:paraId="6B9F3275">
                  <w:pPr>
                    <w:pStyle w:val="35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3"/>
                      <w:sz w:val="21"/>
                      <w:szCs w:val="21"/>
                      <w:highlight w:val="none"/>
                    </w:rPr>
                  </w:pPr>
                  <w:r>
                    <w:rPr>
                      <w:rFonts w:hint="default" w:ascii="Times New Roman" w:hAnsi="Times New Roman" w:cs="Times New Roman"/>
                      <w:color w:val="auto"/>
                      <w:spacing w:val="3"/>
                      <w:sz w:val="21"/>
                      <w:szCs w:val="21"/>
                      <w:highlight w:val="none"/>
                    </w:rPr>
                    <w:t>符合</w:t>
                  </w:r>
                </w:p>
              </w:tc>
            </w:tr>
          </w:tbl>
          <w:p w14:paraId="5019781F">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与《重点行业挥发性有机物综合治理方案》相符性</w:t>
            </w:r>
          </w:p>
          <w:p w14:paraId="0B0B427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表1-</w:t>
            </w:r>
            <w:r>
              <w:rPr>
                <w:rFonts w:hint="eastAsia" w:cs="Times New Roman"/>
                <w:b/>
                <w:color w:val="auto"/>
                <w:sz w:val="21"/>
                <w:szCs w:val="21"/>
                <w:highlight w:val="none"/>
                <w:lang w:val="en-US" w:eastAsia="zh-CN"/>
              </w:rPr>
              <w:t>10</w:t>
            </w:r>
            <w:r>
              <w:rPr>
                <w:rFonts w:hint="default" w:ascii="Times New Roman" w:hAnsi="Times New Roman" w:eastAsia="宋体" w:cs="Times New Roman"/>
                <w:b/>
                <w:color w:val="auto"/>
                <w:sz w:val="21"/>
                <w:szCs w:val="21"/>
                <w:highlight w:val="none"/>
                <w:lang w:val="en-US" w:eastAsia="zh-CN"/>
              </w:rPr>
              <w:t xml:space="preserve"> </w:t>
            </w:r>
            <w:r>
              <w:rPr>
                <w:rFonts w:hint="eastAsia"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val="en-US" w:eastAsia="zh-CN"/>
              </w:rPr>
              <w:t>与《重点行业挥发性有机物综合治理方案》相符性分析</w:t>
            </w:r>
            <w:r>
              <w:rPr>
                <w:rFonts w:hint="eastAsia" w:cs="Times New Roman"/>
                <w:b/>
                <w:color w:val="auto"/>
                <w:sz w:val="21"/>
                <w:szCs w:val="21"/>
                <w:highlight w:val="none"/>
                <w:lang w:val="en-US" w:eastAsia="zh-CN"/>
              </w:rPr>
              <w:t>（参照）</w:t>
            </w:r>
          </w:p>
          <w:tbl>
            <w:tblPr>
              <w:tblStyle w:val="4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1"/>
              <w:gridCol w:w="2431"/>
              <w:gridCol w:w="758"/>
            </w:tblGrid>
            <w:tr w14:paraId="57F3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28" w:type="pct"/>
                  <w:noWrap w:val="0"/>
                  <w:vAlign w:val="center"/>
                </w:tcPr>
                <w:p w14:paraId="785FA305">
                  <w:pPr>
                    <w:pStyle w:val="5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文件及要求</w:t>
                  </w:r>
                </w:p>
              </w:tc>
              <w:tc>
                <w:tcPr>
                  <w:tcW w:w="1731" w:type="pct"/>
                  <w:noWrap w:val="0"/>
                  <w:vAlign w:val="center"/>
                </w:tcPr>
                <w:p w14:paraId="174755FE">
                  <w:pPr>
                    <w:pStyle w:val="5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项目情况</w:t>
                  </w:r>
                </w:p>
              </w:tc>
              <w:tc>
                <w:tcPr>
                  <w:tcW w:w="540" w:type="pct"/>
                  <w:noWrap w:val="0"/>
                  <w:vAlign w:val="center"/>
                </w:tcPr>
                <w:p w14:paraId="544AF104">
                  <w:pPr>
                    <w:pStyle w:val="5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相符性</w:t>
                  </w:r>
                </w:p>
              </w:tc>
            </w:tr>
            <w:tr w14:paraId="10833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28" w:type="pct"/>
                  <w:noWrap w:val="0"/>
                  <w:vAlign w:val="center"/>
                </w:tcPr>
                <w:p w14:paraId="783A530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r>
                    <w:rPr>
                      <w:rFonts w:hint="default" w:ascii="Times New Roman" w:hAnsi="Times New Roman" w:cs="Times New Roman"/>
                      <w:color w:val="auto"/>
                      <w:sz w:val="21"/>
                      <w:szCs w:val="21"/>
                      <w:highlight w:val="none"/>
                      <w:lang w:eastAsia="zh-CN"/>
                    </w:rPr>
                    <w:t>。</w:t>
                  </w:r>
                </w:p>
              </w:tc>
              <w:tc>
                <w:tcPr>
                  <w:tcW w:w="1731" w:type="pct"/>
                  <w:noWrap w:val="0"/>
                  <w:vAlign w:val="center"/>
                </w:tcPr>
                <w:p w14:paraId="0BE2373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snapToGrid w:val="0"/>
                      <w:color w:val="auto"/>
                      <w:sz w:val="21"/>
                      <w:szCs w:val="21"/>
                      <w:highlight w:val="none"/>
                      <w:lang w:val="en-US" w:eastAsia="zh-CN"/>
                    </w:rPr>
                    <w:t>本项目所用清洗剂</w:t>
                  </w:r>
                  <w:r>
                    <w:rPr>
                      <w:rFonts w:hint="eastAsia" w:eastAsia="宋体" w:cs="Times New Roman"/>
                      <w:color w:val="auto"/>
                      <w:kern w:val="0"/>
                      <w:sz w:val="21"/>
                      <w:szCs w:val="21"/>
                      <w:highlight w:val="none"/>
                      <w:lang w:val="en-US" w:eastAsia="zh-CN" w:bidi="ar"/>
                    </w:rPr>
                    <w:t>脱模剂</w:t>
                  </w:r>
                  <w:r>
                    <w:rPr>
                      <w:rFonts w:hint="default" w:ascii="Times New Roman" w:hAnsi="Times New Roman" w:eastAsia="宋体" w:cs="Times New Roman"/>
                      <w:color w:val="auto"/>
                      <w:kern w:val="0"/>
                      <w:sz w:val="21"/>
                      <w:szCs w:val="21"/>
                      <w:highlight w:val="none"/>
                      <w:lang w:val="en-US" w:eastAsia="zh-CN" w:bidi="ar"/>
                    </w:rPr>
                    <w:t>属于</w:t>
                  </w:r>
                  <w:r>
                    <w:rPr>
                      <w:rFonts w:hint="eastAsia" w:eastAsia="宋体" w:cs="Times New Roman"/>
                      <w:color w:val="auto"/>
                      <w:kern w:val="0"/>
                      <w:sz w:val="21"/>
                      <w:szCs w:val="21"/>
                      <w:highlight w:val="none"/>
                      <w:lang w:val="en-US" w:eastAsia="zh-CN" w:bidi="ar"/>
                    </w:rPr>
                    <w:t>水基型</w:t>
                  </w:r>
                  <w:r>
                    <w:rPr>
                      <w:rFonts w:hint="default" w:ascii="Times New Roman" w:hAnsi="Times New Roman" w:eastAsia="宋体" w:cs="Times New Roman"/>
                      <w:color w:val="auto"/>
                      <w:kern w:val="0"/>
                      <w:sz w:val="21"/>
                      <w:szCs w:val="21"/>
                      <w:highlight w:val="none"/>
                      <w:lang w:val="en-US" w:eastAsia="zh-CN" w:bidi="ar"/>
                    </w:rPr>
                    <w:t>清洗剂，VOC比例为</w:t>
                  </w:r>
                  <w:r>
                    <w:rPr>
                      <w:rFonts w:hint="eastAsia" w:eastAsia="宋体"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%，换算后VOC含量</w:t>
                  </w:r>
                  <w:r>
                    <w:rPr>
                      <w:rFonts w:hint="eastAsia" w:cs="Times New Roman"/>
                      <w:color w:val="auto"/>
                      <w:kern w:val="0"/>
                      <w:sz w:val="21"/>
                      <w:szCs w:val="21"/>
                      <w:highlight w:val="none"/>
                      <w:lang w:val="en-US" w:eastAsia="zh-CN" w:bidi="ar"/>
                    </w:rPr>
                    <w:t>不超过</w:t>
                  </w:r>
                  <w:r>
                    <w:rPr>
                      <w:rFonts w:hint="eastAsia" w:eastAsia="宋体" w:cs="Times New Roman"/>
                      <w:color w:val="auto"/>
                      <w:kern w:val="0"/>
                      <w:sz w:val="21"/>
                      <w:szCs w:val="21"/>
                      <w:highlight w:val="none"/>
                      <w:lang w:val="en-US" w:eastAsia="zh-CN" w:bidi="ar"/>
                    </w:rPr>
                    <w:t>16.9</w:t>
                  </w:r>
                  <w:r>
                    <w:rPr>
                      <w:rFonts w:hint="default" w:ascii="Times New Roman" w:hAnsi="Times New Roman" w:eastAsia="宋体" w:cs="Times New Roman"/>
                      <w:color w:val="auto"/>
                      <w:kern w:val="0"/>
                      <w:sz w:val="21"/>
                      <w:szCs w:val="21"/>
                      <w:highlight w:val="none"/>
                      <w:lang w:val="en-US" w:eastAsia="zh-CN" w:bidi="ar"/>
                    </w:rPr>
                    <w:t>g/L，满足《清洗剂挥发性有机化合物含量限值》（GB38508-2020）表1</w:t>
                  </w:r>
                  <w:r>
                    <w:rPr>
                      <w:rFonts w:hint="eastAsia" w:eastAsia="宋体" w:cs="Times New Roman"/>
                      <w:color w:val="auto"/>
                      <w:kern w:val="0"/>
                      <w:sz w:val="21"/>
                      <w:szCs w:val="21"/>
                      <w:highlight w:val="none"/>
                      <w:lang w:val="en-US" w:eastAsia="zh-CN" w:bidi="ar"/>
                    </w:rPr>
                    <w:t>水基型</w:t>
                  </w:r>
                  <w:r>
                    <w:rPr>
                      <w:rFonts w:hint="default" w:ascii="Times New Roman" w:hAnsi="Times New Roman" w:eastAsia="宋体" w:cs="Times New Roman"/>
                      <w:color w:val="auto"/>
                      <w:kern w:val="0"/>
                      <w:sz w:val="21"/>
                      <w:szCs w:val="21"/>
                      <w:highlight w:val="none"/>
                      <w:lang w:val="en-US" w:eastAsia="zh-CN" w:bidi="ar"/>
                    </w:rPr>
                    <w:t>清洗剂VOC≤</w:t>
                  </w:r>
                  <w:r>
                    <w:rPr>
                      <w:rFonts w:hint="eastAsia" w:eastAsia="宋体"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0g/L的限值要求</w:t>
                  </w:r>
                  <w:r>
                    <w:rPr>
                      <w:rFonts w:hint="default" w:ascii="Times New Roman" w:hAnsi="Times New Roman" w:cs="Times New Roman"/>
                      <w:color w:val="auto"/>
                      <w:sz w:val="21"/>
                      <w:szCs w:val="21"/>
                      <w:highlight w:val="none"/>
                      <w:lang w:eastAsia="zh-CN"/>
                    </w:rPr>
                    <w:t>。</w:t>
                  </w:r>
                </w:p>
              </w:tc>
              <w:tc>
                <w:tcPr>
                  <w:tcW w:w="540" w:type="pct"/>
                  <w:noWrap w:val="0"/>
                  <w:vAlign w:val="center"/>
                </w:tcPr>
                <w:p w14:paraId="1F76DCF9">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CC3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28" w:type="pct"/>
                  <w:noWrap w:val="0"/>
                  <w:vAlign w:val="center"/>
                </w:tcPr>
                <w:p w14:paraId="7D9BFD34">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r>
                    <w:rPr>
                      <w:rFonts w:hint="eastAsia" w:ascii="Times New Roman" w:hAnsi="Times New Roman" w:cs="Times New Roman"/>
                      <w:color w:val="auto"/>
                      <w:sz w:val="21"/>
                      <w:szCs w:val="21"/>
                      <w:highlight w:val="none"/>
                      <w:lang w:eastAsia="zh-CN"/>
                    </w:rPr>
                    <w:t>。</w:t>
                  </w:r>
                </w:p>
              </w:tc>
              <w:tc>
                <w:tcPr>
                  <w:tcW w:w="1731" w:type="pct"/>
                  <w:noWrap w:val="0"/>
                  <w:vAlign w:val="center"/>
                </w:tcPr>
                <w:p w14:paraId="1D8CA375">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聚氨酯原液和脱模剂</w:t>
                  </w:r>
                  <w:r>
                    <w:rPr>
                      <w:rFonts w:hint="default" w:ascii="Times New Roman" w:hAnsi="Times New Roman" w:cs="Times New Roman"/>
                      <w:color w:val="auto"/>
                      <w:sz w:val="21"/>
                      <w:szCs w:val="21"/>
                      <w:highlight w:val="none"/>
                      <w:lang w:val="en-US" w:eastAsia="zh-CN"/>
                    </w:rPr>
                    <w:t>等储存、运输过程均采取密闭包装桶包装；</w:t>
                  </w:r>
                  <w:r>
                    <w:rPr>
                      <w:rFonts w:hint="eastAsia" w:cs="Times New Roman"/>
                      <w:color w:val="auto"/>
                      <w:sz w:val="21"/>
                      <w:szCs w:val="21"/>
                      <w:highlight w:val="none"/>
                      <w:lang w:val="en-US" w:eastAsia="zh-CN"/>
                    </w:rPr>
                    <w:t>生产时</w:t>
                  </w:r>
                  <w:r>
                    <w:rPr>
                      <w:rFonts w:hint="default" w:ascii="Times New Roman" w:hAnsi="Times New Roman" w:cs="Times New Roman"/>
                      <w:color w:val="auto"/>
                      <w:sz w:val="21"/>
                      <w:szCs w:val="21"/>
                      <w:highlight w:val="none"/>
                      <w:lang w:val="en-US" w:eastAsia="zh-CN"/>
                    </w:rPr>
                    <w:t>时随用随取，不用时加盖封口保持密闭状态；</w:t>
                  </w:r>
                  <w:r>
                    <w:rPr>
                      <w:rFonts w:hint="eastAsia" w:cs="Times New Roman"/>
                      <w:color w:val="auto"/>
                      <w:sz w:val="21"/>
                      <w:szCs w:val="21"/>
                      <w:highlight w:val="none"/>
                      <w:lang w:val="en-US" w:eastAsia="zh-CN"/>
                    </w:rPr>
                    <w:t>泵料和搅拌等过程</w:t>
                  </w:r>
                  <w:r>
                    <w:rPr>
                      <w:rFonts w:hint="default" w:ascii="Times New Roman" w:hAnsi="Times New Roman" w:cs="Times New Roman"/>
                      <w:color w:val="auto"/>
                      <w:sz w:val="21"/>
                      <w:szCs w:val="21"/>
                      <w:highlight w:val="none"/>
                      <w:lang w:val="en-US" w:eastAsia="zh-CN"/>
                    </w:rPr>
                    <w:t>密闭操作，出料产生的有机废气通过集气罩收集</w:t>
                  </w:r>
                  <w:r>
                    <w:rPr>
                      <w:rFonts w:hint="eastAsia" w:cs="Times New Roman"/>
                      <w:color w:val="auto"/>
                      <w:sz w:val="21"/>
                      <w:szCs w:val="21"/>
                      <w:highlight w:val="none"/>
                      <w:lang w:val="en-US" w:eastAsia="zh-CN"/>
                    </w:rPr>
                    <w:t>。</w:t>
                  </w:r>
                </w:p>
              </w:tc>
              <w:tc>
                <w:tcPr>
                  <w:tcW w:w="540" w:type="pct"/>
                  <w:noWrap w:val="0"/>
                  <w:vAlign w:val="center"/>
                </w:tcPr>
                <w:p w14:paraId="50E55464">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0C3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28" w:type="pct"/>
                  <w:noWrap w:val="0"/>
                  <w:vAlign w:val="center"/>
                </w:tcPr>
                <w:p w14:paraId="2B6896E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r>
                    <w:rPr>
                      <w:rFonts w:hint="default" w:ascii="Times New Roman" w:hAnsi="Times New Roman" w:cs="Times New Roman"/>
                      <w:color w:val="auto"/>
                      <w:sz w:val="21"/>
                      <w:szCs w:val="21"/>
                      <w:highlight w:val="none"/>
                      <w:lang w:eastAsia="zh-CN"/>
                    </w:rPr>
                    <w:t>。</w:t>
                  </w:r>
                </w:p>
              </w:tc>
              <w:tc>
                <w:tcPr>
                  <w:tcW w:w="1731" w:type="pct"/>
                  <w:noWrap w:val="0"/>
                  <w:vAlign w:val="center"/>
                </w:tcPr>
                <w:p w14:paraId="6F5AAF1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注塑、浇注和脱模剂使用</w:t>
                  </w:r>
                  <w:r>
                    <w:rPr>
                      <w:rFonts w:hint="default" w:ascii="Times New Roman" w:hAnsi="Times New Roman" w:cs="Times New Roman"/>
                      <w:color w:val="auto"/>
                      <w:sz w:val="21"/>
                      <w:szCs w:val="21"/>
                      <w:highlight w:val="none"/>
                      <w:lang w:val="en-US" w:eastAsia="zh-CN"/>
                    </w:rPr>
                    <w:t>过程产生的有机废气通过集气罩</w:t>
                  </w:r>
                  <w:r>
                    <w:rPr>
                      <w:rFonts w:hint="eastAsia" w:cs="Times New Roman"/>
                      <w:color w:val="auto"/>
                      <w:sz w:val="21"/>
                      <w:szCs w:val="21"/>
                      <w:highlight w:val="none"/>
                      <w:lang w:val="en-US" w:eastAsia="zh-CN"/>
                    </w:rPr>
                    <w:t>收集，</w:t>
                  </w:r>
                  <w:r>
                    <w:rPr>
                      <w:rFonts w:hint="default" w:ascii="Times New Roman" w:hAnsi="Times New Roman" w:cs="Times New Roman"/>
                      <w:color w:val="auto"/>
                      <w:sz w:val="21"/>
                      <w:szCs w:val="21"/>
                      <w:highlight w:val="none"/>
                    </w:rPr>
                    <w:t>废气经</w:t>
                  </w:r>
                  <w:r>
                    <w:rPr>
                      <w:rFonts w:hint="default" w:ascii="Times New Roman" w:hAnsi="Times New Roman" w:cs="Times New Roman"/>
                      <w:color w:val="auto"/>
                      <w:sz w:val="21"/>
                      <w:szCs w:val="21"/>
                      <w:highlight w:val="none"/>
                      <w:lang w:eastAsia="zh-CN"/>
                    </w:rPr>
                    <w:t>引风机</w:t>
                  </w:r>
                  <w:r>
                    <w:rPr>
                      <w:rFonts w:hint="default" w:ascii="Times New Roman" w:hAnsi="Times New Roman" w:cs="Times New Roman"/>
                      <w:color w:val="auto"/>
                      <w:sz w:val="21"/>
                      <w:szCs w:val="21"/>
                      <w:highlight w:val="none"/>
                    </w:rPr>
                    <w:t>引入到1套</w:t>
                  </w:r>
                  <w:r>
                    <w:rPr>
                      <w:rFonts w:hint="default" w:ascii="Times New Roman" w:hAnsi="Times New Roman" w:cs="Times New Roman"/>
                      <w:color w:val="auto"/>
                      <w:sz w:val="21"/>
                      <w:szCs w:val="21"/>
                      <w:highlight w:val="none"/>
                      <w:lang w:val="en-US" w:eastAsia="zh-CN"/>
                    </w:rPr>
                    <w:t>二级</w:t>
                  </w:r>
                  <w:r>
                    <w:rPr>
                      <w:rFonts w:hint="default" w:ascii="Times New Roman" w:hAnsi="Times New Roman" w:cs="Times New Roman"/>
                      <w:color w:val="auto"/>
                      <w:sz w:val="21"/>
                      <w:szCs w:val="21"/>
                      <w:highlight w:val="none"/>
                    </w:rPr>
                    <w:t>活性炭净化装置处理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根据相关规范合理设置</w:t>
                  </w:r>
                  <w:r>
                    <w:rPr>
                      <w:rFonts w:hint="default" w:ascii="Times New Roman" w:hAnsi="Times New Roman" w:cs="Times New Roman"/>
                      <w:color w:val="auto"/>
                      <w:sz w:val="21"/>
                      <w:szCs w:val="21"/>
                      <w:highlight w:val="none"/>
                      <w:lang w:eastAsia="zh-CN"/>
                    </w:rPr>
                    <w:t>了</w:t>
                  </w:r>
                  <w:r>
                    <w:rPr>
                      <w:rFonts w:hint="default" w:ascii="Times New Roman" w:hAnsi="Times New Roman" w:cs="Times New Roman"/>
                      <w:color w:val="auto"/>
                      <w:sz w:val="21"/>
                      <w:szCs w:val="21"/>
                      <w:highlight w:val="none"/>
                    </w:rPr>
                    <w:t>通风量</w:t>
                  </w:r>
                  <w:r>
                    <w:rPr>
                      <w:rFonts w:hint="default" w:ascii="Times New Roman" w:hAnsi="Times New Roman" w:cs="Times New Roman"/>
                      <w:color w:val="auto"/>
                      <w:sz w:val="21"/>
                      <w:szCs w:val="21"/>
                      <w:highlight w:val="none"/>
                      <w:lang w:eastAsia="zh-CN"/>
                    </w:rPr>
                    <w:t>，确保距集气罩开口面最远处的VOCs无组织排放位置控制风速应不低于0.3米/秒。</w:t>
                  </w:r>
                  <w:r>
                    <w:rPr>
                      <w:rFonts w:hint="default" w:ascii="Times New Roman" w:hAnsi="Times New Roman" w:cs="Times New Roman"/>
                      <w:color w:val="auto"/>
                      <w:sz w:val="21"/>
                      <w:szCs w:val="21"/>
                      <w:highlight w:val="none"/>
                    </w:rPr>
                    <w:t xml:space="preserve"> </w:t>
                  </w:r>
                </w:p>
              </w:tc>
              <w:tc>
                <w:tcPr>
                  <w:tcW w:w="540" w:type="pct"/>
                  <w:noWrap w:val="0"/>
                  <w:vAlign w:val="center"/>
                </w:tcPr>
                <w:p w14:paraId="3785DB01">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B14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28" w:type="pct"/>
                  <w:noWrap w:val="0"/>
                  <w:vAlign w:val="center"/>
                </w:tcPr>
                <w:p w14:paraId="79AA470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r>
                    <w:rPr>
                      <w:rFonts w:hint="default" w:ascii="Times New Roman" w:hAnsi="Times New Roman" w:cs="Times New Roman"/>
                      <w:color w:val="auto"/>
                      <w:sz w:val="21"/>
                      <w:szCs w:val="21"/>
                      <w:highlight w:val="none"/>
                      <w:lang w:eastAsia="zh-CN"/>
                    </w:rPr>
                    <w:t>。</w:t>
                  </w:r>
                </w:p>
              </w:tc>
              <w:tc>
                <w:tcPr>
                  <w:tcW w:w="1731" w:type="pct"/>
                  <w:noWrap w:val="0"/>
                  <w:vAlign w:val="center"/>
                </w:tcPr>
                <w:p w14:paraId="6E4E780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项目有机废气主要</w:t>
                  </w:r>
                  <w:r>
                    <w:rPr>
                      <w:rFonts w:hint="default" w:ascii="Times New Roman" w:hAnsi="Times New Roman" w:cs="Times New Roman"/>
                      <w:color w:val="auto"/>
                      <w:sz w:val="21"/>
                      <w:szCs w:val="21"/>
                      <w:highlight w:val="none"/>
                      <w:lang w:val="en-US" w:eastAsia="zh-CN"/>
                    </w:rPr>
                    <w:t>为非甲烷总烃</w:t>
                  </w:r>
                  <w:r>
                    <w:rPr>
                      <w:rFonts w:hint="eastAsia" w:ascii="Times New Roman" w:hAnsi="Times New Roman" w:cs="Times New Roman"/>
                      <w:color w:val="auto"/>
                      <w:sz w:val="21"/>
                      <w:szCs w:val="21"/>
                      <w:highlight w:val="none"/>
                      <w:lang w:val="en-US" w:eastAsia="zh-CN"/>
                    </w:rPr>
                    <w:t>和</w:t>
                  </w:r>
                  <w:r>
                    <w:rPr>
                      <w:rFonts w:hint="eastAsia" w:cs="Times New Roman"/>
                      <w:color w:val="auto"/>
                      <w:sz w:val="21"/>
                      <w:szCs w:val="21"/>
                      <w:highlight w:val="none"/>
                      <w:lang w:val="en-US" w:eastAsia="zh-CN"/>
                    </w:rPr>
                    <w:t>氯乙烯</w:t>
                  </w:r>
                  <w:r>
                    <w:rPr>
                      <w:rFonts w:hint="default" w:ascii="Times New Roman" w:hAnsi="Times New Roman" w:cs="Times New Roman"/>
                      <w:color w:val="auto"/>
                      <w:sz w:val="21"/>
                      <w:szCs w:val="21"/>
                      <w:highlight w:val="none"/>
                      <w:lang w:val="en-US" w:eastAsia="zh-CN"/>
                    </w:rPr>
                    <w:t>，属于非水溶性废气</w:t>
                  </w:r>
                  <w:r>
                    <w:rPr>
                      <w:rFonts w:hint="default" w:ascii="Times New Roman" w:hAnsi="Times New Roman" w:cs="Times New Roman"/>
                      <w:color w:val="auto"/>
                      <w:sz w:val="21"/>
                      <w:szCs w:val="21"/>
                      <w:highlight w:val="none"/>
                    </w:rPr>
                    <w:t>，主要</w:t>
                  </w:r>
                  <w:r>
                    <w:rPr>
                      <w:rFonts w:hint="default" w:ascii="Times New Roman" w:hAnsi="Times New Roman" w:cs="Times New Roman"/>
                      <w:color w:val="auto"/>
                      <w:sz w:val="21"/>
                      <w:szCs w:val="21"/>
                      <w:highlight w:val="none"/>
                      <w:lang w:val="en-US" w:eastAsia="zh-CN"/>
                    </w:rPr>
                    <w:t>处理措施</w:t>
                  </w:r>
                  <w:r>
                    <w:rPr>
                      <w:rFonts w:hint="default" w:ascii="Times New Roman" w:hAnsi="Times New Roman" w:cs="Times New Roman"/>
                      <w:color w:val="auto"/>
                      <w:sz w:val="21"/>
                      <w:szCs w:val="21"/>
                      <w:highlight w:val="none"/>
                    </w:rPr>
                    <w:t>采用</w:t>
                  </w:r>
                  <w:r>
                    <w:rPr>
                      <w:rFonts w:hint="default" w:ascii="Times New Roman" w:hAnsi="Times New Roman" w:cs="Times New Roman"/>
                      <w:color w:val="auto"/>
                      <w:sz w:val="21"/>
                      <w:szCs w:val="21"/>
                      <w:highlight w:val="none"/>
                      <w:lang w:val="en-US" w:eastAsia="zh-CN"/>
                    </w:rPr>
                    <w:t>二级活性炭吸附处理，废活性炭定期交由有资质单位处理。</w:t>
                  </w:r>
                  <w:r>
                    <w:rPr>
                      <w:rFonts w:hint="default" w:ascii="Times New Roman" w:hAnsi="Times New Roman" w:cs="Times New Roman"/>
                      <w:color w:val="auto"/>
                      <w:sz w:val="21"/>
                      <w:szCs w:val="21"/>
                      <w:highlight w:val="none"/>
                    </w:rPr>
                    <w:t xml:space="preserve"> </w:t>
                  </w:r>
                </w:p>
              </w:tc>
              <w:tc>
                <w:tcPr>
                  <w:tcW w:w="540" w:type="pct"/>
                  <w:noWrap w:val="0"/>
                  <w:vAlign w:val="center"/>
                </w:tcPr>
                <w:p w14:paraId="178D29C2">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8FF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28" w:type="pct"/>
                  <w:noWrap w:val="0"/>
                  <w:vAlign w:val="center"/>
                </w:tcPr>
                <w:p w14:paraId="4553F76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采用吸附处理工艺的，应满足《吸附法工业有机废气治理工程技术规范》要求</w:t>
                  </w:r>
                  <w:r>
                    <w:rPr>
                      <w:rFonts w:hint="default" w:ascii="Times New Roman" w:hAnsi="Times New Roman" w:cs="Times New Roman"/>
                      <w:color w:val="auto"/>
                      <w:sz w:val="21"/>
                      <w:szCs w:val="21"/>
                      <w:highlight w:val="none"/>
                      <w:lang w:eastAsia="zh-CN"/>
                    </w:rPr>
                    <w:t>。</w:t>
                  </w:r>
                </w:p>
              </w:tc>
              <w:tc>
                <w:tcPr>
                  <w:tcW w:w="1731" w:type="pct"/>
                  <w:noWrap w:val="0"/>
                  <w:vAlign w:val="center"/>
                </w:tcPr>
                <w:p w14:paraId="3B002E5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项目生产过程中有机废气采用二级活性炭吸附装置处理</w:t>
                  </w:r>
                  <w:r>
                    <w:rPr>
                      <w:rFonts w:hint="default" w:ascii="Times New Roman" w:hAnsi="Times New Roman" w:eastAsia="宋体" w:cs="Times New Roman"/>
                      <w:color w:val="auto"/>
                      <w:sz w:val="21"/>
                      <w:szCs w:val="21"/>
                      <w:highlight w:val="none"/>
                      <w:lang w:val="en-US" w:eastAsia="zh-CN"/>
                    </w:rPr>
                    <w:t>，有机废气产生浓度较低，能够满足规范相关要求 </w:t>
                  </w:r>
                  <w:r>
                    <w:rPr>
                      <w:rFonts w:hint="default" w:ascii="Times New Roman" w:hAnsi="Times New Roman" w:cs="Times New Roman"/>
                      <w:color w:val="auto"/>
                      <w:sz w:val="21"/>
                      <w:szCs w:val="21"/>
                      <w:highlight w:val="none"/>
                      <w:lang w:eastAsia="zh-CN"/>
                    </w:rPr>
                    <w:t>。</w:t>
                  </w:r>
                </w:p>
              </w:tc>
              <w:tc>
                <w:tcPr>
                  <w:tcW w:w="540" w:type="pct"/>
                  <w:noWrap w:val="0"/>
                  <w:vAlign w:val="center"/>
                </w:tcPr>
                <w:p w14:paraId="158FE592">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30483802">
            <w:pPr>
              <w:pStyle w:val="356"/>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textAlignment w:val="auto"/>
              <w:rPr>
                <w:color w:val="auto"/>
                <w:highlight w:val="none"/>
              </w:rPr>
            </w:pPr>
            <w:r>
              <w:rPr>
                <w:rFonts w:hint="eastAsia" w:ascii="Times New Roman" w:hAnsi="Times New Roman" w:eastAsia="宋体" w:cs="Times New Roman"/>
                <w:b/>
                <w:bCs/>
                <w:color w:val="auto"/>
                <w:spacing w:val="-3"/>
                <w:highlight w:val="none"/>
                <w:lang w:val="en-US" w:eastAsia="zh-CN"/>
              </w:rPr>
              <w:t>6</w:t>
            </w:r>
            <w:r>
              <w:rPr>
                <w:b/>
                <w:bCs/>
                <w:color w:val="auto"/>
                <w:spacing w:val="-3"/>
                <w:highlight w:val="none"/>
              </w:rPr>
              <w:t>、与《安徽省淮河流域水污染防治条例》相符</w:t>
            </w:r>
            <w:r>
              <w:rPr>
                <w:b/>
                <w:bCs/>
                <w:color w:val="auto"/>
                <w:spacing w:val="-4"/>
                <w:highlight w:val="none"/>
              </w:rPr>
              <w:t>性分析</w:t>
            </w:r>
          </w:p>
          <w:p w14:paraId="2CDED5DD">
            <w:pPr>
              <w:pStyle w:val="3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2" w:firstLineChars="200"/>
              <w:jc w:val="both"/>
              <w:textAlignment w:val="auto"/>
              <w:rPr>
                <w:color w:val="auto"/>
                <w:highlight w:val="none"/>
              </w:rPr>
            </w:pPr>
            <w:r>
              <w:rPr>
                <w:rFonts w:ascii="Times New Roman" w:hAnsi="Times New Roman" w:eastAsia="Times New Roman" w:cs="Times New Roman"/>
                <w:color w:val="auto"/>
                <w:spacing w:val="-2"/>
                <w:highlight w:val="none"/>
              </w:rPr>
              <w:t>2018</w:t>
            </w:r>
            <w:r>
              <w:rPr>
                <w:color w:val="auto"/>
                <w:spacing w:val="-2"/>
                <w:highlight w:val="none"/>
              </w:rPr>
              <w:t>年</w:t>
            </w:r>
            <w:r>
              <w:rPr>
                <w:rFonts w:ascii="Times New Roman" w:hAnsi="Times New Roman" w:eastAsia="Times New Roman" w:cs="Times New Roman"/>
                <w:color w:val="auto"/>
                <w:spacing w:val="-2"/>
                <w:highlight w:val="none"/>
              </w:rPr>
              <w:t>11</w:t>
            </w:r>
            <w:r>
              <w:rPr>
                <w:color w:val="auto"/>
                <w:spacing w:val="-2"/>
                <w:highlight w:val="none"/>
              </w:rPr>
              <w:t>月</w:t>
            </w:r>
            <w:r>
              <w:rPr>
                <w:color w:val="auto"/>
                <w:spacing w:val="-55"/>
                <w:highlight w:val="none"/>
              </w:rPr>
              <w:t xml:space="preserve"> </w:t>
            </w:r>
            <w:r>
              <w:rPr>
                <w:rFonts w:ascii="Times New Roman" w:hAnsi="Times New Roman" w:eastAsia="Times New Roman" w:cs="Times New Roman"/>
                <w:color w:val="auto"/>
                <w:spacing w:val="-2"/>
                <w:highlight w:val="none"/>
              </w:rPr>
              <w:t>23</w:t>
            </w:r>
            <w:r>
              <w:rPr>
                <w:color w:val="auto"/>
                <w:spacing w:val="-2"/>
                <w:highlight w:val="none"/>
              </w:rPr>
              <w:t>日，《安徽省淮河流域水污染防治条例》经安徽</w:t>
            </w:r>
            <w:r>
              <w:rPr>
                <w:color w:val="auto"/>
                <w:spacing w:val="-3"/>
                <w:highlight w:val="none"/>
              </w:rPr>
              <w:t>省第十三届人</w:t>
            </w:r>
            <w:r>
              <w:rPr>
                <w:color w:val="auto"/>
                <w:spacing w:val="-4"/>
                <w:highlight w:val="none"/>
              </w:rPr>
              <w:t>民代表大会常务委员会第六次会议修订公布，自</w:t>
            </w:r>
            <w:r>
              <w:rPr>
                <w:color w:val="auto"/>
                <w:spacing w:val="-55"/>
                <w:highlight w:val="none"/>
              </w:rPr>
              <w:t xml:space="preserve"> </w:t>
            </w:r>
            <w:r>
              <w:rPr>
                <w:rFonts w:ascii="Times New Roman" w:hAnsi="Times New Roman" w:eastAsia="Times New Roman" w:cs="Times New Roman"/>
                <w:color w:val="auto"/>
                <w:spacing w:val="-4"/>
                <w:highlight w:val="none"/>
              </w:rPr>
              <w:t>2019</w:t>
            </w:r>
            <w:r>
              <w:rPr>
                <w:rFonts w:ascii="Times New Roman" w:hAnsi="Times New Roman" w:eastAsia="Times New Roman" w:cs="Times New Roman"/>
                <w:color w:val="auto"/>
                <w:spacing w:val="-5"/>
                <w:highlight w:val="none"/>
              </w:rPr>
              <w:t xml:space="preserve"> </w:t>
            </w:r>
            <w:r>
              <w:rPr>
                <w:color w:val="auto"/>
                <w:spacing w:val="-5"/>
                <w:highlight w:val="none"/>
              </w:rPr>
              <w:t>年</w:t>
            </w:r>
            <w:r>
              <w:rPr>
                <w:color w:val="auto"/>
                <w:spacing w:val="-32"/>
                <w:highlight w:val="none"/>
              </w:rPr>
              <w:t xml:space="preserve"> </w:t>
            </w:r>
            <w:r>
              <w:rPr>
                <w:rFonts w:ascii="Times New Roman" w:hAnsi="Times New Roman" w:eastAsia="Times New Roman" w:cs="Times New Roman"/>
                <w:color w:val="auto"/>
                <w:spacing w:val="-5"/>
                <w:highlight w:val="none"/>
              </w:rPr>
              <w:t>1</w:t>
            </w:r>
            <w:r>
              <w:rPr>
                <w:color w:val="auto"/>
                <w:spacing w:val="-5"/>
                <w:highlight w:val="none"/>
              </w:rPr>
              <w:t>月</w:t>
            </w:r>
            <w:r>
              <w:rPr>
                <w:color w:val="auto"/>
                <w:spacing w:val="-32"/>
                <w:highlight w:val="none"/>
              </w:rPr>
              <w:t xml:space="preserve"> </w:t>
            </w:r>
            <w:r>
              <w:rPr>
                <w:rFonts w:ascii="Times New Roman" w:hAnsi="Times New Roman" w:eastAsia="Times New Roman" w:cs="Times New Roman"/>
                <w:color w:val="auto"/>
                <w:spacing w:val="-5"/>
                <w:highlight w:val="none"/>
              </w:rPr>
              <w:t>1</w:t>
            </w:r>
            <w:r>
              <w:rPr>
                <w:color w:val="auto"/>
                <w:spacing w:val="-5"/>
                <w:highlight w:val="none"/>
              </w:rPr>
              <w:t>日起施行。本项目位</w:t>
            </w:r>
            <w:r>
              <w:rPr>
                <w:color w:val="auto"/>
                <w:highlight w:val="none"/>
              </w:rPr>
              <w:t>于安徽省蚌埠市五河县经济开发区</w:t>
            </w:r>
            <w:r>
              <w:rPr>
                <w:rFonts w:hint="default" w:ascii="Times New Roman" w:hAnsi="Times New Roman" w:eastAsia="宋体" w:cs="Times New Roman"/>
                <w:b w:val="0"/>
                <w:bCs w:val="0"/>
                <w:color w:val="auto"/>
                <w:kern w:val="2"/>
                <w:sz w:val="24"/>
                <w:szCs w:val="24"/>
                <w:highlight w:val="none"/>
                <w:lang w:val="en-US" w:eastAsia="zh-CN" w:bidi="ar-SA"/>
              </w:rPr>
              <w:t>五河县城南工业园区工业五路中</w:t>
            </w:r>
            <w:r>
              <w:rPr>
                <w:rFonts w:hint="eastAsia" w:cs="Times New Roman"/>
                <w:b w:val="0"/>
                <w:bCs w:val="0"/>
                <w:color w:val="auto"/>
                <w:kern w:val="2"/>
                <w:sz w:val="24"/>
                <w:szCs w:val="24"/>
                <w:highlight w:val="none"/>
                <w:lang w:val="en-US" w:eastAsia="zh-CN" w:bidi="ar-SA"/>
              </w:rPr>
              <w:t>段</w:t>
            </w:r>
            <w:r>
              <w:rPr>
                <w:rFonts w:hint="default" w:ascii="Times New Roman" w:hAnsi="Times New Roman" w:eastAsia="宋体" w:cs="Times New Roman"/>
                <w:b w:val="0"/>
                <w:bCs w:val="0"/>
                <w:color w:val="auto"/>
                <w:kern w:val="2"/>
                <w:sz w:val="24"/>
                <w:szCs w:val="24"/>
                <w:highlight w:val="none"/>
                <w:lang w:val="en-US" w:eastAsia="zh-CN" w:bidi="ar-SA"/>
              </w:rPr>
              <w:t>南侧</w:t>
            </w:r>
            <w:r>
              <w:rPr>
                <w:color w:val="auto"/>
                <w:spacing w:val="-1"/>
                <w:highlight w:val="none"/>
              </w:rPr>
              <w:t>，属于安徽省淮河流域。</w:t>
            </w:r>
          </w:p>
          <w:p w14:paraId="12E06530">
            <w:pPr>
              <w:pStyle w:val="3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color w:val="auto"/>
                <w:highlight w:val="none"/>
              </w:rPr>
            </w:pPr>
            <w:r>
              <w:rPr>
                <w:color w:val="auto"/>
                <w:spacing w:val="-1"/>
                <w:highlight w:val="none"/>
              </w:rPr>
              <w:t>其中与本项目相关内容如下：</w:t>
            </w:r>
          </w:p>
          <w:p w14:paraId="3D77B35C">
            <w:pPr>
              <w:pStyle w:val="3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8" w:firstLineChars="200"/>
              <w:textAlignment w:val="auto"/>
              <w:rPr>
                <w:color w:val="auto"/>
                <w:highlight w:val="none"/>
              </w:rPr>
            </w:pPr>
            <w:r>
              <w:rPr>
                <w:color w:val="auto"/>
                <w:spacing w:val="-3"/>
                <w:highlight w:val="none"/>
              </w:rPr>
              <w:t>第十三条：禁止在淮河流域新建化学制浆造纸企业和印染、制革、化工、电镀、</w:t>
            </w:r>
            <w:r>
              <w:rPr>
                <w:color w:val="auto"/>
                <w:spacing w:val="-2"/>
                <w:highlight w:val="none"/>
              </w:rPr>
              <w:t>酿造等污染严重的小型企业。</w:t>
            </w:r>
          </w:p>
          <w:p w14:paraId="0FC2C85A">
            <w:pPr>
              <w:pStyle w:val="3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8" w:firstLineChars="200"/>
              <w:jc w:val="both"/>
              <w:textAlignment w:val="auto"/>
              <w:rPr>
                <w:color w:val="auto"/>
                <w:highlight w:val="none"/>
              </w:rPr>
            </w:pPr>
            <w:r>
              <w:rPr>
                <w:color w:val="auto"/>
                <w:spacing w:val="2"/>
                <w:highlight w:val="none"/>
              </w:rPr>
              <w:t>严格限制在淮河流域新建印染、制革、化工、电镀、酿造等大中型项目或者其他污染严重的项目；建设该类项目的，应当事前征得省人民政府生态环境行政主管</w:t>
            </w:r>
            <w:r>
              <w:rPr>
                <w:color w:val="auto"/>
                <w:spacing w:val="-1"/>
                <w:highlight w:val="none"/>
              </w:rPr>
              <w:t>部门的同意，并按照规定办理有关手续。</w:t>
            </w:r>
          </w:p>
          <w:p w14:paraId="0E394A62">
            <w:pPr>
              <w:pStyle w:val="3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8" w:firstLineChars="200"/>
              <w:textAlignment w:val="auto"/>
              <w:rPr>
                <w:color w:val="auto"/>
                <w:spacing w:val="-2"/>
                <w:highlight w:val="none"/>
              </w:rPr>
            </w:pPr>
            <w:r>
              <w:rPr>
                <w:color w:val="auto"/>
                <w:spacing w:val="2"/>
                <w:highlight w:val="none"/>
              </w:rPr>
              <w:t>第十四条：新建、改建、扩建直接或者间接向水体排放污染物的建设项目和其他水上设施，应当依法进行环境影响评价。建设项目的水污染防治设施，应当符合经批准或者备案的环境影响评价文件的要求，并与主体工程同时设计、同时施工、</w:t>
            </w:r>
            <w:r>
              <w:rPr>
                <w:color w:val="auto"/>
                <w:spacing w:val="-2"/>
                <w:highlight w:val="none"/>
              </w:rPr>
              <w:t>同时投入使用。</w:t>
            </w:r>
          </w:p>
          <w:p w14:paraId="516C91E5">
            <w:pPr>
              <w:pStyle w:val="3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color w:val="auto"/>
                <w:highlight w:val="none"/>
              </w:rPr>
            </w:pPr>
            <w:r>
              <w:rPr>
                <w:color w:val="auto"/>
                <w:spacing w:val="-1"/>
                <w:highlight w:val="none"/>
              </w:rPr>
              <w:t>新建、扩建、改建项目，除执行前款规定外，还应当遵守下列规定：</w:t>
            </w:r>
          </w:p>
          <w:p w14:paraId="2DA6B72E">
            <w:pPr>
              <w:pStyle w:val="3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8" w:firstLineChars="200"/>
              <w:textAlignment w:val="auto"/>
              <w:rPr>
                <w:color w:val="auto"/>
                <w:highlight w:val="none"/>
              </w:rPr>
            </w:pPr>
            <w:r>
              <w:rPr>
                <w:color w:val="auto"/>
                <w:spacing w:val="2"/>
                <w:highlight w:val="none"/>
              </w:rPr>
              <w:t>（一）新建项目的选址应符合城市总体规划，避开饮用水水源地和对环境有特</w:t>
            </w:r>
            <w:r>
              <w:rPr>
                <w:color w:val="auto"/>
                <w:spacing w:val="-2"/>
                <w:highlight w:val="none"/>
              </w:rPr>
              <w:t>殊要求的功能区；</w:t>
            </w:r>
          </w:p>
          <w:p w14:paraId="554409A4">
            <w:pPr>
              <w:pStyle w:val="3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color w:val="auto"/>
                <w:highlight w:val="none"/>
              </w:rPr>
            </w:pPr>
            <w:r>
              <w:rPr>
                <w:color w:val="auto"/>
                <w:spacing w:val="-1"/>
                <w:highlight w:val="none"/>
              </w:rPr>
              <w:t>（二）采用资源利用率高、污染物排放量少的先进设备和先进工艺；</w:t>
            </w:r>
          </w:p>
          <w:p w14:paraId="2E176758">
            <w:pPr>
              <w:pStyle w:val="3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color w:val="auto"/>
                <w:highlight w:val="none"/>
              </w:rPr>
            </w:pPr>
            <w:r>
              <w:rPr>
                <w:color w:val="auto"/>
                <w:spacing w:val="-1"/>
                <w:highlight w:val="none"/>
              </w:rPr>
              <w:t>（三）改建、扩建项目和技改项目应当把水污染治理纳入项目内容。</w:t>
            </w:r>
          </w:p>
          <w:p w14:paraId="38A99AD8">
            <w:pPr>
              <w:pStyle w:val="3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8" w:firstLineChars="200"/>
              <w:jc w:val="both"/>
              <w:textAlignment w:val="auto"/>
              <w:rPr>
                <w:color w:val="auto"/>
                <w:highlight w:val="none"/>
              </w:rPr>
            </w:pPr>
            <w:r>
              <w:rPr>
                <w:color w:val="auto"/>
                <w:spacing w:val="2"/>
                <w:highlight w:val="none"/>
              </w:rPr>
              <w:t>工程配套建设的水污染防治设施竣工后，建设单位应当按照国务院生态环境行政主管部门规定的标准和程序进行验收。验收合格后，方可投入使用；未经验收或</w:t>
            </w:r>
            <w:r>
              <w:rPr>
                <w:color w:val="auto"/>
                <w:spacing w:val="-1"/>
                <w:highlight w:val="none"/>
              </w:rPr>
              <w:t>者验收不合格的，不得投入生产或者使用。</w:t>
            </w:r>
          </w:p>
          <w:p w14:paraId="6BD6D4D5">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ascii="宋体" w:hAnsi="宋体" w:eastAsia="宋体" w:cs="宋体"/>
                <w:color w:val="auto"/>
                <w:spacing w:val="-1"/>
                <w:kern w:val="2"/>
                <w:sz w:val="24"/>
                <w:szCs w:val="24"/>
                <w:highlight w:val="none"/>
                <w:lang w:val="en-US" w:eastAsia="en-US" w:bidi="ar-SA"/>
              </w:rPr>
            </w:pPr>
            <w:r>
              <w:rPr>
                <w:rFonts w:hint="default" w:ascii="Times New Roman" w:hAnsi="Times New Roman" w:eastAsia="宋体" w:cs="Times New Roman"/>
                <w:color w:val="auto"/>
                <w:spacing w:val="-1"/>
                <w:kern w:val="2"/>
                <w:sz w:val="24"/>
                <w:szCs w:val="24"/>
                <w:highlight w:val="none"/>
                <w:lang w:val="en-US" w:eastAsia="en-US" w:bidi="ar-SA"/>
              </w:rPr>
              <w:t xml:space="preserve">本项目为新建项目，项目行业类别为 </w:t>
            </w:r>
            <w:r>
              <w:rPr>
                <w:rFonts w:hint="default" w:ascii="Times New Roman" w:hAnsi="Times New Roman" w:eastAsia="宋体" w:cs="Times New Roman"/>
                <w:color w:val="auto"/>
                <w:spacing w:val="-1"/>
                <w:kern w:val="2"/>
                <w:sz w:val="24"/>
                <w:szCs w:val="24"/>
                <w:highlight w:val="none"/>
                <w:lang w:val="en-US" w:eastAsia="zh-CN" w:bidi="ar-SA"/>
              </w:rPr>
              <w:t>C1953塑料鞋制造、</w:t>
            </w:r>
            <w:r>
              <w:rPr>
                <w:rFonts w:hint="eastAsia" w:ascii="Times New Roman" w:hAnsi="Times New Roman" w:eastAsia="宋体" w:cs="Times New Roman"/>
                <w:color w:val="auto"/>
                <w:spacing w:val="-1"/>
                <w:kern w:val="2"/>
                <w:sz w:val="24"/>
                <w:szCs w:val="24"/>
                <w:highlight w:val="none"/>
                <w:lang w:val="en-US" w:eastAsia="zh-CN" w:bidi="ar-SA"/>
              </w:rPr>
              <w:t>C1819其他机织服装制造</w:t>
            </w:r>
            <w:r>
              <w:rPr>
                <w:rFonts w:hint="default" w:ascii="Times New Roman" w:hAnsi="Times New Roman" w:eastAsia="宋体" w:cs="Times New Roman"/>
                <w:color w:val="auto"/>
                <w:spacing w:val="-1"/>
                <w:kern w:val="2"/>
                <w:sz w:val="24"/>
                <w:szCs w:val="24"/>
                <w:highlight w:val="none"/>
                <w:lang w:val="en-US" w:eastAsia="en-US" w:bidi="ar-SA"/>
              </w:rPr>
              <w:t>，位于</w:t>
            </w:r>
            <w:r>
              <w:rPr>
                <w:rFonts w:hint="default" w:ascii="Times New Roman" w:hAnsi="Times New Roman" w:eastAsia="宋体" w:cs="Times New Roman"/>
                <w:color w:val="auto"/>
                <w:spacing w:val="-1"/>
                <w:kern w:val="2"/>
                <w:sz w:val="24"/>
                <w:szCs w:val="24"/>
                <w:highlight w:val="none"/>
                <w:lang w:val="en-US" w:eastAsia="zh-CN" w:bidi="ar-SA"/>
              </w:rPr>
              <w:t>五河县城南工业园区工业五路中</w:t>
            </w:r>
            <w:r>
              <w:rPr>
                <w:rFonts w:hint="eastAsia" w:cs="Times New Roman"/>
                <w:color w:val="auto"/>
                <w:spacing w:val="-1"/>
                <w:kern w:val="2"/>
                <w:sz w:val="24"/>
                <w:szCs w:val="24"/>
                <w:highlight w:val="none"/>
                <w:lang w:val="en-US" w:eastAsia="zh-CN" w:bidi="ar-SA"/>
              </w:rPr>
              <w:t>段</w:t>
            </w:r>
            <w:r>
              <w:rPr>
                <w:rFonts w:hint="default" w:ascii="Times New Roman" w:hAnsi="Times New Roman" w:eastAsia="宋体" w:cs="Times New Roman"/>
                <w:color w:val="auto"/>
                <w:spacing w:val="-1"/>
                <w:kern w:val="2"/>
                <w:sz w:val="24"/>
                <w:szCs w:val="24"/>
                <w:highlight w:val="none"/>
                <w:lang w:val="en-US" w:eastAsia="zh-CN" w:bidi="ar-SA"/>
              </w:rPr>
              <w:t>南侧</w:t>
            </w:r>
            <w:r>
              <w:rPr>
                <w:rFonts w:hint="default" w:ascii="Times New Roman" w:hAnsi="Times New Roman" w:eastAsia="宋体" w:cs="Times New Roman"/>
                <w:color w:val="auto"/>
                <w:spacing w:val="-1"/>
                <w:kern w:val="2"/>
                <w:sz w:val="24"/>
                <w:szCs w:val="24"/>
                <w:highlight w:val="none"/>
                <w:lang w:val="en-US" w:eastAsia="en-US" w:bidi="ar-SA"/>
              </w:rPr>
              <w:t>，避开了饮用水水源地和对环境有特殊要求的功能区，项目的建设采用资源利用率高、污染物排放量少的先进设备和先进工艺，</w:t>
            </w:r>
            <w:r>
              <w:rPr>
                <w:rFonts w:hint="eastAsia" w:ascii="Times New Roman" w:hAnsi="Times New Roman" w:eastAsia="宋体" w:cs="Times New Roman"/>
                <w:color w:val="auto"/>
                <w:spacing w:val="-1"/>
                <w:kern w:val="2"/>
                <w:sz w:val="24"/>
                <w:szCs w:val="24"/>
                <w:highlight w:val="none"/>
                <w:lang w:val="en-US" w:eastAsia="zh-CN" w:bidi="ar-SA"/>
              </w:rPr>
              <w:t>食堂废水经隔油池、</w:t>
            </w:r>
            <w:r>
              <w:rPr>
                <w:rFonts w:hint="default" w:ascii="Times New Roman" w:hAnsi="Times New Roman" w:eastAsia="宋体" w:cs="Times New Roman"/>
                <w:color w:val="auto"/>
                <w:spacing w:val="-1"/>
                <w:kern w:val="2"/>
                <w:sz w:val="24"/>
                <w:szCs w:val="24"/>
                <w:highlight w:val="none"/>
                <w:lang w:val="en-US" w:eastAsia="en-US" w:bidi="ar-SA"/>
              </w:rPr>
              <w:t>生活污水</w:t>
            </w:r>
            <w:r>
              <w:rPr>
                <w:rFonts w:hint="eastAsia" w:ascii="Times New Roman" w:hAnsi="Times New Roman" w:eastAsia="宋体" w:cs="Times New Roman"/>
                <w:color w:val="auto"/>
                <w:spacing w:val="-1"/>
                <w:kern w:val="2"/>
                <w:sz w:val="24"/>
                <w:szCs w:val="24"/>
                <w:highlight w:val="none"/>
                <w:lang w:val="en-US" w:eastAsia="zh-CN" w:bidi="ar-SA"/>
              </w:rPr>
              <w:t>经化粪池收集</w:t>
            </w:r>
            <w:r>
              <w:rPr>
                <w:rFonts w:hint="default" w:ascii="Times New Roman" w:hAnsi="Times New Roman" w:eastAsia="宋体" w:cs="Times New Roman"/>
                <w:color w:val="auto"/>
                <w:spacing w:val="-1"/>
                <w:kern w:val="2"/>
                <w:sz w:val="24"/>
                <w:szCs w:val="24"/>
                <w:highlight w:val="none"/>
                <w:lang w:val="en-US" w:eastAsia="en-US" w:bidi="ar-SA"/>
              </w:rPr>
              <w:t>处理</w:t>
            </w:r>
            <w:r>
              <w:rPr>
                <w:rFonts w:hint="eastAsia" w:ascii="Times New Roman" w:hAnsi="Times New Roman" w:eastAsia="宋体" w:cs="Times New Roman"/>
                <w:color w:val="auto"/>
                <w:spacing w:val="-1"/>
                <w:kern w:val="2"/>
                <w:sz w:val="24"/>
                <w:szCs w:val="24"/>
                <w:highlight w:val="none"/>
                <w:lang w:val="en-US" w:eastAsia="zh-CN" w:bidi="ar-SA"/>
              </w:rPr>
              <w:t>后，和地坪保洁废水</w:t>
            </w:r>
            <w:r>
              <w:rPr>
                <w:rFonts w:hint="eastAsia" w:cs="Times New Roman"/>
                <w:color w:val="auto"/>
                <w:spacing w:val="-1"/>
                <w:kern w:val="2"/>
                <w:sz w:val="24"/>
                <w:szCs w:val="24"/>
                <w:highlight w:val="none"/>
                <w:lang w:val="en-US" w:eastAsia="zh-CN" w:bidi="ar-SA"/>
              </w:rPr>
              <w:t>、循环冷却废水</w:t>
            </w:r>
            <w:r>
              <w:rPr>
                <w:rFonts w:hint="default" w:ascii="Times New Roman" w:hAnsi="Times New Roman" w:eastAsia="宋体" w:cs="Times New Roman"/>
                <w:color w:val="auto"/>
                <w:spacing w:val="-1"/>
                <w:kern w:val="2"/>
                <w:sz w:val="24"/>
                <w:szCs w:val="24"/>
                <w:highlight w:val="none"/>
                <w:lang w:val="en-US" w:eastAsia="en-US" w:bidi="ar-SA"/>
              </w:rPr>
              <w:t>一</w:t>
            </w:r>
            <w:r>
              <w:rPr>
                <w:rFonts w:hint="eastAsia" w:ascii="Times New Roman" w:hAnsi="Times New Roman" w:eastAsia="宋体" w:cs="Times New Roman"/>
                <w:color w:val="auto"/>
                <w:spacing w:val="-1"/>
                <w:kern w:val="2"/>
                <w:sz w:val="24"/>
                <w:szCs w:val="24"/>
                <w:highlight w:val="none"/>
                <w:lang w:val="en-US" w:eastAsia="zh-CN" w:bidi="ar-SA"/>
              </w:rPr>
              <w:t>并</w:t>
            </w:r>
            <w:r>
              <w:rPr>
                <w:rFonts w:hint="default" w:ascii="Times New Roman" w:hAnsi="Times New Roman" w:eastAsia="宋体" w:cs="Times New Roman"/>
                <w:color w:val="auto"/>
                <w:spacing w:val="-1"/>
                <w:kern w:val="2"/>
                <w:sz w:val="24"/>
                <w:szCs w:val="24"/>
                <w:highlight w:val="none"/>
                <w:lang w:val="en-US" w:eastAsia="en-US" w:bidi="ar-SA"/>
              </w:rPr>
              <w:t>排入五河县经济开发区污水处理厂进行处理。</w:t>
            </w:r>
          </w:p>
          <w:p w14:paraId="5FD5F9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eastAsia="宋体" w:cs="Times New Roman"/>
                <w:b/>
                <w:bCs/>
                <w:color w:val="auto"/>
                <w:kern w:val="0"/>
                <w:sz w:val="24"/>
                <w:szCs w:val="24"/>
                <w:highlight w:val="none"/>
                <w:lang w:val="en-US" w:eastAsia="zh-CN"/>
              </w:rPr>
            </w:pPr>
            <w:r>
              <w:rPr>
                <w:rFonts w:hint="eastAsia" w:eastAsia="宋体" w:cs="Times New Roman"/>
                <w:b/>
                <w:bCs/>
                <w:color w:val="auto"/>
                <w:kern w:val="0"/>
                <w:sz w:val="24"/>
                <w:szCs w:val="24"/>
                <w:highlight w:val="none"/>
                <w:lang w:val="en-US" w:eastAsia="zh-CN"/>
              </w:rPr>
              <w:t>7、</w:t>
            </w:r>
            <w:r>
              <w:rPr>
                <w:rFonts w:hint="default" w:ascii="Times New Roman" w:hAnsi="Times New Roman" w:eastAsia="宋体" w:cs="Times New Roman"/>
                <w:b/>
                <w:bCs/>
                <w:color w:val="auto"/>
                <w:kern w:val="0"/>
                <w:sz w:val="24"/>
                <w:szCs w:val="24"/>
                <w:highlight w:val="none"/>
                <w:lang w:val="en-US" w:eastAsia="zh-CN"/>
              </w:rPr>
              <w:t>与《</w:t>
            </w:r>
            <w:r>
              <w:rPr>
                <w:rFonts w:hint="eastAsia" w:ascii="Times New Roman" w:hAnsi="Times New Roman" w:eastAsia="宋体" w:cs="Times New Roman"/>
                <w:b/>
                <w:bCs/>
                <w:color w:val="auto"/>
                <w:kern w:val="0"/>
                <w:sz w:val="24"/>
                <w:szCs w:val="24"/>
                <w:highlight w:val="none"/>
                <w:lang w:val="en-US" w:eastAsia="zh-CN"/>
              </w:rPr>
              <w:t>安徽省低挥发性有机物含量原辅材料替代工作方案</w:t>
            </w:r>
            <w:r>
              <w:rPr>
                <w:rFonts w:hint="default" w:ascii="Times New Roman" w:hAnsi="Times New Roman" w:eastAsia="宋体" w:cs="Times New Roman"/>
                <w:b/>
                <w:bCs/>
                <w:color w:val="auto"/>
                <w:kern w:val="0"/>
                <w:sz w:val="24"/>
                <w:szCs w:val="24"/>
                <w:highlight w:val="none"/>
                <w:lang w:val="en-US" w:eastAsia="zh-CN"/>
              </w:rPr>
              <w:t>》</w:t>
            </w:r>
            <w:r>
              <w:rPr>
                <w:rFonts w:hint="eastAsia" w:ascii="Times New Roman" w:hAnsi="Times New Roman" w:eastAsia="宋体" w:cs="Times New Roman"/>
                <w:b/>
                <w:bCs/>
                <w:color w:val="auto"/>
                <w:kern w:val="0"/>
                <w:sz w:val="24"/>
                <w:szCs w:val="24"/>
                <w:highlight w:val="none"/>
                <w:lang w:val="en-US" w:eastAsia="zh-CN"/>
              </w:rPr>
              <w:t xml:space="preserve">的相符性分析： </w:t>
            </w:r>
          </w:p>
          <w:p w14:paraId="64208AA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表1-</w:t>
            </w:r>
            <w:r>
              <w:rPr>
                <w:rFonts w:hint="eastAsia" w:eastAsia="宋体" w:cs="Times New Roman"/>
                <w:b/>
                <w:bCs/>
                <w:color w:val="auto"/>
                <w:kern w:val="0"/>
                <w:sz w:val="21"/>
                <w:szCs w:val="21"/>
                <w:highlight w:val="none"/>
                <w:lang w:val="en-US" w:eastAsia="zh-CN" w:bidi="ar-SA"/>
              </w:rPr>
              <w:t>1</w:t>
            </w:r>
            <w:r>
              <w:rPr>
                <w:rFonts w:hint="eastAsia" w:cs="Times New Roman"/>
                <w:b/>
                <w:bCs/>
                <w:color w:val="auto"/>
                <w:kern w:val="0"/>
                <w:sz w:val="21"/>
                <w:szCs w:val="21"/>
                <w:highlight w:val="none"/>
                <w:lang w:val="en-US" w:eastAsia="zh-CN" w:bidi="ar-SA"/>
              </w:rPr>
              <w:t>1</w:t>
            </w:r>
            <w:r>
              <w:rPr>
                <w:rFonts w:hint="default" w:ascii="Times New Roman" w:hAnsi="Times New Roman" w:eastAsia="宋体" w:cs="Times New Roman"/>
                <w:b/>
                <w:bCs/>
                <w:color w:val="auto"/>
                <w:kern w:val="0"/>
                <w:sz w:val="21"/>
                <w:szCs w:val="21"/>
                <w:highlight w:val="none"/>
                <w:lang w:val="en-US" w:eastAsia="zh-CN" w:bidi="ar-SA"/>
              </w:rPr>
              <w:t xml:space="preserve">  与《</w:t>
            </w:r>
            <w:r>
              <w:rPr>
                <w:rFonts w:hint="eastAsia" w:ascii="Times New Roman" w:hAnsi="Times New Roman" w:eastAsia="宋体" w:cs="Times New Roman"/>
                <w:b/>
                <w:bCs/>
                <w:color w:val="auto"/>
                <w:kern w:val="0"/>
                <w:sz w:val="21"/>
                <w:szCs w:val="21"/>
                <w:highlight w:val="none"/>
                <w:lang w:val="en-US" w:eastAsia="zh-CN"/>
              </w:rPr>
              <w:t>安徽省低挥发性有机物含量原辅材料替代工作方案</w:t>
            </w:r>
            <w:r>
              <w:rPr>
                <w:rFonts w:hint="default" w:ascii="Times New Roman" w:hAnsi="Times New Roman" w:eastAsia="宋体" w:cs="Times New Roman"/>
                <w:b/>
                <w:bCs/>
                <w:color w:val="auto"/>
                <w:kern w:val="0"/>
                <w:sz w:val="21"/>
                <w:szCs w:val="21"/>
                <w:highlight w:val="none"/>
                <w:lang w:val="en-US" w:eastAsia="zh-CN" w:bidi="ar-SA"/>
              </w:rPr>
              <w:t>》相符性分析</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2"/>
              <w:gridCol w:w="2459"/>
              <w:gridCol w:w="875"/>
            </w:tblGrid>
            <w:tr w14:paraId="7D4C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7" w:type="pct"/>
                  <w:tcBorders>
                    <w:tl2br w:val="nil"/>
                    <w:tr2bl w:val="nil"/>
                  </w:tcBorders>
                  <w:noWrap w:val="0"/>
                  <w:vAlign w:val="center"/>
                </w:tcPr>
                <w:p w14:paraId="7E884660">
                  <w:pPr>
                    <w:pStyle w:val="5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ascii="Times New Roman" w:eastAsia="宋体" w:cs="Times New Roman"/>
                      <w:b/>
                      <w:color w:val="auto"/>
                      <w:sz w:val="21"/>
                      <w:szCs w:val="21"/>
                      <w:highlight w:val="none"/>
                    </w:rPr>
                  </w:pPr>
                  <w:r>
                    <w:rPr>
                      <w:rFonts w:ascii="Times New Roman" w:eastAsia="宋体" w:cs="Times New Roman"/>
                      <w:b/>
                      <w:color w:val="auto"/>
                      <w:sz w:val="21"/>
                      <w:szCs w:val="21"/>
                      <w:highlight w:val="none"/>
                    </w:rPr>
                    <w:t>相关要求</w:t>
                  </w:r>
                </w:p>
              </w:tc>
              <w:tc>
                <w:tcPr>
                  <w:tcW w:w="1750" w:type="pct"/>
                  <w:tcBorders>
                    <w:tl2br w:val="nil"/>
                    <w:tr2bl w:val="nil"/>
                  </w:tcBorders>
                  <w:noWrap w:val="0"/>
                  <w:vAlign w:val="center"/>
                </w:tcPr>
                <w:p w14:paraId="6033E444">
                  <w:pPr>
                    <w:pStyle w:val="5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ascii="Times New Roman" w:eastAsia="宋体" w:cs="Times New Roman"/>
                      <w:b/>
                      <w:color w:val="auto"/>
                      <w:sz w:val="21"/>
                      <w:szCs w:val="21"/>
                      <w:highlight w:val="none"/>
                    </w:rPr>
                  </w:pPr>
                  <w:r>
                    <w:rPr>
                      <w:rFonts w:ascii="Times New Roman" w:eastAsia="宋体" w:cs="Times New Roman"/>
                      <w:b/>
                      <w:color w:val="auto"/>
                      <w:sz w:val="21"/>
                      <w:szCs w:val="21"/>
                      <w:highlight w:val="none"/>
                    </w:rPr>
                    <w:t>本项目情况</w:t>
                  </w:r>
                </w:p>
              </w:tc>
              <w:tc>
                <w:tcPr>
                  <w:tcW w:w="622" w:type="pct"/>
                  <w:tcBorders>
                    <w:tl2br w:val="nil"/>
                    <w:tr2bl w:val="nil"/>
                  </w:tcBorders>
                  <w:noWrap w:val="0"/>
                  <w:vAlign w:val="center"/>
                </w:tcPr>
                <w:p w14:paraId="5FA6007C">
                  <w:pPr>
                    <w:pStyle w:val="5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ascii="Times New Roman" w:eastAsia="宋体" w:cs="Times New Roman"/>
                      <w:b/>
                      <w:color w:val="auto"/>
                      <w:sz w:val="21"/>
                      <w:szCs w:val="21"/>
                      <w:highlight w:val="none"/>
                    </w:rPr>
                  </w:pPr>
                  <w:r>
                    <w:rPr>
                      <w:rFonts w:ascii="Times New Roman" w:eastAsia="宋体" w:cs="Times New Roman"/>
                      <w:b/>
                      <w:color w:val="auto"/>
                      <w:sz w:val="21"/>
                      <w:szCs w:val="21"/>
                      <w:highlight w:val="none"/>
                    </w:rPr>
                    <w:t>相符性</w:t>
                  </w:r>
                </w:p>
              </w:tc>
            </w:tr>
            <w:tr w14:paraId="2474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7" w:type="pct"/>
                  <w:tcBorders>
                    <w:tl2br w:val="nil"/>
                    <w:tr2bl w:val="nil"/>
                  </w:tcBorders>
                  <w:noWrap w:val="0"/>
                  <w:vAlign w:val="center"/>
                </w:tcPr>
                <w:p w14:paraId="35FE3D9A">
                  <w:pPr>
                    <w:keepNext w:val="0"/>
                    <w:keepLines w:val="0"/>
                    <w:pageBreakBefore w:val="0"/>
                    <w:widowControl/>
                    <w:suppressLineNumbers w:val="0"/>
                    <w:kinsoku/>
                    <w:wordWrap/>
                    <w:overflowPunct/>
                    <w:topLinePunct w:val="0"/>
                    <w:bidi w:val="0"/>
                    <w:spacing w:before="0" w:beforeAutospacing="0" w:after="0" w:afterAutospacing="0"/>
                    <w:ind w:left="0" w:right="0" w:firstLine="0"/>
                    <w:jc w:val="center"/>
                    <w:textAlignment w:val="auto"/>
                    <w:rPr>
                      <w:color w:val="auto"/>
                      <w:sz w:val="21"/>
                      <w:szCs w:val="21"/>
                      <w:highlight w:val="none"/>
                    </w:rPr>
                  </w:pPr>
                  <w:r>
                    <w:rPr>
                      <w:rFonts w:hint="eastAsia"/>
                      <w:color w:val="auto"/>
                      <w:sz w:val="21"/>
                      <w:szCs w:val="21"/>
                      <w:highlight w:val="none"/>
                    </w:rPr>
                    <w:t>加强替代管理。工业涂装、包装印刷、竹木加工、家具制造、汽车修理与维护、鞋和皮革制品制造等重点行业企业，要按照《低挥发性有机物含量原辅材料源头替代技术指引（试行）》（附件3）要求，开展低VOCs原辅材料和生产方式替代，优化管控台账及档案管理，持续提升环境管理水平。</w:t>
                  </w:r>
                </w:p>
              </w:tc>
              <w:tc>
                <w:tcPr>
                  <w:tcW w:w="1750" w:type="pct"/>
                  <w:tcBorders>
                    <w:tl2br w:val="nil"/>
                    <w:tr2bl w:val="nil"/>
                  </w:tcBorders>
                  <w:noWrap w:val="0"/>
                  <w:vAlign w:val="center"/>
                </w:tcPr>
                <w:p w14:paraId="13A93853">
                  <w:pPr>
                    <w:keepNext w:val="0"/>
                    <w:keepLines w:val="0"/>
                    <w:pageBreakBefore w:val="0"/>
                    <w:widowControl/>
                    <w:suppressLineNumbers w:val="0"/>
                    <w:kinsoku/>
                    <w:wordWrap/>
                    <w:overflowPunct/>
                    <w:topLinePunct w:val="0"/>
                    <w:bidi w:val="0"/>
                    <w:spacing w:before="0" w:beforeAutospacing="0" w:after="0" w:afterAutospacing="0"/>
                    <w:ind w:left="0" w:right="0" w:firstLine="0"/>
                    <w:jc w:val="center"/>
                    <w:textAlignment w:val="auto"/>
                    <w:rPr>
                      <w:rFonts w:hint="eastAsia" w:eastAsia="宋体"/>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本项目为</w:t>
                  </w:r>
                  <w:r>
                    <w:rPr>
                      <w:rFonts w:hint="eastAsia" w:eastAsia="宋体" w:cs="Times New Roman"/>
                      <w:color w:val="auto"/>
                      <w:sz w:val="21"/>
                      <w:szCs w:val="21"/>
                      <w:highlight w:val="none"/>
                      <w:lang w:val="en-US" w:eastAsia="zh-CN"/>
                    </w:rPr>
                    <w:t>塑料鞋和服装</w:t>
                  </w:r>
                  <w:r>
                    <w:rPr>
                      <w:rFonts w:hint="eastAsia" w:ascii="Times New Roman" w:hAnsi="Times New Roman" w:eastAsia="宋体" w:cs="Times New Roman"/>
                      <w:color w:val="auto"/>
                      <w:sz w:val="21"/>
                      <w:szCs w:val="21"/>
                      <w:highlight w:val="none"/>
                      <w:lang w:val="en-US" w:eastAsia="zh-CN"/>
                    </w:rPr>
                    <w:t>生产</w:t>
                  </w:r>
                  <w:r>
                    <w:rPr>
                      <w:rFonts w:hint="eastAsia" w:ascii="Times New Roman" w:hAnsi="Times New Roman" w:eastAsia="宋体" w:cs="Times New Roman"/>
                      <w:color w:val="auto"/>
                      <w:sz w:val="21"/>
                      <w:szCs w:val="21"/>
                      <w:highlight w:val="none"/>
                      <w:lang w:eastAsia="zh-CN"/>
                    </w:rPr>
                    <w:t>，不属于</w:t>
                  </w:r>
                  <w:r>
                    <w:rPr>
                      <w:rFonts w:hint="eastAsia"/>
                      <w:color w:val="auto"/>
                      <w:sz w:val="21"/>
                      <w:szCs w:val="21"/>
                      <w:highlight w:val="none"/>
                    </w:rPr>
                    <w:t>工业涂装、包装印刷、竹木加工、家具制造、汽车修理与维护、鞋和皮革制品制造等重点行业企业</w:t>
                  </w:r>
                  <w:r>
                    <w:rPr>
                      <w:rFonts w:hint="eastAsia" w:ascii="Times New Roman" w:hAnsi="Times New Roman" w:eastAsia="宋体" w:cs="Times New Roman"/>
                      <w:color w:val="auto"/>
                      <w:sz w:val="21"/>
                      <w:szCs w:val="21"/>
                      <w:highlight w:val="none"/>
                    </w:rPr>
                    <w:t>。</w:t>
                  </w:r>
                </w:p>
              </w:tc>
              <w:tc>
                <w:tcPr>
                  <w:tcW w:w="622" w:type="pct"/>
                  <w:tcBorders>
                    <w:tl2br w:val="nil"/>
                    <w:tr2bl w:val="nil"/>
                  </w:tcBorders>
                  <w:noWrap w:val="0"/>
                  <w:vAlign w:val="center"/>
                </w:tcPr>
                <w:p w14:paraId="52EE62F4">
                  <w:pPr>
                    <w:pStyle w:val="55"/>
                    <w:keepNext w:val="0"/>
                    <w:keepLines w:val="0"/>
                    <w:pageBreakBefore w:val="0"/>
                    <w:suppressLineNumbers w:val="0"/>
                    <w:kinsoku/>
                    <w:wordWrap/>
                    <w:overflowPunct/>
                    <w:topLinePunct w:val="0"/>
                    <w:bidi w:val="0"/>
                    <w:spacing w:before="0" w:beforeAutospacing="0" w:after="0" w:afterAutospacing="0"/>
                    <w:ind w:left="0" w:right="0" w:firstLine="0"/>
                    <w:jc w:val="center"/>
                    <w:textAlignment w:val="auto"/>
                    <w:rPr>
                      <w:rFonts w:hint="eastAsia" w:asci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eastAsia="zh-CN"/>
                    </w:rPr>
                    <w:t>符合</w:t>
                  </w:r>
                </w:p>
              </w:tc>
            </w:tr>
            <w:tr w14:paraId="4EB49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7" w:type="pct"/>
                  <w:tcBorders>
                    <w:tl2br w:val="nil"/>
                    <w:tr2bl w:val="nil"/>
                  </w:tcBorders>
                  <w:noWrap w:val="0"/>
                  <w:vAlign w:val="center"/>
                </w:tcPr>
                <w:p w14:paraId="3573CEC9">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eastAsia="宋体"/>
                      <w:color w:val="auto"/>
                      <w:sz w:val="21"/>
                      <w:szCs w:val="21"/>
                      <w:highlight w:val="none"/>
                      <w:lang w:eastAsia="zh-CN"/>
                    </w:rPr>
                  </w:pPr>
                  <w:r>
                    <w:rPr>
                      <w:rFonts w:hint="eastAsia"/>
                      <w:color w:val="auto"/>
                      <w:sz w:val="21"/>
                      <w:szCs w:val="21"/>
                      <w:highlight w:val="none"/>
                    </w:rPr>
                    <w:t>严格项目准入。根据《低挥发性有机化合物含量涂料产品技术要求》（GB/T 38597-2020）要求，进一步完善VOCs排放管控地方标准建设，细化相关行业涂料种类及各项污染物指标限值，编制实施固定源挥发性有机物综合排放标准和制鞋、汽修、木材等行业大气污染物排放标准。禁止建设生产和使用高VOCs含量的溶剂型涂料、油墨、胶黏剂等项目，全省工业涂装、包装印刷等重点行业和涂料、油墨等生产企业的新（改、扩）建项目需满足低（无）VOCs含量限值要求。省内市场上流通的水性涂料等低VOCs含量涂料产品，执行《低挥发性有机化合物含量涂料产品技术要求》，应在包装标志或产品说明上标明符合标准的分类、产品类别及产品类型（或施涂方式）</w:t>
                  </w:r>
                  <w:r>
                    <w:rPr>
                      <w:rFonts w:hint="eastAsia"/>
                      <w:color w:val="auto"/>
                      <w:sz w:val="21"/>
                      <w:szCs w:val="21"/>
                      <w:highlight w:val="none"/>
                      <w:lang w:eastAsia="zh-CN"/>
                    </w:rPr>
                    <w:t>。</w:t>
                  </w:r>
                </w:p>
              </w:tc>
              <w:tc>
                <w:tcPr>
                  <w:tcW w:w="1750" w:type="pct"/>
                  <w:tcBorders>
                    <w:tl2br w:val="nil"/>
                    <w:tr2bl w:val="nil"/>
                  </w:tcBorders>
                  <w:noWrap w:val="0"/>
                  <w:vAlign w:val="center"/>
                </w:tcPr>
                <w:p w14:paraId="52600556">
                  <w:pPr>
                    <w:pStyle w:val="55"/>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firstLineChars="0"/>
                    <w:jc w:val="center"/>
                    <w:textAlignment w:val="auto"/>
                    <w:rPr>
                      <w:rFonts w:hint="eastAsia" w:asci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本项目</w:t>
                  </w:r>
                  <w:r>
                    <w:rPr>
                      <w:rFonts w:hint="eastAsia" w:ascii="Times New Roman" w:hAnsi="Times New Roman" w:eastAsia="宋体" w:cs="Times New Roman"/>
                      <w:color w:val="auto"/>
                      <w:kern w:val="2"/>
                      <w:sz w:val="21"/>
                      <w:szCs w:val="21"/>
                      <w:highlight w:val="none"/>
                      <w:lang w:val="en-US" w:eastAsia="zh-CN" w:bidi="ar-SA"/>
                    </w:rPr>
                    <w:t>位于</w:t>
                  </w:r>
                  <w:r>
                    <w:rPr>
                      <w:rFonts w:hint="eastAsia" w:ascii="Times New Roman" w:eastAsia="宋体" w:cs="Times New Roman"/>
                      <w:color w:val="auto"/>
                      <w:kern w:val="2"/>
                      <w:sz w:val="21"/>
                      <w:szCs w:val="21"/>
                      <w:highlight w:val="none"/>
                      <w:lang w:val="en-US" w:eastAsia="zh-CN" w:bidi="ar-SA"/>
                    </w:rPr>
                    <w:t>五河县城南工业园区</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bCs/>
                      <w:snapToGrid w:val="0"/>
                      <w:color w:val="auto"/>
                      <w:sz w:val="21"/>
                      <w:szCs w:val="21"/>
                      <w:highlight w:val="none"/>
                      <w:lang w:val="en-US" w:eastAsia="zh-CN"/>
                    </w:rPr>
                    <w:t>项目所用清洗剂</w:t>
                  </w:r>
                  <w:r>
                    <w:rPr>
                      <w:rFonts w:hint="eastAsia" w:ascii="Times New Roman" w:eastAsia="宋体" w:cs="Times New Roman"/>
                      <w:bCs/>
                      <w:snapToGrid w:val="0"/>
                      <w:color w:val="auto"/>
                      <w:sz w:val="21"/>
                      <w:szCs w:val="21"/>
                      <w:highlight w:val="none"/>
                      <w:lang w:val="en-US" w:eastAsia="zh-CN"/>
                    </w:rPr>
                    <w:t>脱模剂中VOCs含量</w:t>
                  </w:r>
                  <w:r>
                    <w:rPr>
                      <w:rFonts w:hint="default" w:ascii="Times New Roman" w:hAnsi="Times New Roman" w:eastAsia="宋体" w:cs="Times New Roman"/>
                      <w:color w:val="auto"/>
                      <w:kern w:val="0"/>
                      <w:sz w:val="21"/>
                      <w:szCs w:val="21"/>
                      <w:highlight w:val="none"/>
                      <w:lang w:val="en-US" w:eastAsia="zh-CN" w:bidi="ar"/>
                    </w:rPr>
                    <w:t>属满足《清洗剂挥发性有机化合物含量限值》（GB38508-2020）表1</w:t>
                  </w:r>
                  <w:r>
                    <w:rPr>
                      <w:rFonts w:hint="eastAsia" w:ascii="Times New Roman" w:eastAsia="宋体" w:cs="Times New Roman"/>
                      <w:color w:val="auto"/>
                      <w:kern w:val="0"/>
                      <w:sz w:val="21"/>
                      <w:szCs w:val="21"/>
                      <w:highlight w:val="none"/>
                      <w:lang w:val="en-US" w:eastAsia="zh-CN" w:bidi="ar"/>
                    </w:rPr>
                    <w:t>水基型</w:t>
                  </w:r>
                  <w:r>
                    <w:rPr>
                      <w:rFonts w:hint="default" w:ascii="Times New Roman" w:hAnsi="Times New Roman" w:eastAsia="宋体" w:cs="Times New Roman"/>
                      <w:color w:val="auto"/>
                      <w:kern w:val="0"/>
                      <w:sz w:val="21"/>
                      <w:szCs w:val="21"/>
                      <w:highlight w:val="none"/>
                      <w:lang w:val="en-US" w:eastAsia="zh-CN" w:bidi="ar"/>
                    </w:rPr>
                    <w:t>清洗剂VOC≤</w:t>
                  </w:r>
                  <w:r>
                    <w:rPr>
                      <w:rFonts w:hint="eastAsia" w:ascii="Times New Roman" w:eastAsia="宋体"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0g/L的限值要求。</w:t>
                  </w:r>
                </w:p>
              </w:tc>
              <w:tc>
                <w:tcPr>
                  <w:tcW w:w="622" w:type="pct"/>
                  <w:tcBorders>
                    <w:tl2br w:val="nil"/>
                    <w:tr2bl w:val="nil"/>
                  </w:tcBorders>
                  <w:noWrap w:val="0"/>
                  <w:vAlign w:val="center"/>
                </w:tcPr>
                <w:p w14:paraId="34113FBE">
                  <w:pPr>
                    <w:pStyle w:val="55"/>
                    <w:keepNext w:val="0"/>
                    <w:keepLines w:val="0"/>
                    <w:pageBreakBefore w:val="0"/>
                    <w:suppressLineNumbers w:val="0"/>
                    <w:kinsoku/>
                    <w:wordWrap/>
                    <w:overflowPunct/>
                    <w:topLinePunct w:val="0"/>
                    <w:bidi w:val="0"/>
                    <w:spacing w:before="0" w:beforeAutospacing="0" w:after="0" w:afterAutospacing="0"/>
                    <w:ind w:left="0" w:right="0" w:firstLine="0"/>
                    <w:jc w:val="center"/>
                    <w:textAlignment w:val="auto"/>
                    <w:rPr>
                      <w:rFonts w:hint="eastAsia" w:asci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eastAsia="zh-CN"/>
                    </w:rPr>
                    <w:t>符合</w:t>
                  </w:r>
                </w:p>
              </w:tc>
            </w:tr>
          </w:tbl>
          <w:p w14:paraId="5DBF3336">
            <w:pPr>
              <w:pStyle w:val="356"/>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textAlignment w:val="auto"/>
              <w:rPr>
                <w:color w:val="auto"/>
                <w:highlight w:val="none"/>
              </w:rPr>
            </w:pPr>
            <w:r>
              <w:rPr>
                <w:rFonts w:hint="eastAsia" w:ascii="Times New Roman" w:hAnsi="Times New Roman" w:eastAsia="宋体" w:cs="Times New Roman"/>
                <w:b/>
                <w:bCs/>
                <w:color w:val="auto"/>
                <w:spacing w:val="-4"/>
                <w:highlight w:val="none"/>
                <w:lang w:val="en-US" w:eastAsia="zh-CN"/>
              </w:rPr>
              <w:t>8</w:t>
            </w:r>
            <w:r>
              <w:rPr>
                <w:b/>
                <w:bCs/>
                <w:color w:val="auto"/>
                <w:spacing w:val="-4"/>
                <w:highlight w:val="none"/>
              </w:rPr>
              <w:t>、与蚌埠市人民政府办公室关于印发《蚌埠市空气质量</w:t>
            </w:r>
            <w:r>
              <w:rPr>
                <w:b/>
                <w:bCs/>
                <w:color w:val="auto"/>
                <w:spacing w:val="-5"/>
                <w:highlight w:val="none"/>
              </w:rPr>
              <w:t>提升攻坚行动方案》的</w:t>
            </w:r>
            <w:r>
              <w:rPr>
                <w:b/>
                <w:bCs/>
                <w:color w:val="auto"/>
                <w:spacing w:val="-3"/>
                <w:highlight w:val="none"/>
              </w:rPr>
              <w:t>通知（蚌政办秘〔</w:t>
            </w:r>
            <w:r>
              <w:rPr>
                <w:rFonts w:ascii="Times New Roman" w:hAnsi="Times New Roman" w:eastAsia="Times New Roman" w:cs="Times New Roman"/>
                <w:b/>
                <w:bCs/>
                <w:color w:val="auto"/>
                <w:spacing w:val="-3"/>
                <w:highlight w:val="none"/>
              </w:rPr>
              <w:t>2024</w:t>
            </w:r>
            <w:r>
              <w:rPr>
                <w:b/>
                <w:bCs/>
                <w:color w:val="auto"/>
                <w:spacing w:val="-3"/>
                <w:highlight w:val="none"/>
              </w:rPr>
              <w:t>〕</w:t>
            </w:r>
            <w:r>
              <w:rPr>
                <w:rFonts w:ascii="Times New Roman" w:hAnsi="Times New Roman" w:eastAsia="Times New Roman" w:cs="Times New Roman"/>
                <w:b/>
                <w:bCs/>
                <w:color w:val="auto"/>
                <w:spacing w:val="-3"/>
                <w:highlight w:val="none"/>
              </w:rPr>
              <w:t>28</w:t>
            </w:r>
            <w:r>
              <w:rPr>
                <w:b/>
                <w:bCs/>
                <w:color w:val="auto"/>
                <w:spacing w:val="-3"/>
                <w:highlight w:val="none"/>
              </w:rPr>
              <w:t>号）的相符性</w:t>
            </w:r>
          </w:p>
          <w:p w14:paraId="52D5E3B7">
            <w:pPr>
              <w:pStyle w:val="3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color w:val="auto"/>
                <w:highlight w:val="none"/>
              </w:rPr>
            </w:pPr>
            <w:r>
              <w:rPr>
                <w:color w:val="auto"/>
                <w:highlight w:val="none"/>
              </w:rPr>
              <w:t>项目与《蚌埠市空气质量提升攻坚行动方案</w:t>
            </w:r>
            <w:r>
              <w:rPr>
                <w:color w:val="auto"/>
                <w:spacing w:val="-1"/>
                <w:highlight w:val="none"/>
              </w:rPr>
              <w:t>》相符性分析内容，具体见下表。</w:t>
            </w:r>
          </w:p>
          <w:p w14:paraId="673EC2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4"/>
                <w:szCs w:val="24"/>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表1-1</w:t>
            </w:r>
            <w:r>
              <w:rPr>
                <w:rFonts w:hint="eastAsia" w:cs="Times New Roman"/>
                <w:b/>
                <w:bCs/>
                <w:color w:val="auto"/>
                <w:kern w:val="0"/>
                <w:sz w:val="21"/>
                <w:szCs w:val="21"/>
                <w:highlight w:val="none"/>
                <w:lang w:val="en-US" w:eastAsia="zh-CN" w:bidi="ar-SA"/>
              </w:rPr>
              <w:t>2</w:t>
            </w:r>
            <w:r>
              <w:rPr>
                <w:rFonts w:hint="eastAsia" w:ascii="Times New Roman" w:hAnsi="Times New Roman" w:eastAsia="宋体" w:cs="Times New Roman"/>
                <w:b/>
                <w:bCs/>
                <w:color w:val="auto"/>
                <w:kern w:val="0"/>
                <w:sz w:val="21"/>
                <w:szCs w:val="21"/>
                <w:highlight w:val="none"/>
                <w:lang w:val="en-US" w:eastAsia="zh-CN" w:bidi="ar-SA"/>
              </w:rPr>
              <w:t xml:space="preserve">  与《蚌埠市空气质量提升攻坚行动方案》相符性分析</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577"/>
              <w:gridCol w:w="747"/>
              <w:gridCol w:w="2759"/>
              <w:gridCol w:w="1715"/>
              <w:gridCol w:w="637"/>
            </w:tblGrid>
            <w:tr w14:paraId="15DA2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tcBorders>
                    <w:tl2br w:val="nil"/>
                    <w:tr2bl w:val="nil"/>
                  </w:tcBorders>
                  <w:noWrap w:val="0"/>
                  <w:vAlign w:val="center"/>
                </w:tcPr>
                <w:p w14:paraId="3DC5F71E">
                  <w:pPr>
                    <w:pStyle w:val="5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eastAsia" w:ascii="Times New Roman" w:eastAsia="宋体" w:cs="Times New Roman"/>
                      <w:b/>
                      <w:color w:val="auto"/>
                      <w:sz w:val="21"/>
                      <w:szCs w:val="21"/>
                      <w:highlight w:val="none"/>
                      <w:lang w:val="en-US" w:eastAsia="zh-CN"/>
                    </w:rPr>
                  </w:pPr>
                  <w:r>
                    <w:rPr>
                      <w:rFonts w:hint="eastAsia" w:ascii="Times New Roman" w:eastAsia="宋体" w:cs="Times New Roman"/>
                      <w:b/>
                      <w:color w:val="auto"/>
                      <w:sz w:val="21"/>
                      <w:szCs w:val="21"/>
                      <w:highlight w:val="none"/>
                      <w:lang w:val="en-US" w:eastAsia="zh-CN"/>
                    </w:rPr>
                    <w:t>序号</w:t>
                  </w:r>
                </w:p>
              </w:tc>
              <w:tc>
                <w:tcPr>
                  <w:tcW w:w="2907" w:type="pct"/>
                  <w:gridSpan w:val="3"/>
                  <w:tcBorders>
                    <w:tl2br w:val="nil"/>
                    <w:tr2bl w:val="nil"/>
                  </w:tcBorders>
                  <w:noWrap w:val="0"/>
                  <w:vAlign w:val="center"/>
                </w:tcPr>
                <w:p w14:paraId="406ACBCF">
                  <w:pPr>
                    <w:pStyle w:val="5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default" w:ascii="Times New Roman" w:eastAsia="宋体" w:cs="Times New Roman"/>
                      <w:b/>
                      <w:color w:val="auto"/>
                      <w:sz w:val="21"/>
                      <w:szCs w:val="21"/>
                      <w:highlight w:val="none"/>
                      <w:lang w:val="en-US" w:eastAsia="zh-CN"/>
                    </w:rPr>
                  </w:pPr>
                  <w:r>
                    <w:rPr>
                      <w:rFonts w:hint="eastAsia" w:ascii="Times New Roman" w:eastAsia="宋体" w:cs="Times New Roman"/>
                      <w:b/>
                      <w:color w:val="auto"/>
                      <w:sz w:val="21"/>
                      <w:szCs w:val="21"/>
                      <w:highlight w:val="none"/>
                      <w:lang w:val="en-US" w:eastAsia="zh-CN"/>
                    </w:rPr>
                    <w:t>方案要求</w:t>
                  </w:r>
                </w:p>
              </w:tc>
              <w:tc>
                <w:tcPr>
                  <w:tcW w:w="1221" w:type="pct"/>
                  <w:tcBorders>
                    <w:tl2br w:val="nil"/>
                    <w:tr2bl w:val="nil"/>
                  </w:tcBorders>
                  <w:noWrap w:val="0"/>
                  <w:vAlign w:val="center"/>
                </w:tcPr>
                <w:p w14:paraId="63A6CCA7">
                  <w:pPr>
                    <w:pStyle w:val="5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default" w:ascii="Times New Roman" w:eastAsia="宋体" w:cs="Times New Roman"/>
                      <w:b/>
                      <w:color w:val="auto"/>
                      <w:sz w:val="21"/>
                      <w:szCs w:val="21"/>
                      <w:highlight w:val="none"/>
                      <w:lang w:val="en-US" w:eastAsia="zh-CN"/>
                    </w:rPr>
                  </w:pPr>
                  <w:r>
                    <w:rPr>
                      <w:rFonts w:hint="eastAsia" w:ascii="Times New Roman" w:eastAsia="宋体" w:cs="Times New Roman"/>
                      <w:b/>
                      <w:color w:val="auto"/>
                      <w:sz w:val="21"/>
                      <w:szCs w:val="21"/>
                      <w:highlight w:val="none"/>
                      <w:lang w:val="en-US" w:eastAsia="zh-CN"/>
                    </w:rPr>
                    <w:t>项目情况</w:t>
                  </w:r>
                </w:p>
              </w:tc>
              <w:tc>
                <w:tcPr>
                  <w:tcW w:w="453" w:type="pct"/>
                  <w:tcBorders>
                    <w:tl2br w:val="nil"/>
                    <w:tr2bl w:val="nil"/>
                  </w:tcBorders>
                  <w:noWrap w:val="0"/>
                  <w:vAlign w:val="center"/>
                </w:tcPr>
                <w:p w14:paraId="14A0FA30">
                  <w:pPr>
                    <w:pStyle w:val="5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eastAsia" w:ascii="Times New Roman" w:eastAsia="宋体" w:cs="Times New Roman"/>
                      <w:b/>
                      <w:color w:val="auto"/>
                      <w:sz w:val="21"/>
                      <w:szCs w:val="21"/>
                      <w:highlight w:val="none"/>
                      <w:lang w:val="en-US" w:eastAsia="zh-CN"/>
                    </w:rPr>
                  </w:pPr>
                  <w:r>
                    <w:rPr>
                      <w:rFonts w:hint="eastAsia" w:ascii="Times New Roman" w:eastAsia="宋体" w:cs="Times New Roman"/>
                      <w:b/>
                      <w:color w:val="auto"/>
                      <w:sz w:val="21"/>
                      <w:szCs w:val="21"/>
                      <w:highlight w:val="none"/>
                      <w:lang w:val="en-US" w:eastAsia="zh-CN"/>
                    </w:rPr>
                    <w:t>相符性</w:t>
                  </w:r>
                </w:p>
              </w:tc>
            </w:tr>
            <w:tr w14:paraId="1AA5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restart"/>
                  <w:tcBorders>
                    <w:tl2br w:val="nil"/>
                    <w:tr2bl w:val="nil"/>
                  </w:tcBorders>
                  <w:noWrap w:val="0"/>
                  <w:vAlign w:val="center"/>
                </w:tcPr>
                <w:p w14:paraId="25C1DBF6">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411" w:type="pct"/>
                  <w:vMerge w:val="restart"/>
                  <w:tcBorders>
                    <w:tl2br w:val="nil"/>
                    <w:tr2bl w:val="nil"/>
                  </w:tcBorders>
                  <w:noWrap w:val="0"/>
                  <w:vAlign w:val="center"/>
                </w:tcPr>
                <w:p w14:paraId="0E4202EC">
                  <w:pPr>
                    <w:pStyle w:val="356"/>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eastAsia="宋体"/>
                      <w:color w:val="auto"/>
                      <w:sz w:val="21"/>
                      <w:szCs w:val="21"/>
                      <w:highlight w:val="none"/>
                      <w:lang w:eastAsia="zh-CN"/>
                    </w:rPr>
                  </w:pPr>
                  <w:r>
                    <w:rPr>
                      <w:color w:val="auto"/>
                      <w:spacing w:val="4"/>
                      <w:sz w:val="21"/>
                      <w:szCs w:val="21"/>
                      <w:highlight w:val="none"/>
                    </w:rPr>
                    <w:t>产业</w:t>
                  </w:r>
                  <w:r>
                    <w:rPr>
                      <w:color w:val="auto"/>
                      <w:spacing w:val="3"/>
                      <w:sz w:val="21"/>
                      <w:szCs w:val="21"/>
                      <w:highlight w:val="none"/>
                    </w:rPr>
                    <w:t>绿色发展</w:t>
                  </w:r>
                  <w:r>
                    <w:rPr>
                      <w:color w:val="auto"/>
                      <w:spacing w:val="4"/>
                      <w:sz w:val="21"/>
                      <w:szCs w:val="21"/>
                      <w:highlight w:val="none"/>
                    </w:rPr>
                    <w:t>提升</w:t>
                  </w:r>
                  <w:r>
                    <w:rPr>
                      <w:color w:val="auto"/>
                      <w:spacing w:val="3"/>
                      <w:sz w:val="21"/>
                      <w:szCs w:val="21"/>
                      <w:highlight w:val="none"/>
                    </w:rPr>
                    <w:t>行动</w:t>
                  </w:r>
                </w:p>
              </w:tc>
              <w:tc>
                <w:tcPr>
                  <w:tcW w:w="532" w:type="pct"/>
                  <w:vMerge w:val="restart"/>
                  <w:tcBorders>
                    <w:tl2br w:val="nil"/>
                    <w:tr2bl w:val="nil"/>
                  </w:tcBorders>
                  <w:noWrap w:val="0"/>
                  <w:vAlign w:val="center"/>
                </w:tcPr>
                <w:p w14:paraId="650794C9">
                  <w:pPr>
                    <w:pStyle w:val="356"/>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eastAsia="宋体" w:cs="Times New Roman"/>
                      <w:color w:val="auto"/>
                      <w:sz w:val="21"/>
                      <w:szCs w:val="21"/>
                      <w:highlight w:val="none"/>
                      <w:lang w:eastAsia="zh-CN"/>
                    </w:rPr>
                  </w:pPr>
                  <w:r>
                    <w:rPr>
                      <w:color w:val="auto"/>
                      <w:spacing w:val="6"/>
                      <w:sz w:val="21"/>
                      <w:szCs w:val="21"/>
                      <w:highlight w:val="none"/>
                    </w:rPr>
                    <w:t>坚决遏制</w:t>
                  </w:r>
                  <w:r>
                    <w:rPr>
                      <w:color w:val="auto"/>
                      <w:spacing w:val="24"/>
                      <w:sz w:val="21"/>
                      <w:szCs w:val="21"/>
                      <w:highlight w:val="none"/>
                    </w:rPr>
                    <w:t>“两高</w:t>
                  </w:r>
                  <w:r>
                    <w:rPr>
                      <w:color w:val="auto"/>
                      <w:spacing w:val="-69"/>
                      <w:sz w:val="21"/>
                      <w:szCs w:val="21"/>
                      <w:highlight w:val="none"/>
                    </w:rPr>
                    <w:t xml:space="preserve"> </w:t>
                  </w:r>
                  <w:r>
                    <w:rPr>
                      <w:color w:val="auto"/>
                      <w:spacing w:val="24"/>
                      <w:sz w:val="21"/>
                      <w:szCs w:val="21"/>
                      <w:highlight w:val="none"/>
                    </w:rPr>
                    <w:t>”</w:t>
                  </w:r>
                  <w:r>
                    <w:rPr>
                      <w:color w:val="auto"/>
                      <w:spacing w:val="6"/>
                      <w:sz w:val="21"/>
                      <w:szCs w:val="21"/>
                      <w:highlight w:val="none"/>
                    </w:rPr>
                    <w:t>项目盲目</w:t>
                  </w:r>
                  <w:r>
                    <w:rPr>
                      <w:color w:val="auto"/>
                      <w:spacing w:val="3"/>
                      <w:sz w:val="21"/>
                      <w:szCs w:val="21"/>
                      <w:highlight w:val="none"/>
                    </w:rPr>
                    <w:t>发展</w:t>
                  </w:r>
                </w:p>
              </w:tc>
              <w:tc>
                <w:tcPr>
                  <w:tcW w:w="1963" w:type="pct"/>
                  <w:tcBorders>
                    <w:tl2br w:val="nil"/>
                    <w:tr2bl w:val="nil"/>
                  </w:tcBorders>
                  <w:noWrap w:val="0"/>
                  <w:vAlign w:val="center"/>
                </w:tcPr>
                <w:p w14:paraId="00AEBAA3">
                  <w:pPr>
                    <w:pStyle w:val="356"/>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eastAsia="宋体" w:cs="Times New Roman"/>
                      <w:color w:val="auto"/>
                      <w:sz w:val="21"/>
                      <w:szCs w:val="21"/>
                      <w:highlight w:val="none"/>
                      <w:lang w:eastAsia="zh-CN"/>
                    </w:rPr>
                  </w:pPr>
                  <w:r>
                    <w:rPr>
                      <w:color w:val="auto"/>
                      <w:spacing w:val="7"/>
                      <w:sz w:val="21"/>
                      <w:szCs w:val="21"/>
                      <w:highlight w:val="none"/>
                    </w:rPr>
                    <w:t>对全市化工、玻璃等高耗能、高排放</w:t>
                  </w:r>
                  <w:r>
                    <w:rPr>
                      <w:rFonts w:ascii="Times New Roman" w:hAnsi="Times New Roman" w:eastAsia="Times New Roman" w:cs="Times New Roman"/>
                      <w:color w:val="auto"/>
                      <w:spacing w:val="7"/>
                      <w:sz w:val="21"/>
                      <w:szCs w:val="21"/>
                      <w:highlight w:val="none"/>
                    </w:rPr>
                    <w:t>(</w:t>
                  </w:r>
                  <w:r>
                    <w:rPr>
                      <w:color w:val="auto"/>
                      <w:spacing w:val="7"/>
                      <w:sz w:val="21"/>
                      <w:szCs w:val="21"/>
                      <w:highlight w:val="none"/>
                    </w:rPr>
                    <w:t>以</w:t>
                  </w:r>
                  <w:r>
                    <w:rPr>
                      <w:color w:val="auto"/>
                      <w:spacing w:val="5"/>
                      <w:sz w:val="21"/>
                      <w:szCs w:val="21"/>
                      <w:highlight w:val="none"/>
                    </w:rPr>
                    <w:t>下简称“两高</w:t>
                  </w:r>
                  <w:r>
                    <w:rPr>
                      <w:color w:val="auto"/>
                      <w:spacing w:val="-68"/>
                      <w:sz w:val="21"/>
                      <w:szCs w:val="21"/>
                      <w:highlight w:val="none"/>
                    </w:rPr>
                    <w:t xml:space="preserve"> </w:t>
                  </w:r>
                  <w:r>
                    <w:rPr>
                      <w:color w:val="auto"/>
                      <w:spacing w:val="5"/>
                      <w:sz w:val="21"/>
                      <w:szCs w:val="21"/>
                      <w:highlight w:val="none"/>
                    </w:rPr>
                    <w:t>”</w:t>
                  </w:r>
                  <w:r>
                    <w:rPr>
                      <w:rFonts w:ascii="Times New Roman" w:hAnsi="Times New Roman" w:eastAsia="Times New Roman" w:cs="Times New Roman"/>
                      <w:color w:val="auto"/>
                      <w:spacing w:val="5"/>
                      <w:sz w:val="21"/>
                      <w:szCs w:val="21"/>
                      <w:highlight w:val="none"/>
                    </w:rPr>
                    <w:t>)</w:t>
                  </w:r>
                  <w:r>
                    <w:rPr>
                      <w:color w:val="auto"/>
                      <w:spacing w:val="5"/>
                      <w:sz w:val="21"/>
                      <w:szCs w:val="21"/>
                      <w:highlight w:val="none"/>
                    </w:rPr>
                    <w:t>项目实施清单管理、动</w:t>
                  </w:r>
                  <w:r>
                    <w:rPr>
                      <w:color w:val="auto"/>
                      <w:spacing w:val="9"/>
                      <w:sz w:val="21"/>
                      <w:szCs w:val="21"/>
                      <w:highlight w:val="none"/>
                    </w:rPr>
                    <w:t>态监控，依据用电监管和重污染天气应急诚排清单，严格落实借峰生产和重污</w:t>
                  </w:r>
                  <w:r>
                    <w:rPr>
                      <w:color w:val="auto"/>
                      <w:spacing w:val="7"/>
                      <w:sz w:val="21"/>
                      <w:szCs w:val="21"/>
                      <w:highlight w:val="none"/>
                    </w:rPr>
                    <w:t>染天气应急管理措施，新建“两高</w:t>
                  </w:r>
                  <w:r>
                    <w:rPr>
                      <w:color w:val="auto"/>
                      <w:spacing w:val="-63"/>
                      <w:sz w:val="21"/>
                      <w:szCs w:val="21"/>
                      <w:highlight w:val="none"/>
                    </w:rPr>
                    <w:t xml:space="preserve"> </w:t>
                  </w:r>
                  <w:r>
                    <w:rPr>
                      <w:color w:val="auto"/>
                      <w:spacing w:val="7"/>
                      <w:sz w:val="21"/>
                      <w:szCs w:val="21"/>
                      <w:highlight w:val="none"/>
                    </w:rPr>
                    <w:t>”项</w:t>
                  </w:r>
                  <w:r>
                    <w:rPr>
                      <w:color w:val="auto"/>
                      <w:spacing w:val="6"/>
                      <w:sz w:val="21"/>
                      <w:szCs w:val="21"/>
                      <w:highlight w:val="none"/>
                    </w:rPr>
                    <w:t>目按照重污染天气绩效分级的</w:t>
                  </w:r>
                  <w:r>
                    <w:rPr>
                      <w:color w:val="auto"/>
                      <w:spacing w:val="-47"/>
                      <w:sz w:val="21"/>
                      <w:szCs w:val="21"/>
                      <w:highlight w:val="none"/>
                    </w:rPr>
                    <w:t xml:space="preserve"> </w:t>
                  </w:r>
                  <w:r>
                    <w:rPr>
                      <w:rFonts w:ascii="Times New Roman" w:hAnsi="Times New Roman" w:eastAsia="Times New Roman" w:cs="Times New Roman"/>
                      <w:color w:val="auto"/>
                      <w:spacing w:val="6"/>
                      <w:sz w:val="21"/>
                      <w:szCs w:val="21"/>
                      <w:highlight w:val="none"/>
                    </w:rPr>
                    <w:t>A</w:t>
                  </w:r>
                  <w:r>
                    <w:rPr>
                      <w:color w:val="auto"/>
                      <w:spacing w:val="6"/>
                      <w:sz w:val="21"/>
                      <w:szCs w:val="21"/>
                      <w:highlight w:val="none"/>
                    </w:rPr>
                    <w:t>级绩效</w:t>
                  </w:r>
                  <w:r>
                    <w:rPr>
                      <w:color w:val="auto"/>
                      <w:spacing w:val="5"/>
                      <w:sz w:val="21"/>
                      <w:szCs w:val="21"/>
                      <w:highlight w:val="none"/>
                    </w:rPr>
                    <w:t>指标建设。</w:t>
                  </w:r>
                </w:p>
              </w:tc>
              <w:tc>
                <w:tcPr>
                  <w:tcW w:w="1221" w:type="pct"/>
                  <w:tcBorders>
                    <w:tl2br w:val="nil"/>
                    <w:tr2bl w:val="nil"/>
                  </w:tcBorders>
                  <w:noWrap w:val="0"/>
                  <w:vAlign w:val="center"/>
                </w:tcPr>
                <w:p w14:paraId="72DDC3C8">
                  <w:pPr>
                    <w:pStyle w:val="356"/>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eastAsia="宋体" w:cs="Times New Roman"/>
                      <w:color w:val="auto"/>
                      <w:sz w:val="21"/>
                      <w:szCs w:val="21"/>
                      <w:highlight w:val="none"/>
                      <w:lang w:eastAsia="zh-CN"/>
                    </w:rPr>
                  </w:pPr>
                  <w:r>
                    <w:rPr>
                      <w:color w:val="auto"/>
                      <w:spacing w:val="7"/>
                      <w:sz w:val="21"/>
                      <w:szCs w:val="21"/>
                      <w:highlight w:val="none"/>
                    </w:rPr>
                    <w:t>本项目为新建项目，</w:t>
                  </w:r>
                  <w:r>
                    <w:rPr>
                      <w:color w:val="auto"/>
                      <w:spacing w:val="5"/>
                      <w:sz w:val="21"/>
                      <w:szCs w:val="21"/>
                      <w:highlight w:val="none"/>
                    </w:rPr>
                    <w:t>项目类别为</w:t>
                  </w:r>
                  <w:r>
                    <w:rPr>
                      <w:color w:val="auto"/>
                      <w:spacing w:val="-34"/>
                      <w:sz w:val="21"/>
                      <w:szCs w:val="21"/>
                      <w:highlight w:val="none"/>
                    </w:rPr>
                    <w:t xml:space="preserve"> </w:t>
                  </w:r>
                  <w:r>
                    <w:rPr>
                      <w:rFonts w:hint="default" w:ascii="Times New Roman" w:hAnsi="Times New Roman" w:eastAsia="宋体" w:cs="Times New Roman"/>
                      <w:color w:val="auto"/>
                      <w:kern w:val="0"/>
                      <w:sz w:val="21"/>
                      <w:szCs w:val="21"/>
                      <w:highlight w:val="none"/>
                      <w:lang w:val="en-US" w:eastAsia="zh-CN" w:bidi="ar"/>
                    </w:rPr>
                    <w:t>C1953塑料鞋制造、</w:t>
                  </w:r>
                  <w:r>
                    <w:rPr>
                      <w:rFonts w:hint="eastAsia" w:ascii="Times New Roman" w:hAnsi="Times New Roman" w:eastAsia="宋体" w:cs="Times New Roman"/>
                      <w:color w:val="auto"/>
                      <w:kern w:val="0"/>
                      <w:sz w:val="21"/>
                      <w:szCs w:val="21"/>
                      <w:highlight w:val="none"/>
                      <w:lang w:val="en-US" w:eastAsia="zh-CN" w:bidi="ar"/>
                    </w:rPr>
                    <w:t>C1819其他机织服装制造</w:t>
                  </w:r>
                  <w:r>
                    <w:rPr>
                      <w:color w:val="auto"/>
                      <w:spacing w:val="5"/>
                      <w:sz w:val="21"/>
                      <w:szCs w:val="21"/>
                      <w:highlight w:val="none"/>
                    </w:rPr>
                    <w:t>，根据《安</w:t>
                  </w:r>
                  <w:r>
                    <w:rPr>
                      <w:color w:val="auto"/>
                      <w:spacing w:val="8"/>
                      <w:sz w:val="21"/>
                      <w:szCs w:val="21"/>
                      <w:highlight w:val="none"/>
                    </w:rPr>
                    <w:t>徽省节能减排及应对气候变化工作领</w:t>
                  </w:r>
                  <w:r>
                    <w:rPr>
                      <w:color w:val="auto"/>
                      <w:spacing w:val="7"/>
                      <w:sz w:val="21"/>
                      <w:szCs w:val="21"/>
                      <w:highlight w:val="none"/>
                    </w:rPr>
                    <w:t>导小组关于进一步</w:t>
                  </w:r>
                  <w:r>
                    <w:rPr>
                      <w:color w:val="auto"/>
                      <w:spacing w:val="2"/>
                      <w:sz w:val="21"/>
                      <w:szCs w:val="21"/>
                      <w:highlight w:val="none"/>
                    </w:rPr>
                    <w:t>加强新上“两高</w:t>
                  </w:r>
                  <w:r>
                    <w:rPr>
                      <w:color w:val="auto"/>
                      <w:spacing w:val="-64"/>
                      <w:sz w:val="21"/>
                      <w:szCs w:val="21"/>
                      <w:highlight w:val="none"/>
                    </w:rPr>
                    <w:t xml:space="preserve"> </w:t>
                  </w:r>
                  <w:r>
                    <w:rPr>
                      <w:color w:val="auto"/>
                      <w:spacing w:val="2"/>
                      <w:sz w:val="21"/>
                      <w:szCs w:val="21"/>
                      <w:highlight w:val="none"/>
                    </w:rPr>
                    <w:t>”项</w:t>
                  </w:r>
                  <w:r>
                    <w:rPr>
                      <w:color w:val="auto"/>
                      <w:sz w:val="21"/>
                      <w:szCs w:val="21"/>
                      <w:highlight w:val="none"/>
                    </w:rPr>
                    <w:t>目管理的通知》（皖</w:t>
                  </w:r>
                  <w:r>
                    <w:rPr>
                      <w:color w:val="auto"/>
                      <w:spacing w:val="-1"/>
                      <w:sz w:val="21"/>
                      <w:szCs w:val="21"/>
                      <w:highlight w:val="none"/>
                    </w:rPr>
                    <w:t>节能〔</w:t>
                  </w:r>
                  <w:r>
                    <w:rPr>
                      <w:rFonts w:ascii="Times New Roman" w:hAnsi="Times New Roman" w:eastAsia="Times New Roman" w:cs="Times New Roman"/>
                      <w:color w:val="auto"/>
                      <w:spacing w:val="-1"/>
                      <w:sz w:val="21"/>
                      <w:szCs w:val="21"/>
                      <w:highlight w:val="none"/>
                    </w:rPr>
                    <w:t>2021</w:t>
                  </w:r>
                  <w:r>
                    <w:rPr>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color w:val="auto"/>
                      <w:spacing w:val="-1"/>
                      <w:sz w:val="21"/>
                      <w:szCs w:val="21"/>
                      <w:highlight w:val="none"/>
                    </w:rPr>
                    <w:t>号</w:t>
                  </w:r>
                  <w:r>
                    <w:rPr>
                      <w:color w:val="auto"/>
                      <w:spacing w:val="-30"/>
                      <w:sz w:val="21"/>
                      <w:szCs w:val="21"/>
                      <w:highlight w:val="none"/>
                    </w:rPr>
                    <w:t>），</w:t>
                  </w:r>
                  <w:r>
                    <w:rPr>
                      <w:color w:val="auto"/>
                      <w:spacing w:val="8"/>
                      <w:sz w:val="21"/>
                      <w:szCs w:val="21"/>
                      <w:highlight w:val="none"/>
                    </w:rPr>
                    <w:t>本项目不属于“两</w:t>
                  </w:r>
                  <w:r>
                    <w:rPr>
                      <w:color w:val="auto"/>
                      <w:spacing w:val="-2"/>
                      <w:sz w:val="21"/>
                      <w:szCs w:val="21"/>
                      <w:highlight w:val="none"/>
                    </w:rPr>
                    <w:t>高</w:t>
                  </w:r>
                  <w:r>
                    <w:rPr>
                      <w:color w:val="auto"/>
                      <w:spacing w:val="-67"/>
                      <w:sz w:val="21"/>
                      <w:szCs w:val="21"/>
                      <w:highlight w:val="none"/>
                    </w:rPr>
                    <w:t xml:space="preserve"> </w:t>
                  </w:r>
                  <w:r>
                    <w:rPr>
                      <w:color w:val="auto"/>
                      <w:spacing w:val="-2"/>
                      <w:sz w:val="21"/>
                      <w:szCs w:val="21"/>
                      <w:highlight w:val="none"/>
                    </w:rPr>
                    <w:t>”项目。</w:t>
                  </w:r>
                </w:p>
              </w:tc>
              <w:tc>
                <w:tcPr>
                  <w:tcW w:w="453" w:type="pct"/>
                  <w:tcBorders>
                    <w:tl2br w:val="nil"/>
                    <w:tr2bl w:val="nil"/>
                  </w:tcBorders>
                  <w:noWrap w:val="0"/>
                  <w:vAlign w:val="center"/>
                </w:tcPr>
                <w:p w14:paraId="28568422">
                  <w:pPr>
                    <w:pStyle w:val="55"/>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符合</w:t>
                  </w:r>
                </w:p>
              </w:tc>
            </w:tr>
            <w:tr w14:paraId="7B47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tcBorders>
                    <w:tl2br w:val="nil"/>
                    <w:tr2bl w:val="nil"/>
                  </w:tcBorders>
                  <w:noWrap w:val="0"/>
                  <w:vAlign w:val="center"/>
                </w:tcPr>
                <w:p w14:paraId="09A7AC28">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eastAsia="宋体"/>
                      <w:color w:val="auto"/>
                      <w:sz w:val="21"/>
                      <w:szCs w:val="21"/>
                      <w:highlight w:val="none"/>
                      <w:lang w:eastAsia="zh-CN"/>
                    </w:rPr>
                  </w:pPr>
                </w:p>
              </w:tc>
              <w:tc>
                <w:tcPr>
                  <w:tcW w:w="411" w:type="pct"/>
                  <w:vMerge w:val="continue"/>
                  <w:tcBorders>
                    <w:tl2br w:val="nil"/>
                    <w:tr2bl w:val="nil"/>
                  </w:tcBorders>
                  <w:noWrap w:val="0"/>
                  <w:vAlign w:val="center"/>
                </w:tcPr>
                <w:p w14:paraId="635BCA2F">
                  <w:pPr>
                    <w:pStyle w:val="55"/>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firstLineChars="0"/>
                    <w:jc w:val="center"/>
                    <w:textAlignment w:val="auto"/>
                    <w:rPr>
                      <w:rFonts w:hint="eastAsia" w:ascii="Times New Roman" w:eastAsia="宋体" w:cs="Times New Roman"/>
                      <w:color w:val="auto"/>
                      <w:sz w:val="21"/>
                      <w:szCs w:val="21"/>
                      <w:highlight w:val="none"/>
                      <w:lang w:val="en-US" w:eastAsia="zh-CN"/>
                    </w:rPr>
                  </w:pPr>
                </w:p>
              </w:tc>
              <w:tc>
                <w:tcPr>
                  <w:tcW w:w="532" w:type="pct"/>
                  <w:vMerge w:val="continue"/>
                  <w:tcBorders>
                    <w:tl2br w:val="nil"/>
                    <w:tr2bl w:val="nil"/>
                  </w:tcBorders>
                  <w:noWrap w:val="0"/>
                  <w:vAlign w:val="center"/>
                </w:tcPr>
                <w:p w14:paraId="4AB81B9A">
                  <w:pPr>
                    <w:pStyle w:val="55"/>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eastAsia="宋体" w:cs="Times New Roman"/>
                      <w:color w:val="auto"/>
                      <w:sz w:val="21"/>
                      <w:szCs w:val="21"/>
                      <w:highlight w:val="none"/>
                      <w:lang w:eastAsia="zh-CN"/>
                    </w:rPr>
                  </w:pPr>
                </w:p>
              </w:tc>
              <w:tc>
                <w:tcPr>
                  <w:tcW w:w="1963" w:type="pct"/>
                  <w:tcBorders>
                    <w:tl2br w:val="nil"/>
                    <w:tr2bl w:val="nil"/>
                  </w:tcBorders>
                  <w:noWrap w:val="0"/>
                  <w:vAlign w:val="center"/>
                </w:tcPr>
                <w:p w14:paraId="4297C5EB">
                  <w:pPr>
                    <w:pStyle w:val="356"/>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eastAsia="宋体" w:cs="Times New Roman"/>
                      <w:color w:val="auto"/>
                      <w:sz w:val="21"/>
                      <w:szCs w:val="21"/>
                      <w:highlight w:val="none"/>
                      <w:lang w:eastAsia="zh-CN"/>
                    </w:rPr>
                  </w:pPr>
                  <w:r>
                    <w:rPr>
                      <w:color w:val="auto"/>
                      <w:spacing w:val="3"/>
                      <w:sz w:val="21"/>
                      <w:szCs w:val="21"/>
                      <w:highlight w:val="none"/>
                    </w:rPr>
                    <w:t>严格实施新</w:t>
                  </w:r>
                  <w:r>
                    <w:rPr>
                      <w:rFonts w:ascii="Times New Roman" w:hAnsi="Times New Roman" w:eastAsia="Times New Roman" w:cs="Times New Roman"/>
                      <w:color w:val="auto"/>
                      <w:spacing w:val="3"/>
                      <w:sz w:val="21"/>
                      <w:szCs w:val="21"/>
                      <w:highlight w:val="none"/>
                    </w:rPr>
                    <w:t>(</w:t>
                  </w:r>
                  <w:r>
                    <w:rPr>
                      <w:color w:val="auto"/>
                      <w:spacing w:val="3"/>
                      <w:sz w:val="21"/>
                      <w:szCs w:val="21"/>
                      <w:highlight w:val="none"/>
                    </w:rPr>
                    <w:t>改、扩</w:t>
                  </w:r>
                  <w:r>
                    <w:rPr>
                      <w:rFonts w:ascii="Times New Roman" w:hAnsi="Times New Roman" w:eastAsia="Times New Roman" w:cs="Times New Roman"/>
                      <w:color w:val="auto"/>
                      <w:spacing w:val="3"/>
                      <w:sz w:val="21"/>
                      <w:szCs w:val="21"/>
                      <w:highlight w:val="none"/>
                    </w:rPr>
                    <w:t>)</w:t>
                  </w:r>
                  <w:r>
                    <w:rPr>
                      <w:color w:val="auto"/>
                      <w:spacing w:val="3"/>
                      <w:sz w:val="21"/>
                      <w:szCs w:val="21"/>
                      <w:highlight w:val="none"/>
                    </w:rPr>
                    <w:t>建项目主要大气污染</w:t>
                  </w:r>
                  <w:r>
                    <w:rPr>
                      <w:color w:val="auto"/>
                      <w:spacing w:val="4"/>
                      <w:sz w:val="21"/>
                      <w:szCs w:val="21"/>
                      <w:highlight w:val="none"/>
                    </w:rPr>
                    <w:t xml:space="preserve"> </w:t>
                  </w:r>
                  <w:r>
                    <w:rPr>
                      <w:color w:val="auto"/>
                      <w:spacing w:val="9"/>
                      <w:sz w:val="21"/>
                      <w:szCs w:val="21"/>
                      <w:highlight w:val="none"/>
                    </w:rPr>
                    <w:t>物倍量替代。重点项目制定区域削减方案，落实区域削减。严禁在经规划环评审查的产业园区以外区域，新建及扩建石化、化工、有色金属冶炼、平板玻璃</w:t>
                  </w:r>
                  <w:r>
                    <w:rPr>
                      <w:color w:val="auto"/>
                      <w:spacing w:val="13"/>
                      <w:sz w:val="21"/>
                      <w:szCs w:val="21"/>
                      <w:highlight w:val="none"/>
                    </w:rPr>
                    <w:t>项目。禁止建设生产和使用</w:t>
                  </w:r>
                  <w:r>
                    <w:rPr>
                      <w:rFonts w:ascii="Times New Roman" w:hAnsi="Times New Roman" w:eastAsia="Times New Roman" w:cs="Times New Roman"/>
                      <w:color w:val="auto"/>
                      <w:sz w:val="21"/>
                      <w:szCs w:val="21"/>
                      <w:highlight w:val="none"/>
                    </w:rPr>
                    <w:t>VOCs</w:t>
                  </w:r>
                  <w:r>
                    <w:rPr>
                      <w:color w:val="auto"/>
                      <w:spacing w:val="13"/>
                      <w:sz w:val="21"/>
                      <w:szCs w:val="21"/>
                      <w:highlight w:val="none"/>
                    </w:rPr>
                    <w:t>含量</w:t>
                  </w:r>
                  <w:r>
                    <w:rPr>
                      <w:color w:val="auto"/>
                      <w:spacing w:val="8"/>
                      <w:sz w:val="21"/>
                      <w:szCs w:val="21"/>
                      <w:highlight w:val="none"/>
                    </w:rPr>
                    <w:t>限值不符合国家标准的涂料、油墨、胶粘剂、清洗剂等项目。</w:t>
                  </w:r>
                </w:p>
              </w:tc>
              <w:tc>
                <w:tcPr>
                  <w:tcW w:w="1221" w:type="pct"/>
                  <w:tcBorders>
                    <w:tl2br w:val="nil"/>
                    <w:tr2bl w:val="nil"/>
                  </w:tcBorders>
                  <w:noWrap w:val="0"/>
                  <w:vAlign w:val="center"/>
                </w:tcPr>
                <w:p w14:paraId="67093C94">
                  <w:pPr>
                    <w:pStyle w:val="55"/>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eastAsia="宋体" w:cs="Times New Roman"/>
                      <w:color w:val="auto"/>
                      <w:sz w:val="21"/>
                      <w:szCs w:val="21"/>
                      <w:highlight w:val="none"/>
                      <w:lang w:eastAsia="zh-CN"/>
                    </w:rPr>
                  </w:pPr>
                  <w:r>
                    <w:rPr>
                      <w:color w:val="auto"/>
                      <w:spacing w:val="8"/>
                      <w:sz w:val="21"/>
                      <w:szCs w:val="21"/>
                      <w:highlight w:val="none"/>
                    </w:rPr>
                    <w:t>本项目所使用的</w:t>
                  </w:r>
                  <w:r>
                    <w:rPr>
                      <w:rFonts w:hint="eastAsia"/>
                      <w:color w:val="auto"/>
                      <w:spacing w:val="8"/>
                      <w:sz w:val="21"/>
                      <w:szCs w:val="21"/>
                      <w:highlight w:val="none"/>
                      <w:lang w:val="en-US" w:eastAsia="zh-CN"/>
                    </w:rPr>
                    <w:t>清洗剂（脱模剂）</w:t>
                  </w:r>
                  <w:r>
                    <w:rPr>
                      <w:color w:val="auto"/>
                      <w:spacing w:val="5"/>
                      <w:sz w:val="21"/>
                      <w:szCs w:val="21"/>
                      <w:highlight w:val="none"/>
                    </w:rPr>
                    <w:t>为</w:t>
                  </w:r>
                  <w:r>
                    <w:rPr>
                      <w:color w:val="auto"/>
                      <w:spacing w:val="4"/>
                      <w:sz w:val="21"/>
                      <w:szCs w:val="21"/>
                      <w:highlight w:val="none"/>
                    </w:rPr>
                    <w:t>低</w:t>
                  </w:r>
                  <w:r>
                    <w:rPr>
                      <w:color w:val="auto"/>
                      <w:spacing w:val="-46"/>
                      <w:sz w:val="21"/>
                      <w:szCs w:val="21"/>
                      <w:highlight w:val="none"/>
                    </w:rPr>
                    <w:t xml:space="preserve"> </w:t>
                  </w:r>
                  <w:r>
                    <w:rPr>
                      <w:rFonts w:ascii="Times New Roman" w:hAnsi="Times New Roman" w:eastAsia="Times New Roman" w:cs="Times New Roman"/>
                      <w:color w:val="auto"/>
                      <w:sz w:val="21"/>
                      <w:szCs w:val="21"/>
                      <w:highlight w:val="none"/>
                    </w:rPr>
                    <w:t>VOCs</w:t>
                  </w:r>
                  <w:r>
                    <w:rPr>
                      <w:color w:val="auto"/>
                      <w:spacing w:val="4"/>
                      <w:sz w:val="21"/>
                      <w:szCs w:val="21"/>
                      <w:highlight w:val="none"/>
                    </w:rPr>
                    <w:t>原辅材料，</w:t>
                  </w:r>
                  <w:r>
                    <w:rPr>
                      <w:rFonts w:hint="default" w:ascii="Times New Roman" w:hAnsi="Times New Roman" w:eastAsia="宋体" w:cs="Times New Roman"/>
                      <w:color w:val="auto"/>
                      <w:kern w:val="0"/>
                      <w:sz w:val="21"/>
                      <w:szCs w:val="21"/>
                      <w:highlight w:val="none"/>
                      <w:lang w:val="en-US" w:eastAsia="zh-CN" w:bidi="ar"/>
                    </w:rPr>
                    <w:t>满足《清洗剂挥发性有机化合物含量限值》（GB38508-2020）表1</w:t>
                  </w:r>
                  <w:r>
                    <w:rPr>
                      <w:rFonts w:hint="eastAsia" w:ascii="Times New Roman" w:eastAsia="宋体" w:cs="Times New Roman"/>
                      <w:color w:val="auto"/>
                      <w:kern w:val="0"/>
                      <w:sz w:val="21"/>
                      <w:szCs w:val="21"/>
                      <w:highlight w:val="none"/>
                      <w:lang w:val="en-US" w:eastAsia="zh-CN" w:bidi="ar"/>
                    </w:rPr>
                    <w:t>水基型</w:t>
                  </w:r>
                  <w:r>
                    <w:rPr>
                      <w:rFonts w:hint="default" w:ascii="Times New Roman" w:hAnsi="Times New Roman" w:eastAsia="宋体" w:cs="Times New Roman"/>
                      <w:color w:val="auto"/>
                      <w:kern w:val="0"/>
                      <w:sz w:val="21"/>
                      <w:szCs w:val="21"/>
                      <w:highlight w:val="none"/>
                      <w:lang w:val="en-US" w:eastAsia="zh-CN" w:bidi="ar"/>
                    </w:rPr>
                    <w:t>清洗剂VOC≤</w:t>
                  </w:r>
                  <w:r>
                    <w:rPr>
                      <w:rFonts w:hint="eastAsia" w:ascii="Times New Roman" w:eastAsia="宋体"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0g/L的限值要求</w:t>
                  </w:r>
                  <w:r>
                    <w:rPr>
                      <w:color w:val="auto"/>
                      <w:sz w:val="21"/>
                      <w:szCs w:val="21"/>
                      <w:highlight w:val="none"/>
                    </w:rPr>
                    <w:t>。</w:t>
                  </w:r>
                </w:p>
              </w:tc>
              <w:tc>
                <w:tcPr>
                  <w:tcW w:w="453" w:type="pct"/>
                  <w:tcBorders>
                    <w:tl2br w:val="nil"/>
                    <w:tr2bl w:val="nil"/>
                  </w:tcBorders>
                  <w:noWrap w:val="0"/>
                  <w:vAlign w:val="center"/>
                </w:tcPr>
                <w:p w14:paraId="46EC4375">
                  <w:pPr>
                    <w:pStyle w:val="55"/>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eastAsia="宋体" w:cs="Times New Roman"/>
                      <w:color w:val="auto"/>
                      <w:sz w:val="21"/>
                      <w:szCs w:val="21"/>
                      <w:highlight w:val="none"/>
                      <w:lang w:eastAsia="zh-CN"/>
                    </w:rPr>
                  </w:pPr>
                </w:p>
              </w:tc>
            </w:tr>
            <w:tr w14:paraId="6B26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tcBorders>
                    <w:tl2br w:val="nil"/>
                    <w:tr2bl w:val="nil"/>
                  </w:tcBorders>
                  <w:noWrap w:val="0"/>
                  <w:vAlign w:val="center"/>
                </w:tcPr>
                <w:p w14:paraId="18097F56">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eastAsia="宋体"/>
                      <w:color w:val="auto"/>
                      <w:sz w:val="21"/>
                      <w:szCs w:val="21"/>
                      <w:highlight w:val="none"/>
                      <w:lang w:eastAsia="zh-CN"/>
                    </w:rPr>
                  </w:pPr>
                </w:p>
              </w:tc>
              <w:tc>
                <w:tcPr>
                  <w:tcW w:w="411" w:type="pct"/>
                  <w:vMerge w:val="continue"/>
                  <w:tcBorders>
                    <w:tl2br w:val="nil"/>
                    <w:tr2bl w:val="nil"/>
                  </w:tcBorders>
                  <w:noWrap w:val="0"/>
                  <w:vAlign w:val="center"/>
                </w:tcPr>
                <w:p w14:paraId="657E8011">
                  <w:pPr>
                    <w:pStyle w:val="55"/>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firstLineChars="0"/>
                    <w:jc w:val="center"/>
                    <w:textAlignment w:val="auto"/>
                    <w:rPr>
                      <w:rFonts w:hint="eastAsia" w:ascii="Times New Roman" w:eastAsia="宋体" w:cs="Times New Roman"/>
                      <w:color w:val="auto"/>
                      <w:sz w:val="21"/>
                      <w:szCs w:val="21"/>
                      <w:highlight w:val="none"/>
                      <w:lang w:val="en-US" w:eastAsia="zh-CN"/>
                    </w:rPr>
                  </w:pPr>
                </w:p>
              </w:tc>
              <w:tc>
                <w:tcPr>
                  <w:tcW w:w="532" w:type="pct"/>
                  <w:tcBorders>
                    <w:tl2br w:val="nil"/>
                    <w:tr2bl w:val="nil"/>
                  </w:tcBorders>
                  <w:noWrap w:val="0"/>
                  <w:vAlign w:val="center"/>
                </w:tcPr>
                <w:p w14:paraId="0958C2AD">
                  <w:pPr>
                    <w:pStyle w:val="356"/>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color w:val="auto"/>
                      <w:sz w:val="21"/>
                      <w:szCs w:val="21"/>
                      <w:highlight w:val="none"/>
                    </w:rPr>
                  </w:pPr>
                  <w:r>
                    <w:rPr>
                      <w:color w:val="auto"/>
                      <w:spacing w:val="7"/>
                      <w:sz w:val="21"/>
                      <w:szCs w:val="21"/>
                      <w:highlight w:val="none"/>
                    </w:rPr>
                    <w:t>加快传统</w:t>
                  </w:r>
                </w:p>
                <w:p w14:paraId="15F3F2EA">
                  <w:pPr>
                    <w:pStyle w:val="356"/>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color w:val="auto"/>
                      <w:sz w:val="21"/>
                      <w:szCs w:val="21"/>
                      <w:highlight w:val="none"/>
                    </w:rPr>
                  </w:pPr>
                  <w:r>
                    <w:rPr>
                      <w:color w:val="auto"/>
                      <w:spacing w:val="7"/>
                      <w:sz w:val="21"/>
                      <w:szCs w:val="21"/>
                      <w:highlight w:val="none"/>
                    </w:rPr>
                    <w:t>产业改造</w:t>
                  </w:r>
                </w:p>
                <w:p w14:paraId="0D9FAC6D">
                  <w:pPr>
                    <w:pStyle w:val="55"/>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eastAsia="宋体" w:cs="Times New Roman"/>
                      <w:color w:val="auto"/>
                      <w:sz w:val="21"/>
                      <w:szCs w:val="21"/>
                      <w:highlight w:val="none"/>
                      <w:lang w:eastAsia="zh-CN"/>
                    </w:rPr>
                  </w:pPr>
                  <w:r>
                    <w:rPr>
                      <w:color w:val="auto"/>
                      <w:spacing w:val="4"/>
                      <w:sz w:val="21"/>
                      <w:szCs w:val="21"/>
                      <w:highlight w:val="none"/>
                    </w:rPr>
                    <w:t>提升</w:t>
                  </w:r>
                </w:p>
              </w:tc>
              <w:tc>
                <w:tcPr>
                  <w:tcW w:w="1963" w:type="pct"/>
                  <w:tcBorders>
                    <w:tl2br w:val="nil"/>
                    <w:tr2bl w:val="nil"/>
                  </w:tcBorders>
                  <w:noWrap w:val="0"/>
                  <w:vAlign w:val="center"/>
                </w:tcPr>
                <w:p w14:paraId="42B15EFF">
                  <w:pPr>
                    <w:pStyle w:val="55"/>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eastAsia="宋体" w:cs="Times New Roman"/>
                      <w:color w:val="auto"/>
                      <w:sz w:val="21"/>
                      <w:szCs w:val="21"/>
                      <w:highlight w:val="none"/>
                      <w:lang w:eastAsia="zh-CN"/>
                    </w:rPr>
                  </w:pPr>
                  <w:r>
                    <w:rPr>
                      <w:color w:val="auto"/>
                      <w:spacing w:val="9"/>
                      <w:sz w:val="21"/>
                      <w:szCs w:val="21"/>
                      <w:highlight w:val="none"/>
                    </w:rPr>
                    <w:t>全面推进水泥、建材、化工等重点行业及燃煤锅炉超低排放改造。持续加强砖</w:t>
                  </w:r>
                  <w:r>
                    <w:rPr>
                      <w:color w:val="auto"/>
                      <w:spacing w:val="8"/>
                      <w:sz w:val="21"/>
                      <w:szCs w:val="21"/>
                      <w:highlight w:val="none"/>
                    </w:rPr>
                    <w:t>瓦、玻璃等涉工业炉窑行业环境治理。</w:t>
                  </w:r>
                </w:p>
              </w:tc>
              <w:tc>
                <w:tcPr>
                  <w:tcW w:w="1221" w:type="pct"/>
                  <w:tcBorders>
                    <w:tl2br w:val="nil"/>
                    <w:tr2bl w:val="nil"/>
                  </w:tcBorders>
                  <w:noWrap w:val="0"/>
                  <w:vAlign w:val="center"/>
                </w:tcPr>
                <w:p w14:paraId="629AC8E5">
                  <w:pPr>
                    <w:pStyle w:val="55"/>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eastAsia="宋体" w:cs="Times New Roman"/>
                      <w:color w:val="auto"/>
                      <w:sz w:val="21"/>
                      <w:szCs w:val="21"/>
                      <w:highlight w:val="none"/>
                      <w:lang w:eastAsia="zh-CN"/>
                    </w:rPr>
                  </w:pPr>
                  <w:r>
                    <w:rPr>
                      <w:color w:val="auto"/>
                      <w:spacing w:val="5"/>
                      <w:sz w:val="21"/>
                      <w:szCs w:val="21"/>
                      <w:highlight w:val="none"/>
                    </w:rPr>
                    <w:t>本项目</w:t>
                  </w:r>
                  <w:r>
                    <w:rPr>
                      <w:rFonts w:hint="eastAsia"/>
                      <w:color w:val="auto"/>
                      <w:spacing w:val="5"/>
                      <w:sz w:val="21"/>
                      <w:szCs w:val="21"/>
                      <w:highlight w:val="none"/>
                      <w:lang w:val="en-US" w:eastAsia="zh-CN"/>
                    </w:rPr>
                    <w:t>不属于</w:t>
                  </w:r>
                  <w:r>
                    <w:rPr>
                      <w:color w:val="auto"/>
                      <w:spacing w:val="9"/>
                      <w:sz w:val="21"/>
                      <w:szCs w:val="21"/>
                      <w:highlight w:val="none"/>
                    </w:rPr>
                    <w:t>水泥、建材、化工等重点行业</w:t>
                  </w:r>
                  <w:r>
                    <w:rPr>
                      <w:rFonts w:hint="eastAsia"/>
                      <w:color w:val="auto"/>
                      <w:spacing w:val="9"/>
                      <w:sz w:val="21"/>
                      <w:szCs w:val="21"/>
                      <w:highlight w:val="none"/>
                      <w:lang w:eastAsia="zh-CN"/>
                    </w:rPr>
                    <w:t>，</w:t>
                  </w:r>
                  <w:r>
                    <w:rPr>
                      <w:rFonts w:hint="eastAsia"/>
                      <w:color w:val="auto"/>
                      <w:spacing w:val="9"/>
                      <w:sz w:val="21"/>
                      <w:szCs w:val="21"/>
                      <w:highlight w:val="none"/>
                      <w:lang w:val="en-US" w:eastAsia="zh-CN"/>
                    </w:rPr>
                    <w:t>不涉及燃煤锅炉使用</w:t>
                  </w:r>
                  <w:r>
                    <w:rPr>
                      <w:color w:val="auto"/>
                      <w:spacing w:val="5"/>
                      <w:sz w:val="21"/>
                      <w:szCs w:val="21"/>
                      <w:highlight w:val="none"/>
                    </w:rPr>
                    <w:t>。</w:t>
                  </w:r>
                </w:p>
              </w:tc>
              <w:tc>
                <w:tcPr>
                  <w:tcW w:w="453" w:type="pct"/>
                  <w:tcBorders>
                    <w:tl2br w:val="nil"/>
                    <w:tr2bl w:val="nil"/>
                  </w:tcBorders>
                  <w:noWrap w:val="0"/>
                  <w:vAlign w:val="center"/>
                </w:tcPr>
                <w:p w14:paraId="31C753FC">
                  <w:pPr>
                    <w:pStyle w:val="55"/>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val="en-US" w:eastAsia="zh-CN"/>
                    </w:rPr>
                    <w:t>符合</w:t>
                  </w:r>
                </w:p>
              </w:tc>
            </w:tr>
            <w:tr w14:paraId="7919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417" w:type="pct"/>
                  <w:vMerge w:val="restart"/>
                  <w:tcBorders>
                    <w:tl2br w:val="nil"/>
                    <w:tr2bl w:val="nil"/>
                  </w:tcBorders>
                  <w:noWrap w:val="0"/>
                  <w:vAlign w:val="center"/>
                </w:tcPr>
                <w:p w14:paraId="230BBEEC">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2</w:t>
                  </w:r>
                </w:p>
              </w:tc>
              <w:tc>
                <w:tcPr>
                  <w:tcW w:w="411" w:type="pct"/>
                  <w:vMerge w:val="restart"/>
                  <w:tcBorders>
                    <w:tl2br w:val="nil"/>
                    <w:tr2bl w:val="nil"/>
                  </w:tcBorders>
                  <w:noWrap w:val="0"/>
                  <w:vAlign w:val="center"/>
                </w:tcPr>
                <w:p w14:paraId="3FA4DF76">
                  <w:pPr>
                    <w:pStyle w:val="356"/>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color w:val="auto"/>
                      <w:sz w:val="21"/>
                      <w:szCs w:val="21"/>
                      <w:highlight w:val="none"/>
                    </w:rPr>
                  </w:pPr>
                  <w:r>
                    <w:rPr>
                      <w:color w:val="auto"/>
                      <w:spacing w:val="4"/>
                      <w:sz w:val="21"/>
                      <w:szCs w:val="21"/>
                      <w:highlight w:val="none"/>
                    </w:rPr>
                    <w:t>开展</w:t>
                  </w:r>
                </w:p>
                <w:p w14:paraId="043E258C">
                  <w:pPr>
                    <w:pStyle w:val="356"/>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color w:val="auto"/>
                      <w:sz w:val="21"/>
                      <w:szCs w:val="21"/>
                      <w:highlight w:val="none"/>
                    </w:rPr>
                  </w:pPr>
                  <w:r>
                    <w:rPr>
                      <w:color w:val="auto"/>
                      <w:spacing w:val="4"/>
                      <w:sz w:val="21"/>
                      <w:szCs w:val="21"/>
                      <w:highlight w:val="none"/>
                    </w:rPr>
                    <w:t>减污</w:t>
                  </w:r>
                </w:p>
                <w:p w14:paraId="3C58A8F7">
                  <w:pPr>
                    <w:pStyle w:val="356"/>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color w:val="auto"/>
                      <w:sz w:val="21"/>
                      <w:szCs w:val="21"/>
                      <w:highlight w:val="none"/>
                    </w:rPr>
                  </w:pPr>
                  <w:r>
                    <w:rPr>
                      <w:color w:val="auto"/>
                      <w:spacing w:val="4"/>
                      <w:sz w:val="21"/>
                      <w:szCs w:val="21"/>
                      <w:highlight w:val="none"/>
                    </w:rPr>
                    <w:t>协同</w:t>
                  </w:r>
                </w:p>
                <w:p w14:paraId="6774C4B0">
                  <w:pPr>
                    <w:pStyle w:val="356"/>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color w:val="auto"/>
                      <w:sz w:val="21"/>
                      <w:szCs w:val="21"/>
                      <w:highlight w:val="none"/>
                    </w:rPr>
                  </w:pPr>
                  <w:r>
                    <w:rPr>
                      <w:color w:val="auto"/>
                      <w:spacing w:val="4"/>
                      <w:sz w:val="21"/>
                      <w:szCs w:val="21"/>
                      <w:highlight w:val="none"/>
                    </w:rPr>
                    <w:t>增效</w:t>
                  </w:r>
                </w:p>
                <w:p w14:paraId="041914D9">
                  <w:pPr>
                    <w:pStyle w:val="356"/>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color w:val="auto"/>
                      <w:sz w:val="21"/>
                      <w:szCs w:val="21"/>
                      <w:highlight w:val="none"/>
                    </w:rPr>
                  </w:pPr>
                  <w:r>
                    <w:rPr>
                      <w:color w:val="auto"/>
                      <w:spacing w:val="4"/>
                      <w:sz w:val="21"/>
                      <w:szCs w:val="21"/>
                      <w:highlight w:val="none"/>
                    </w:rPr>
                    <w:t>提升</w:t>
                  </w:r>
                </w:p>
                <w:p w14:paraId="14E34F2A">
                  <w:pPr>
                    <w:pStyle w:val="55"/>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firstLineChars="0"/>
                    <w:jc w:val="center"/>
                    <w:textAlignment w:val="auto"/>
                    <w:rPr>
                      <w:rFonts w:hint="eastAsia" w:ascii="Times New Roman" w:eastAsia="宋体" w:cs="Times New Roman"/>
                      <w:color w:val="auto"/>
                      <w:sz w:val="21"/>
                      <w:szCs w:val="21"/>
                      <w:highlight w:val="none"/>
                      <w:lang w:val="en-US" w:eastAsia="zh-CN"/>
                    </w:rPr>
                  </w:pPr>
                  <w:r>
                    <w:rPr>
                      <w:color w:val="auto"/>
                      <w:spacing w:val="3"/>
                      <w:sz w:val="21"/>
                      <w:szCs w:val="21"/>
                      <w:highlight w:val="none"/>
                    </w:rPr>
                    <w:t>行动</w:t>
                  </w:r>
                </w:p>
              </w:tc>
              <w:tc>
                <w:tcPr>
                  <w:tcW w:w="532" w:type="pct"/>
                  <w:vMerge w:val="restart"/>
                  <w:tcBorders>
                    <w:tl2br w:val="nil"/>
                    <w:tr2bl w:val="nil"/>
                  </w:tcBorders>
                  <w:noWrap w:val="0"/>
                  <w:vAlign w:val="center"/>
                </w:tcPr>
                <w:p w14:paraId="12AB9220">
                  <w:pPr>
                    <w:pStyle w:val="356"/>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color w:val="auto"/>
                      <w:sz w:val="21"/>
                      <w:szCs w:val="21"/>
                      <w:highlight w:val="none"/>
                    </w:rPr>
                  </w:pPr>
                  <w:r>
                    <w:rPr>
                      <w:color w:val="auto"/>
                      <w:spacing w:val="6"/>
                      <w:sz w:val="21"/>
                      <w:szCs w:val="21"/>
                      <w:highlight w:val="none"/>
                    </w:rPr>
                    <w:t>强化挥发</w:t>
                  </w:r>
                </w:p>
                <w:p w14:paraId="5AC5E282">
                  <w:pPr>
                    <w:pStyle w:val="356"/>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color w:val="auto"/>
                      <w:sz w:val="21"/>
                      <w:szCs w:val="21"/>
                      <w:highlight w:val="none"/>
                    </w:rPr>
                  </w:pPr>
                  <w:r>
                    <w:rPr>
                      <w:color w:val="auto"/>
                      <w:spacing w:val="6"/>
                      <w:sz w:val="21"/>
                      <w:szCs w:val="21"/>
                      <w:highlight w:val="none"/>
                    </w:rPr>
                    <w:t>性有机物</w:t>
                  </w:r>
                </w:p>
                <w:p w14:paraId="3687BADB">
                  <w:pPr>
                    <w:pStyle w:val="55"/>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eastAsia="宋体" w:cs="Times New Roman"/>
                      <w:color w:val="auto"/>
                      <w:sz w:val="21"/>
                      <w:szCs w:val="21"/>
                      <w:highlight w:val="none"/>
                      <w:lang w:eastAsia="zh-CN"/>
                    </w:rPr>
                  </w:pPr>
                  <w:r>
                    <w:rPr>
                      <w:color w:val="auto"/>
                      <w:spacing w:val="7"/>
                      <w:sz w:val="21"/>
                      <w:szCs w:val="21"/>
                      <w:highlight w:val="none"/>
                    </w:rPr>
                    <w:t>深度冶理</w:t>
                  </w:r>
                </w:p>
              </w:tc>
              <w:tc>
                <w:tcPr>
                  <w:tcW w:w="1963" w:type="pct"/>
                  <w:tcBorders>
                    <w:tl2br w:val="nil"/>
                    <w:tr2bl w:val="nil"/>
                  </w:tcBorders>
                  <w:noWrap w:val="0"/>
                  <w:vAlign w:val="center"/>
                </w:tcPr>
                <w:p w14:paraId="6D82AB8C">
                  <w:pPr>
                    <w:pStyle w:val="55"/>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eastAsia="宋体" w:cs="Times New Roman"/>
                      <w:color w:val="auto"/>
                      <w:sz w:val="21"/>
                      <w:szCs w:val="21"/>
                      <w:highlight w:val="none"/>
                      <w:lang w:eastAsia="zh-CN"/>
                    </w:rPr>
                  </w:pPr>
                  <w:r>
                    <w:rPr>
                      <w:color w:val="auto"/>
                      <w:sz w:val="21"/>
                      <w:szCs w:val="21"/>
                      <w:highlight w:val="none"/>
                    </w:rPr>
                    <w:t>坚持“源头替代、综合治理、总量削减</w:t>
                  </w:r>
                  <w:r>
                    <w:rPr>
                      <w:color w:val="auto"/>
                      <w:spacing w:val="-55"/>
                      <w:sz w:val="21"/>
                      <w:szCs w:val="21"/>
                      <w:highlight w:val="none"/>
                    </w:rPr>
                    <w:t xml:space="preserve"> </w:t>
                  </w:r>
                  <w:r>
                    <w:rPr>
                      <w:color w:val="auto"/>
                      <w:sz w:val="21"/>
                      <w:szCs w:val="21"/>
                      <w:highlight w:val="none"/>
                    </w:rPr>
                    <w:t>”原则，大力推动家具制造、板材加工、</w:t>
                  </w:r>
                  <w:r>
                    <w:rPr>
                      <w:color w:val="auto"/>
                      <w:spacing w:val="9"/>
                      <w:sz w:val="21"/>
                      <w:szCs w:val="21"/>
                      <w:highlight w:val="none"/>
                    </w:rPr>
                    <w:t>化工等涉挥发性有机物工业源重点行业</w:t>
                  </w:r>
                  <w:r>
                    <w:rPr>
                      <w:color w:val="auto"/>
                      <w:spacing w:val="5"/>
                      <w:sz w:val="21"/>
                      <w:szCs w:val="21"/>
                      <w:highlight w:val="none"/>
                    </w:rPr>
                    <w:t xml:space="preserve"> </w:t>
                  </w:r>
                  <w:r>
                    <w:rPr>
                      <w:color w:val="auto"/>
                      <w:spacing w:val="10"/>
                      <w:sz w:val="21"/>
                      <w:szCs w:val="21"/>
                      <w:highlight w:val="none"/>
                    </w:rPr>
                    <w:t>全过程治理。实施低挥发性有机物含量</w:t>
                  </w:r>
                  <w:r>
                    <w:rPr>
                      <w:color w:val="auto"/>
                      <w:spacing w:val="6"/>
                      <w:sz w:val="21"/>
                      <w:szCs w:val="21"/>
                      <w:highlight w:val="none"/>
                    </w:rPr>
                    <w:t xml:space="preserve"> </w:t>
                  </w:r>
                  <w:r>
                    <w:rPr>
                      <w:color w:val="auto"/>
                      <w:spacing w:val="10"/>
                      <w:sz w:val="21"/>
                      <w:szCs w:val="21"/>
                      <w:highlight w:val="none"/>
                    </w:rPr>
                    <w:t>原辅材料和产品源头替代工程，强化包装印刷、工业涂装、油品储运销等行业挥发性有机物收集效率，淘汰低效治理设施。持续开展挥发性有机物无组织排</w:t>
                  </w:r>
                  <w:r>
                    <w:rPr>
                      <w:color w:val="auto"/>
                      <w:spacing w:val="4"/>
                      <w:sz w:val="21"/>
                      <w:szCs w:val="21"/>
                      <w:highlight w:val="none"/>
                    </w:rPr>
                    <w:t>放问题排查整治。</w:t>
                  </w:r>
                </w:p>
              </w:tc>
              <w:tc>
                <w:tcPr>
                  <w:tcW w:w="1221" w:type="pct"/>
                  <w:vMerge w:val="restart"/>
                  <w:tcBorders>
                    <w:tl2br w:val="nil"/>
                    <w:tr2bl w:val="nil"/>
                  </w:tcBorders>
                  <w:noWrap w:val="0"/>
                  <w:vAlign w:val="center"/>
                </w:tcPr>
                <w:p w14:paraId="360A1309">
                  <w:pPr>
                    <w:pStyle w:val="55"/>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eastAsia="宋体" w:cs="Times New Roman"/>
                      <w:color w:val="auto"/>
                      <w:sz w:val="21"/>
                      <w:szCs w:val="21"/>
                      <w:highlight w:val="none"/>
                      <w:lang w:eastAsia="zh-CN"/>
                    </w:rPr>
                  </w:pPr>
                  <w:r>
                    <w:rPr>
                      <w:color w:val="auto"/>
                      <w:spacing w:val="8"/>
                      <w:sz w:val="21"/>
                      <w:szCs w:val="21"/>
                      <w:highlight w:val="none"/>
                    </w:rPr>
                    <w:t>本项目所使用的</w:t>
                  </w:r>
                  <w:r>
                    <w:rPr>
                      <w:rFonts w:hint="eastAsia"/>
                      <w:color w:val="auto"/>
                      <w:spacing w:val="8"/>
                      <w:sz w:val="21"/>
                      <w:szCs w:val="21"/>
                      <w:highlight w:val="none"/>
                      <w:lang w:val="en-US" w:eastAsia="zh-CN"/>
                    </w:rPr>
                    <w:t>清洗剂（脱模剂）</w:t>
                  </w:r>
                  <w:r>
                    <w:rPr>
                      <w:color w:val="auto"/>
                      <w:spacing w:val="5"/>
                      <w:sz w:val="21"/>
                      <w:szCs w:val="21"/>
                      <w:highlight w:val="none"/>
                    </w:rPr>
                    <w:t>为</w:t>
                  </w:r>
                  <w:r>
                    <w:rPr>
                      <w:color w:val="auto"/>
                      <w:spacing w:val="4"/>
                      <w:sz w:val="21"/>
                      <w:szCs w:val="21"/>
                      <w:highlight w:val="none"/>
                    </w:rPr>
                    <w:t>低</w:t>
                  </w:r>
                  <w:r>
                    <w:rPr>
                      <w:color w:val="auto"/>
                      <w:spacing w:val="-46"/>
                      <w:sz w:val="21"/>
                      <w:szCs w:val="21"/>
                      <w:highlight w:val="none"/>
                    </w:rPr>
                    <w:t xml:space="preserve"> </w:t>
                  </w:r>
                  <w:r>
                    <w:rPr>
                      <w:rFonts w:ascii="Times New Roman" w:hAnsi="Times New Roman" w:eastAsia="Times New Roman" w:cs="Times New Roman"/>
                      <w:color w:val="auto"/>
                      <w:sz w:val="21"/>
                      <w:szCs w:val="21"/>
                      <w:highlight w:val="none"/>
                    </w:rPr>
                    <w:t>VOCs</w:t>
                  </w:r>
                  <w:r>
                    <w:rPr>
                      <w:color w:val="auto"/>
                      <w:spacing w:val="4"/>
                      <w:sz w:val="21"/>
                      <w:szCs w:val="21"/>
                      <w:highlight w:val="none"/>
                    </w:rPr>
                    <w:t>原辅材料，</w:t>
                  </w:r>
                  <w:r>
                    <w:rPr>
                      <w:rFonts w:hint="default" w:ascii="Times New Roman" w:hAnsi="Times New Roman" w:eastAsia="宋体" w:cs="Times New Roman"/>
                      <w:color w:val="auto"/>
                      <w:kern w:val="0"/>
                      <w:sz w:val="21"/>
                      <w:szCs w:val="21"/>
                      <w:highlight w:val="none"/>
                      <w:lang w:val="en-US" w:eastAsia="zh-CN" w:bidi="ar"/>
                    </w:rPr>
                    <w:t>满足《清洗剂挥发性有机化合物含量限值》（GB38508-2020）表1</w:t>
                  </w:r>
                  <w:r>
                    <w:rPr>
                      <w:rFonts w:hint="eastAsia" w:ascii="Times New Roman" w:eastAsia="宋体" w:cs="Times New Roman"/>
                      <w:color w:val="auto"/>
                      <w:kern w:val="0"/>
                      <w:sz w:val="21"/>
                      <w:szCs w:val="21"/>
                      <w:highlight w:val="none"/>
                      <w:lang w:val="en-US" w:eastAsia="zh-CN" w:bidi="ar"/>
                    </w:rPr>
                    <w:t>水基型</w:t>
                  </w:r>
                  <w:r>
                    <w:rPr>
                      <w:rFonts w:hint="default" w:ascii="Times New Roman" w:hAnsi="Times New Roman" w:eastAsia="宋体" w:cs="Times New Roman"/>
                      <w:color w:val="auto"/>
                      <w:kern w:val="0"/>
                      <w:sz w:val="21"/>
                      <w:szCs w:val="21"/>
                      <w:highlight w:val="none"/>
                      <w:lang w:val="en-US" w:eastAsia="zh-CN" w:bidi="ar"/>
                    </w:rPr>
                    <w:t>清洗剂VOC≤</w:t>
                  </w:r>
                  <w:r>
                    <w:rPr>
                      <w:rFonts w:hint="eastAsia" w:ascii="Times New Roman" w:eastAsia="宋体"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0g/L的限值要求</w:t>
                  </w:r>
                  <w:r>
                    <w:rPr>
                      <w:color w:val="auto"/>
                      <w:sz w:val="21"/>
                      <w:szCs w:val="21"/>
                      <w:highlight w:val="none"/>
                    </w:rPr>
                    <w:t>。</w:t>
                  </w:r>
                </w:p>
              </w:tc>
              <w:tc>
                <w:tcPr>
                  <w:tcW w:w="453" w:type="pct"/>
                  <w:tcBorders>
                    <w:tl2br w:val="nil"/>
                    <w:tr2bl w:val="nil"/>
                  </w:tcBorders>
                  <w:noWrap w:val="0"/>
                  <w:vAlign w:val="center"/>
                </w:tcPr>
                <w:p w14:paraId="257991EE">
                  <w:pPr>
                    <w:pStyle w:val="55"/>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val="en-US" w:eastAsia="zh-CN"/>
                    </w:rPr>
                    <w:t>符合</w:t>
                  </w:r>
                </w:p>
              </w:tc>
            </w:tr>
            <w:tr w14:paraId="044E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tcBorders>
                    <w:tl2br w:val="nil"/>
                    <w:tr2bl w:val="nil"/>
                  </w:tcBorders>
                  <w:noWrap w:val="0"/>
                  <w:vAlign w:val="center"/>
                </w:tcPr>
                <w:p w14:paraId="08C018BA">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eastAsia="宋体"/>
                      <w:color w:val="auto"/>
                      <w:sz w:val="21"/>
                      <w:szCs w:val="21"/>
                      <w:highlight w:val="none"/>
                      <w:lang w:eastAsia="zh-CN"/>
                    </w:rPr>
                  </w:pPr>
                </w:p>
              </w:tc>
              <w:tc>
                <w:tcPr>
                  <w:tcW w:w="411" w:type="pct"/>
                  <w:vMerge w:val="continue"/>
                  <w:tcBorders>
                    <w:tl2br w:val="nil"/>
                    <w:tr2bl w:val="nil"/>
                  </w:tcBorders>
                  <w:noWrap w:val="0"/>
                  <w:vAlign w:val="center"/>
                </w:tcPr>
                <w:p w14:paraId="79DEC6AF">
                  <w:pPr>
                    <w:pStyle w:val="55"/>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firstLineChars="0"/>
                    <w:jc w:val="center"/>
                    <w:textAlignment w:val="auto"/>
                    <w:rPr>
                      <w:rFonts w:hint="eastAsia" w:ascii="Times New Roman" w:eastAsia="宋体" w:cs="Times New Roman"/>
                      <w:color w:val="auto"/>
                      <w:sz w:val="21"/>
                      <w:szCs w:val="21"/>
                      <w:highlight w:val="none"/>
                      <w:lang w:val="en-US" w:eastAsia="zh-CN"/>
                    </w:rPr>
                  </w:pPr>
                </w:p>
              </w:tc>
              <w:tc>
                <w:tcPr>
                  <w:tcW w:w="532" w:type="pct"/>
                  <w:vMerge w:val="continue"/>
                  <w:tcBorders>
                    <w:tl2br w:val="nil"/>
                    <w:tr2bl w:val="nil"/>
                  </w:tcBorders>
                  <w:noWrap w:val="0"/>
                  <w:vAlign w:val="center"/>
                </w:tcPr>
                <w:p w14:paraId="4A106E40">
                  <w:pPr>
                    <w:pStyle w:val="55"/>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eastAsia="宋体" w:cs="Times New Roman"/>
                      <w:color w:val="auto"/>
                      <w:sz w:val="21"/>
                      <w:szCs w:val="21"/>
                      <w:highlight w:val="none"/>
                      <w:lang w:eastAsia="zh-CN"/>
                    </w:rPr>
                  </w:pPr>
                </w:p>
              </w:tc>
              <w:tc>
                <w:tcPr>
                  <w:tcW w:w="1963" w:type="pct"/>
                  <w:tcBorders>
                    <w:tl2br w:val="nil"/>
                    <w:tr2bl w:val="nil"/>
                  </w:tcBorders>
                  <w:noWrap w:val="0"/>
                  <w:vAlign w:val="center"/>
                </w:tcPr>
                <w:p w14:paraId="2CEC6E05">
                  <w:pPr>
                    <w:pStyle w:val="356"/>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eastAsia="宋体" w:cs="Times New Roman"/>
                      <w:color w:val="auto"/>
                      <w:sz w:val="21"/>
                      <w:szCs w:val="21"/>
                      <w:highlight w:val="none"/>
                      <w:lang w:eastAsia="zh-CN"/>
                    </w:rPr>
                  </w:pPr>
                  <w:r>
                    <w:rPr>
                      <w:color w:val="auto"/>
                      <w:spacing w:val="9"/>
                      <w:sz w:val="21"/>
                      <w:szCs w:val="21"/>
                      <w:highlight w:val="none"/>
                    </w:rPr>
                    <w:t>全面排查使用溶剂型涂料、油墨、胶粘剂、清洗剂以及涉及有机化工生产的产</w:t>
                  </w:r>
                  <w:r>
                    <w:rPr>
                      <w:color w:val="auto"/>
                      <w:spacing w:val="7"/>
                      <w:sz w:val="21"/>
                      <w:szCs w:val="21"/>
                      <w:highlight w:val="none"/>
                    </w:rPr>
                    <w:t>业集群，</w:t>
                  </w:r>
                  <w:r>
                    <w:rPr>
                      <w:rFonts w:ascii="Times New Roman" w:hAnsi="Times New Roman" w:eastAsia="Times New Roman" w:cs="Times New Roman"/>
                      <w:color w:val="auto"/>
                      <w:spacing w:val="7"/>
                      <w:sz w:val="21"/>
                      <w:szCs w:val="21"/>
                      <w:highlight w:val="none"/>
                    </w:rPr>
                    <w:t>2025</w:t>
                  </w:r>
                  <w:r>
                    <w:rPr>
                      <w:color w:val="auto"/>
                      <w:spacing w:val="7"/>
                      <w:sz w:val="21"/>
                      <w:szCs w:val="21"/>
                      <w:highlight w:val="none"/>
                    </w:rPr>
                    <w:t>年底前基本实现溶剂型工</w:t>
                  </w:r>
                  <w:r>
                    <w:rPr>
                      <w:color w:val="auto"/>
                      <w:spacing w:val="13"/>
                      <w:sz w:val="21"/>
                      <w:szCs w:val="21"/>
                      <w:highlight w:val="none"/>
                    </w:rPr>
                    <w:t>业涂料、油墨、胶粘剂“能替则替</w:t>
                  </w:r>
                  <w:r>
                    <w:rPr>
                      <w:color w:val="auto"/>
                      <w:spacing w:val="-57"/>
                      <w:sz w:val="21"/>
                      <w:szCs w:val="21"/>
                      <w:highlight w:val="none"/>
                    </w:rPr>
                    <w:t xml:space="preserve"> </w:t>
                  </w:r>
                  <w:r>
                    <w:rPr>
                      <w:color w:val="auto"/>
                      <w:spacing w:val="13"/>
                      <w:sz w:val="21"/>
                      <w:szCs w:val="21"/>
                      <w:highlight w:val="none"/>
                    </w:rPr>
                    <w:t>”</w:t>
                  </w:r>
                  <w:r>
                    <w:rPr>
                      <w:rFonts w:hint="eastAsia"/>
                      <w:color w:val="auto"/>
                      <w:spacing w:val="13"/>
                      <w:sz w:val="21"/>
                      <w:szCs w:val="21"/>
                      <w:highlight w:val="none"/>
                      <w:lang w:eastAsia="zh-CN"/>
                    </w:rPr>
                    <w:t>。</w:t>
                  </w:r>
                </w:p>
              </w:tc>
              <w:tc>
                <w:tcPr>
                  <w:tcW w:w="1221" w:type="pct"/>
                  <w:vMerge w:val="continue"/>
                  <w:tcBorders>
                    <w:tl2br w:val="nil"/>
                    <w:tr2bl w:val="nil"/>
                  </w:tcBorders>
                  <w:noWrap w:val="0"/>
                  <w:vAlign w:val="center"/>
                </w:tcPr>
                <w:p w14:paraId="66165CF1">
                  <w:pPr>
                    <w:pStyle w:val="55"/>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eastAsia="宋体" w:cs="Times New Roman"/>
                      <w:color w:val="auto"/>
                      <w:sz w:val="21"/>
                      <w:szCs w:val="21"/>
                      <w:highlight w:val="none"/>
                      <w:lang w:eastAsia="zh-CN"/>
                    </w:rPr>
                  </w:pPr>
                </w:p>
              </w:tc>
              <w:tc>
                <w:tcPr>
                  <w:tcW w:w="453" w:type="pct"/>
                  <w:tcBorders>
                    <w:tl2br w:val="nil"/>
                    <w:tr2bl w:val="nil"/>
                  </w:tcBorders>
                  <w:noWrap w:val="0"/>
                  <w:vAlign w:val="center"/>
                </w:tcPr>
                <w:p w14:paraId="6200095E">
                  <w:pPr>
                    <w:pStyle w:val="55"/>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val="en-US" w:eastAsia="zh-CN"/>
                    </w:rPr>
                    <w:t>符合</w:t>
                  </w:r>
                </w:p>
              </w:tc>
            </w:tr>
          </w:tbl>
          <w:p w14:paraId="172E80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60" w:lineRule="auto"/>
              <w:ind w:left="0" w:right="0"/>
              <w:jc w:val="left"/>
              <w:textAlignment w:val="auto"/>
              <w:rPr>
                <w:rFonts w:hint="default" w:ascii="Times New Roman" w:hAnsi="Times New Roman" w:cs="Times New Roman"/>
                <w:color w:val="auto"/>
                <w:szCs w:val="22"/>
                <w:highlight w:val="none"/>
                <w:lang w:val="en-US" w:eastAsia="zh-CN"/>
              </w:rPr>
            </w:pPr>
          </w:p>
        </w:tc>
      </w:tr>
    </w:tbl>
    <w:p w14:paraId="2229D9ED">
      <w:pPr>
        <w:pStyle w:val="36"/>
        <w:keepNext w:val="0"/>
        <w:keepLines w:val="0"/>
        <w:pageBreakBefore w:val="0"/>
        <w:widowControl/>
        <w:kinsoku/>
        <w:wordWrap/>
        <w:overflowPunct/>
        <w:topLinePunct w:val="0"/>
        <w:autoSpaceDE/>
        <w:autoSpaceDN/>
        <w:bidi w:val="0"/>
        <w:adjustRightInd/>
        <w:snapToGrid/>
        <w:spacing w:before="157" w:beforeLines="50" w:beforeAutospacing="0" w:after="0" w:afterAutospacing="0"/>
        <w:jc w:val="center"/>
        <w:textAlignment w:val="auto"/>
        <w:outlineLvl w:val="0"/>
        <w:rPr>
          <w:rFonts w:ascii="Times New Roman" w:hAnsi="Times New Roman"/>
          <w:b/>
          <w:snapToGrid w:val="0"/>
          <w:color w:val="auto"/>
          <w:sz w:val="30"/>
          <w:szCs w:val="30"/>
        </w:rPr>
      </w:pPr>
      <w:r>
        <w:rPr>
          <w:rFonts w:ascii="Times New Roman"/>
          <w:b/>
          <w:snapToGrid w:val="0"/>
          <w:color w:val="auto"/>
          <w:sz w:val="30"/>
          <w:szCs w:val="30"/>
        </w:rPr>
        <w:br w:type="page"/>
      </w:r>
      <w:r>
        <w:rPr>
          <w:rFonts w:hint="eastAsia" w:ascii="黑体" w:hAnsi="黑体" w:eastAsia="黑体" w:cs="Times New Roman"/>
          <w:snapToGrid w:val="0"/>
          <w:color w:val="auto"/>
          <w:sz w:val="30"/>
          <w:szCs w:val="30"/>
          <w:highlight w:val="none"/>
          <w:lang w:val="en-US" w:eastAsia="zh-CN"/>
        </w:rPr>
        <w:t xml:space="preserve"> </w:t>
      </w:r>
      <w:bookmarkStart w:id="3" w:name="_Toc2399"/>
      <w:r>
        <w:rPr>
          <w:rFonts w:hint="eastAsia" w:ascii="黑体" w:hAnsi="黑体" w:eastAsia="黑体" w:cs="Times New Roman"/>
          <w:snapToGrid w:val="0"/>
          <w:color w:val="auto"/>
          <w:sz w:val="30"/>
          <w:szCs w:val="30"/>
          <w:highlight w:val="none"/>
        </w:rPr>
        <w:t>二、建设项目工程分析</w:t>
      </w:r>
      <w:bookmarkEnd w:id="3"/>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070"/>
      </w:tblGrid>
      <w:tr w14:paraId="5C30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noWrap w:val="0"/>
            <w:vAlign w:val="center"/>
          </w:tcPr>
          <w:p w14:paraId="0F097A4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建设内容</w:t>
            </w:r>
          </w:p>
        </w:tc>
        <w:tc>
          <w:tcPr>
            <w:tcW w:w="9118" w:type="dxa"/>
            <w:noWrap w:val="0"/>
            <w:vAlign w:val="center"/>
          </w:tcPr>
          <w:p w14:paraId="57EB97D6">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szCs w:val="24"/>
                <w:highlight w:val="none"/>
                <w:lang w:val="en-US"/>
              </w:rPr>
            </w:pPr>
            <w:r>
              <w:rPr>
                <w:rFonts w:hint="default" w:ascii="Times New Roman" w:hAnsi="Times New Roman" w:eastAsia="宋体" w:cs="Times New Roman"/>
                <w:b/>
                <w:color w:val="auto"/>
                <w:sz w:val="24"/>
                <w:szCs w:val="24"/>
                <w:highlight w:val="none"/>
              </w:rPr>
              <w:t>1、</w:t>
            </w:r>
            <w:r>
              <w:rPr>
                <w:rFonts w:hint="default" w:ascii="Times New Roman" w:hAnsi="Times New Roman" w:eastAsia="宋体" w:cs="Times New Roman"/>
                <w:b/>
                <w:color w:val="auto"/>
                <w:sz w:val="24"/>
                <w:szCs w:val="24"/>
                <w:highlight w:val="none"/>
                <w:lang w:eastAsia="zh-CN"/>
              </w:rPr>
              <w:t>项目</w:t>
            </w:r>
            <w:r>
              <w:rPr>
                <w:rFonts w:hint="eastAsia" w:cs="Times New Roman"/>
                <w:b/>
                <w:color w:val="auto"/>
                <w:sz w:val="24"/>
                <w:szCs w:val="24"/>
                <w:highlight w:val="none"/>
                <w:lang w:val="en-US" w:eastAsia="zh-CN"/>
              </w:rPr>
              <w:t>概况</w:t>
            </w:r>
          </w:p>
          <w:p w14:paraId="62EE815E">
            <w:pPr>
              <w:pStyle w:val="55"/>
              <w:keepNext/>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蚌埠称心服饰</w:t>
            </w:r>
            <w:r>
              <w:rPr>
                <w:rFonts w:hint="default" w:ascii="Times New Roman" w:hAnsi="Times New Roman" w:eastAsia="宋体" w:cs="Times New Roman"/>
                <w:b w:val="0"/>
                <w:bCs w:val="0"/>
                <w:color w:val="auto"/>
                <w:sz w:val="24"/>
                <w:szCs w:val="24"/>
                <w:highlight w:val="none"/>
                <w:lang w:val="en-US" w:eastAsia="zh-CN"/>
              </w:rPr>
              <w:t>有限公司</w:t>
            </w:r>
            <w:r>
              <w:rPr>
                <w:rFonts w:hint="eastAsia" w:ascii="Times New Roman" w:cs="Times New Roman"/>
                <w:b w:val="0"/>
                <w:bCs w:val="0"/>
                <w:color w:val="auto"/>
                <w:sz w:val="24"/>
                <w:szCs w:val="24"/>
                <w:highlight w:val="none"/>
                <w:lang w:val="en-US" w:eastAsia="zh-CN"/>
              </w:rPr>
              <w:t>拟</w:t>
            </w:r>
            <w:r>
              <w:rPr>
                <w:rFonts w:hint="default" w:ascii="Times New Roman" w:hAnsi="Times New Roman" w:eastAsia="宋体" w:cs="Times New Roman"/>
                <w:b w:val="0"/>
                <w:bCs w:val="0"/>
                <w:color w:val="auto"/>
                <w:sz w:val="24"/>
                <w:szCs w:val="24"/>
                <w:highlight w:val="none"/>
                <w:lang w:val="en-US" w:eastAsia="zh-CN"/>
              </w:rPr>
              <w:t>投资</w:t>
            </w:r>
            <w:r>
              <w:rPr>
                <w:rFonts w:hint="eastAsia" w:ascii="Times New Roman" w:hAnsi="Times New Roman" w:eastAsia="宋体" w:cs="Times New Roman"/>
                <w:b w:val="0"/>
                <w:bCs w:val="0"/>
                <w:color w:val="auto"/>
                <w:sz w:val="24"/>
                <w:szCs w:val="24"/>
                <w:highlight w:val="none"/>
                <w:lang w:val="en-US" w:eastAsia="zh-CN"/>
              </w:rPr>
              <w:t>10000</w:t>
            </w:r>
            <w:r>
              <w:rPr>
                <w:rFonts w:hint="default" w:ascii="Times New Roman" w:hAnsi="Times New Roman" w:eastAsia="宋体" w:cs="Times New Roman"/>
                <w:b w:val="0"/>
                <w:bCs w:val="0"/>
                <w:color w:val="auto"/>
                <w:sz w:val="24"/>
                <w:szCs w:val="24"/>
                <w:highlight w:val="none"/>
                <w:lang w:val="en-US" w:eastAsia="zh-CN"/>
              </w:rPr>
              <w:t>万元在</w:t>
            </w:r>
            <w:r>
              <w:rPr>
                <w:rFonts w:hint="eastAsia" w:ascii="Times New Roman" w:hAnsi="Times New Roman" w:eastAsia="宋体" w:cs="Times New Roman"/>
                <w:b w:val="0"/>
                <w:bCs w:val="0"/>
                <w:color w:val="auto"/>
                <w:sz w:val="24"/>
                <w:szCs w:val="24"/>
                <w:highlight w:val="none"/>
                <w:lang w:val="en-US" w:eastAsia="zh-CN"/>
              </w:rPr>
              <w:t>蚌埠市五河县</w:t>
            </w:r>
            <w:r>
              <w:rPr>
                <w:rFonts w:hint="eastAsia" w:ascii="Times New Roman" w:cs="Times New Roman"/>
                <w:b w:val="0"/>
                <w:bCs w:val="0"/>
                <w:color w:val="auto"/>
                <w:sz w:val="24"/>
                <w:szCs w:val="24"/>
                <w:highlight w:val="none"/>
                <w:lang w:val="en-US" w:eastAsia="zh-CN"/>
              </w:rPr>
              <w:t>城南工业园区</w:t>
            </w:r>
            <w:r>
              <w:rPr>
                <w:rFonts w:hint="default" w:ascii="Times New Roman" w:hAnsi="Times New Roman" w:eastAsia="宋体" w:cs="Times New Roman"/>
                <w:b w:val="0"/>
                <w:bCs w:val="0"/>
                <w:color w:val="auto"/>
                <w:sz w:val="24"/>
                <w:szCs w:val="24"/>
                <w:highlight w:val="none"/>
                <w:lang w:val="en-US" w:eastAsia="zh-CN"/>
              </w:rPr>
              <w:t>建设</w:t>
            </w:r>
            <w:r>
              <w:rPr>
                <w:rFonts w:hint="eastAsia" w:ascii="宋体" w:hAnsi="宋体" w:eastAsia="宋体" w:cs="宋体"/>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蚌埠称心服饰</w:t>
            </w:r>
            <w:r>
              <w:rPr>
                <w:rFonts w:hint="default" w:ascii="Times New Roman" w:hAnsi="Times New Roman" w:eastAsia="宋体" w:cs="Times New Roman"/>
                <w:b w:val="0"/>
                <w:bCs w:val="0"/>
                <w:color w:val="auto"/>
                <w:sz w:val="24"/>
                <w:szCs w:val="24"/>
                <w:highlight w:val="none"/>
                <w:lang w:val="en-US" w:eastAsia="zh-CN"/>
              </w:rPr>
              <w:t>有限公司</w:t>
            </w:r>
            <w:r>
              <w:rPr>
                <w:rFonts w:hint="eastAsia" w:ascii="Times New Roman" w:hAnsi="Times New Roman" w:eastAsia="宋体" w:cs="Times New Roman"/>
                <w:b w:val="0"/>
                <w:bCs w:val="0"/>
                <w:color w:val="auto"/>
                <w:sz w:val="24"/>
                <w:szCs w:val="24"/>
                <w:highlight w:val="none"/>
                <w:lang w:val="en-US" w:eastAsia="zh-CN"/>
              </w:rPr>
              <w:t>防静电无尘鞋150万双、防静电无尘服150万套、棉服羽绒服50万套项目”</w:t>
            </w:r>
            <w:r>
              <w:rPr>
                <w:rFonts w:hint="default" w:ascii="Times New Roman" w:hAnsi="Times New Roman" w:eastAsia="宋体" w:cs="Times New Roman"/>
                <w:b w:val="0"/>
                <w:bCs w:val="0"/>
                <w:color w:val="auto"/>
                <w:sz w:val="24"/>
                <w:szCs w:val="24"/>
                <w:highlight w:val="none"/>
                <w:lang w:val="en-US" w:eastAsia="zh-CN"/>
              </w:rPr>
              <w:t>。本项目</w:t>
            </w:r>
            <w:r>
              <w:rPr>
                <w:rFonts w:hint="eastAsia" w:ascii="Times New Roman" w:cs="Times New Roman"/>
                <w:b w:val="0"/>
                <w:bCs w:val="0"/>
                <w:color w:val="auto"/>
                <w:sz w:val="24"/>
                <w:szCs w:val="24"/>
                <w:highlight w:val="none"/>
                <w:lang w:val="en-US" w:eastAsia="zh-CN"/>
              </w:rPr>
              <w:t>利用</w:t>
            </w:r>
            <w:r>
              <w:rPr>
                <w:rFonts w:hint="eastAsia" w:ascii="Times New Roman" w:hAnsi="Times New Roman" w:eastAsia="宋体" w:cs="Times New Roman"/>
                <w:b w:val="0"/>
                <w:bCs w:val="0"/>
                <w:color w:val="auto"/>
                <w:sz w:val="24"/>
                <w:szCs w:val="24"/>
                <w:highlight w:val="none"/>
                <w:lang w:val="en-US" w:eastAsia="zh-CN"/>
              </w:rPr>
              <w:t>租赁</w:t>
            </w:r>
            <w:r>
              <w:rPr>
                <w:rFonts w:hint="eastAsia" w:ascii="Times New Roman" w:cs="Times New Roman"/>
                <w:b w:val="0"/>
                <w:bCs w:val="0"/>
                <w:color w:val="auto"/>
                <w:sz w:val="24"/>
                <w:szCs w:val="24"/>
                <w:highlight w:val="none"/>
                <w:lang w:val="en-US" w:eastAsia="zh-CN"/>
              </w:rPr>
              <w:t>的</w:t>
            </w:r>
            <w:r>
              <w:rPr>
                <w:rFonts w:hint="eastAsia" w:ascii="Times New Roman" w:hAnsi="Times New Roman" w:eastAsia="宋体" w:cs="Times New Roman"/>
                <w:b w:val="0"/>
                <w:bCs w:val="0"/>
                <w:color w:val="auto"/>
                <w:sz w:val="24"/>
                <w:szCs w:val="24"/>
                <w:highlight w:val="none"/>
                <w:lang w:val="en-US" w:eastAsia="zh-CN"/>
              </w:rPr>
              <w:t>蚌埠市康福特服装有限公司厂区</w:t>
            </w:r>
            <w:r>
              <w:rPr>
                <w:rFonts w:hint="eastAsia" w:ascii="Times New Roman" w:cs="Times New Roman"/>
                <w:b w:val="0"/>
                <w:bCs w:val="0"/>
                <w:color w:val="auto"/>
                <w:sz w:val="24"/>
                <w:szCs w:val="24"/>
                <w:highlight w:val="none"/>
                <w:lang w:val="en-US" w:eastAsia="zh-CN"/>
              </w:rPr>
              <w:t>进行生产办公活动，且</w:t>
            </w:r>
            <w:r>
              <w:rPr>
                <w:rFonts w:hint="default" w:ascii="Times New Roman" w:hAnsi="Times New Roman" w:eastAsia="宋体" w:cs="Times New Roman"/>
                <w:b w:val="0"/>
                <w:bCs w:val="0"/>
                <w:color w:val="auto"/>
                <w:sz w:val="24"/>
                <w:szCs w:val="24"/>
                <w:highlight w:val="none"/>
                <w:lang w:val="en-US" w:eastAsia="zh-CN"/>
              </w:rPr>
              <w:t>项目于202</w:t>
            </w:r>
            <w:r>
              <w:rPr>
                <w:rFonts w:hint="eastAsia"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lang w:val="en-US" w:eastAsia="zh-CN"/>
              </w:rPr>
              <w:t>年</w:t>
            </w:r>
            <w:r>
              <w:rPr>
                <w:rFonts w:hint="eastAsia"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月</w:t>
            </w:r>
            <w:r>
              <w:rPr>
                <w:rFonts w:hint="eastAsia" w:ascii="Times New Roman" w:hAnsi="Times New Roman" w:eastAsia="宋体" w:cs="Times New Roman"/>
                <w:b w:val="0"/>
                <w:bCs w:val="0"/>
                <w:color w:val="auto"/>
                <w:sz w:val="24"/>
                <w:szCs w:val="24"/>
                <w:highlight w:val="none"/>
                <w:lang w:val="en-US" w:eastAsia="zh-CN"/>
              </w:rPr>
              <w:t>14</w:t>
            </w:r>
            <w:r>
              <w:rPr>
                <w:rFonts w:hint="default" w:ascii="Times New Roman" w:hAnsi="Times New Roman" w:eastAsia="宋体" w:cs="Times New Roman"/>
                <w:b w:val="0"/>
                <w:bCs w:val="0"/>
                <w:color w:val="auto"/>
                <w:sz w:val="24"/>
                <w:szCs w:val="24"/>
                <w:highlight w:val="none"/>
                <w:lang w:val="en-US" w:eastAsia="zh-CN"/>
              </w:rPr>
              <w:t>日经</w:t>
            </w:r>
            <w:r>
              <w:rPr>
                <w:rFonts w:hint="eastAsia" w:ascii="Times New Roman" w:hAnsi="Times New Roman" w:eastAsia="宋体" w:cs="Times New Roman"/>
                <w:b w:val="0"/>
                <w:bCs w:val="0"/>
                <w:color w:val="auto"/>
                <w:sz w:val="24"/>
                <w:szCs w:val="24"/>
                <w:highlight w:val="none"/>
                <w:lang w:val="en-US" w:eastAsia="zh-CN"/>
              </w:rPr>
              <w:t>五河县发展和改革</w:t>
            </w:r>
            <w:r>
              <w:rPr>
                <w:rFonts w:hint="default" w:ascii="Times New Roman" w:hAnsi="Times New Roman" w:eastAsia="宋体" w:cs="Times New Roman"/>
                <w:b w:val="0"/>
                <w:bCs w:val="0"/>
                <w:color w:val="auto"/>
                <w:sz w:val="24"/>
                <w:szCs w:val="24"/>
                <w:highlight w:val="none"/>
                <w:lang w:val="en-US" w:eastAsia="zh-CN"/>
              </w:rPr>
              <w:t>委员会备案，项目代码：2</w:t>
            </w:r>
            <w:r>
              <w:rPr>
                <w:rFonts w:hint="eastAsia" w:ascii="Times New Roman" w:hAnsi="Times New Roman" w:eastAsia="宋体" w:cs="Times New Roman"/>
                <w:b w:val="0"/>
                <w:bCs w:val="0"/>
                <w:color w:val="auto"/>
                <w:sz w:val="24"/>
                <w:szCs w:val="24"/>
                <w:highlight w:val="none"/>
                <w:lang w:val="en-US" w:eastAsia="zh-CN"/>
              </w:rPr>
              <w:t>503</w:t>
            </w:r>
            <w:r>
              <w:rPr>
                <w:rFonts w:hint="default" w:ascii="Times New Roman" w:hAnsi="Times New Roman" w:eastAsia="宋体" w:cs="Times New Roman"/>
                <w:b w:val="0"/>
                <w:bCs w:val="0"/>
                <w:color w:val="auto"/>
                <w:sz w:val="24"/>
                <w:szCs w:val="24"/>
                <w:highlight w:val="none"/>
                <w:lang w:val="en-US" w:eastAsia="zh-CN"/>
              </w:rPr>
              <w:t>-34</w:t>
            </w:r>
            <w:r>
              <w:rPr>
                <w:rFonts w:hint="eastAsia" w:ascii="Times New Roman" w:hAnsi="Times New Roman" w:eastAsia="宋体" w:cs="Times New Roman"/>
                <w:b w:val="0"/>
                <w:bCs w:val="0"/>
                <w:color w:val="auto"/>
                <w:sz w:val="24"/>
                <w:szCs w:val="24"/>
                <w:highlight w:val="none"/>
                <w:lang w:val="en-US" w:eastAsia="zh-CN"/>
              </w:rPr>
              <w:t>0322</w:t>
            </w:r>
            <w:r>
              <w:rPr>
                <w:rFonts w:hint="default" w:ascii="Times New Roman" w:hAnsi="Times New Roman" w:eastAsia="宋体" w:cs="Times New Roman"/>
                <w:b w:val="0"/>
                <w:bCs w:val="0"/>
                <w:color w:val="auto"/>
                <w:sz w:val="24"/>
                <w:szCs w:val="24"/>
                <w:highlight w:val="none"/>
                <w:lang w:val="en-US" w:eastAsia="zh-CN"/>
              </w:rPr>
              <w:t>-04-01-</w:t>
            </w:r>
            <w:r>
              <w:rPr>
                <w:rFonts w:hint="eastAsia" w:ascii="Times New Roman" w:hAnsi="Times New Roman" w:eastAsia="宋体" w:cs="Times New Roman"/>
                <w:b w:val="0"/>
                <w:bCs w:val="0"/>
                <w:color w:val="auto"/>
                <w:sz w:val="24"/>
                <w:szCs w:val="24"/>
                <w:highlight w:val="none"/>
                <w:lang w:val="en-US" w:eastAsia="zh-CN"/>
              </w:rPr>
              <w:t>180136</w:t>
            </w:r>
            <w:r>
              <w:rPr>
                <w:rFonts w:hint="default" w:ascii="Times New Roman" w:hAnsi="Times New Roman" w:eastAsia="宋体" w:cs="Times New Roman"/>
                <w:b w:val="0"/>
                <w:bCs w:val="0"/>
                <w:color w:val="auto"/>
                <w:sz w:val="24"/>
                <w:szCs w:val="24"/>
                <w:highlight w:val="none"/>
                <w:lang w:val="en-US" w:eastAsia="zh-CN"/>
              </w:rPr>
              <w:t>。</w:t>
            </w:r>
          </w:p>
          <w:p w14:paraId="358E19F9">
            <w:pPr>
              <w:pStyle w:val="55"/>
              <w:keepNext/>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建设项目环评管理类别判定：</w:t>
            </w:r>
          </w:p>
          <w:p w14:paraId="0A39F0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b w:val="0"/>
                <w:bCs w:val="0"/>
                <w:color w:val="auto"/>
                <w:sz w:val="24"/>
                <w:szCs w:val="24"/>
                <w:highlight w:val="none"/>
                <w:lang w:val="en-US" w:eastAsia="zh-CN"/>
              </w:rPr>
              <w:t>对照《建设项目环境影响评价分类管理名录》，本项目</w:t>
            </w:r>
            <w:r>
              <w:rPr>
                <w:rFonts w:hint="eastAsia" w:ascii="Times New Roman" w:hAnsi="Times New Roman" w:cs="Times New Roman"/>
                <w:b w:val="0"/>
                <w:bCs w:val="0"/>
                <w:color w:val="auto"/>
                <w:sz w:val="24"/>
                <w:szCs w:val="24"/>
                <w:highlight w:val="none"/>
                <w:lang w:val="en-US" w:eastAsia="zh-CN"/>
              </w:rPr>
              <w:t>包括</w:t>
            </w:r>
            <w:r>
              <w:rPr>
                <w:rFonts w:hint="default" w:ascii="Times New Roman" w:hAnsi="Times New Roman" w:cs="Times New Roman"/>
                <w:b w:val="0"/>
                <w:bCs w:val="0"/>
                <w:color w:val="auto"/>
                <w:sz w:val="24"/>
                <w:szCs w:val="24"/>
                <w:highlight w:val="none"/>
                <w:lang w:val="en-US" w:eastAsia="zh-CN"/>
              </w:rPr>
              <w:t>防静电无尘鞋</w:t>
            </w:r>
            <w:r>
              <w:rPr>
                <w:rFonts w:hint="eastAsia" w:ascii="Times New Roman" w:hAnsi="Times New Roman" w:cs="Times New Roman"/>
                <w:b w:val="0"/>
                <w:bCs w:val="0"/>
                <w:color w:val="auto"/>
                <w:sz w:val="24"/>
                <w:szCs w:val="24"/>
                <w:highlight w:val="none"/>
                <w:lang w:val="en-US" w:eastAsia="zh-CN"/>
              </w:rPr>
              <w:t>、防静电无尘服和棉服羽</w:t>
            </w:r>
            <w:r>
              <w:rPr>
                <w:rFonts w:hint="eastAsia" w:cs="Times New Roman"/>
                <w:b w:val="0"/>
                <w:bCs w:val="0"/>
                <w:color w:val="auto"/>
                <w:sz w:val="24"/>
                <w:szCs w:val="24"/>
                <w:highlight w:val="none"/>
                <w:lang w:val="en-US" w:eastAsia="zh-CN"/>
              </w:rPr>
              <w:t>绒服生产</w:t>
            </w:r>
            <w:r>
              <w:rPr>
                <w:rFonts w:hint="default" w:cs="Times New Roman"/>
                <w:b w:val="0"/>
                <w:bCs w:val="0"/>
                <w:color w:val="auto"/>
                <w:sz w:val="24"/>
                <w:szCs w:val="24"/>
                <w:highlight w:val="none"/>
                <w:lang w:val="en-US" w:eastAsia="zh-CN"/>
              </w:rPr>
              <w:t>，属于名录表中</w:t>
            </w:r>
            <w:r>
              <w:rPr>
                <w:rFonts w:hint="eastAsia" w:cs="Times New Roman"/>
                <w:b w:val="0"/>
                <w:bCs w:val="0"/>
                <w:color w:val="auto"/>
                <w:sz w:val="24"/>
                <w:szCs w:val="24"/>
                <w:highlight w:val="none"/>
                <w:lang w:val="en-US" w:eastAsia="zh-CN"/>
              </w:rPr>
              <w:t>“</w:t>
            </w:r>
            <w:r>
              <w:rPr>
                <w:rFonts w:hint="default" w:cs="Times New Roman"/>
                <w:b w:val="0"/>
                <w:bCs w:val="0"/>
                <w:color w:val="auto"/>
                <w:sz w:val="24"/>
                <w:szCs w:val="24"/>
                <w:highlight w:val="none"/>
                <w:lang w:val="en-US" w:eastAsia="zh-CN"/>
              </w:rPr>
              <w:t>十</w:t>
            </w:r>
            <w:r>
              <w:rPr>
                <w:rFonts w:hint="eastAsia" w:cs="Times New Roman"/>
                <w:b w:val="0"/>
                <w:bCs w:val="0"/>
                <w:color w:val="auto"/>
                <w:sz w:val="24"/>
                <w:szCs w:val="24"/>
                <w:highlight w:val="none"/>
                <w:lang w:val="en-US" w:eastAsia="zh-CN"/>
              </w:rPr>
              <w:t>五</w:t>
            </w:r>
            <w:r>
              <w:rPr>
                <w:rFonts w:hint="default"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纺织服装、服饰</w:t>
            </w:r>
            <w:r>
              <w:rPr>
                <w:rFonts w:hint="default" w:cs="Times New Roman"/>
                <w:b w:val="0"/>
                <w:bCs w:val="0"/>
                <w:color w:val="auto"/>
                <w:sz w:val="24"/>
                <w:szCs w:val="24"/>
                <w:highlight w:val="none"/>
                <w:lang w:val="en-US" w:eastAsia="zh-CN"/>
              </w:rPr>
              <w:t>业 1</w:t>
            </w:r>
            <w:r>
              <w:rPr>
                <w:rFonts w:hint="eastAsia" w:cs="Times New Roman"/>
                <w:b w:val="0"/>
                <w:bCs w:val="0"/>
                <w:color w:val="auto"/>
                <w:sz w:val="24"/>
                <w:szCs w:val="24"/>
                <w:highlight w:val="none"/>
                <w:lang w:val="en-US" w:eastAsia="zh-CN"/>
              </w:rPr>
              <w:t>8”</w:t>
            </w:r>
            <w:r>
              <w:rPr>
                <w:rFonts w:hint="default" w:cs="Times New Roman"/>
                <w:b w:val="0"/>
                <w:bCs w:val="0"/>
                <w:color w:val="auto"/>
                <w:sz w:val="24"/>
                <w:szCs w:val="24"/>
                <w:highlight w:val="none"/>
                <w:lang w:val="en-US" w:eastAsia="zh-CN"/>
              </w:rPr>
              <w:t>类别中</w:t>
            </w:r>
            <w:r>
              <w:rPr>
                <w:rFonts w:hint="eastAsia" w:cs="Times New Roman"/>
                <w:b w:val="0"/>
                <w:bCs w:val="0"/>
                <w:color w:val="auto"/>
                <w:sz w:val="24"/>
                <w:szCs w:val="24"/>
                <w:highlight w:val="none"/>
                <w:lang w:val="en-US" w:eastAsia="zh-CN"/>
              </w:rPr>
              <w:t>“服机织服装制造 181*”和“</w:t>
            </w:r>
            <w:r>
              <w:rPr>
                <w:rFonts w:hint="default" w:ascii="Times New Roman" w:hAnsi="Times New Roman" w:eastAsia="宋体" w:cs="Times New Roman"/>
                <w:b w:val="0"/>
                <w:bCs w:val="0"/>
                <w:color w:val="auto"/>
                <w:sz w:val="24"/>
                <w:szCs w:val="24"/>
                <w:highlight w:val="none"/>
                <w:lang w:val="en-US" w:eastAsia="zh-CN"/>
              </w:rPr>
              <w:t>十六、</w:t>
            </w:r>
            <w:r>
              <w:rPr>
                <w:rFonts w:hint="default" w:ascii="Times New Roman" w:hAnsi="Times New Roman" w:cs="Times New Roman"/>
                <w:b w:val="0"/>
                <w:bCs w:val="0"/>
                <w:color w:val="auto"/>
                <w:sz w:val="24"/>
                <w:szCs w:val="24"/>
                <w:highlight w:val="none"/>
                <w:lang w:val="en-US" w:eastAsia="zh-CN"/>
              </w:rPr>
              <w:t>皮革、毛皮、羽毛及其制品和</w:t>
            </w:r>
            <w:r>
              <w:rPr>
                <w:rFonts w:hint="default" w:ascii="Times New Roman" w:hAnsi="Times New Roman" w:eastAsia="宋体" w:cs="Times New Roman"/>
                <w:b w:val="0"/>
                <w:bCs w:val="0"/>
                <w:color w:val="auto"/>
                <w:sz w:val="24"/>
                <w:szCs w:val="24"/>
                <w:highlight w:val="none"/>
                <w:lang w:val="en-US" w:eastAsia="zh-CN"/>
              </w:rPr>
              <w:t>制</w:t>
            </w:r>
            <w:r>
              <w:rPr>
                <w:rFonts w:hint="default" w:ascii="Times New Roman" w:hAnsi="Times New Roman" w:cs="Times New Roman"/>
                <w:b w:val="0"/>
                <w:bCs w:val="0"/>
                <w:color w:val="auto"/>
                <w:sz w:val="24"/>
                <w:szCs w:val="24"/>
                <w:highlight w:val="none"/>
                <w:lang w:val="en-US" w:eastAsia="zh-CN"/>
              </w:rPr>
              <w:t>鞋</w:t>
            </w:r>
            <w:r>
              <w:rPr>
                <w:rFonts w:hint="default" w:ascii="Times New Roman" w:hAnsi="Times New Roman" w:eastAsia="宋体" w:cs="Times New Roman"/>
                <w:b w:val="0"/>
                <w:bCs w:val="0"/>
                <w:color w:val="auto"/>
                <w:sz w:val="24"/>
                <w:szCs w:val="24"/>
                <w:highlight w:val="none"/>
                <w:lang w:val="en-US" w:eastAsia="zh-CN"/>
              </w:rPr>
              <w:t xml:space="preserve">业 </w:t>
            </w:r>
            <w:r>
              <w:rPr>
                <w:rFonts w:hint="default" w:ascii="Times New Roman" w:hAnsi="Times New Roman"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9</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类别中</w:t>
            </w:r>
            <w:r>
              <w:rPr>
                <w:rFonts w:hint="eastAsia" w:cs="Times New Roman"/>
                <w:b w:val="0"/>
                <w:bCs w:val="0"/>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制鞋业 195*</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其中仅</w:t>
            </w:r>
            <w:r>
              <w:rPr>
                <w:rFonts w:hint="default" w:ascii="Times New Roman" w:hAnsi="Times New Roman" w:cs="Times New Roman"/>
                <w:b w:val="0"/>
                <w:bCs w:val="0"/>
                <w:color w:val="auto"/>
                <w:sz w:val="24"/>
                <w:szCs w:val="24"/>
                <w:highlight w:val="none"/>
                <w:lang w:val="en-US" w:eastAsia="zh-CN"/>
              </w:rPr>
              <w:t>防静电无尘鞋</w:t>
            </w:r>
            <w:r>
              <w:rPr>
                <w:rFonts w:hint="default" w:ascii="Times New Roman" w:hAnsi="Times New Roman" w:eastAsia="宋体" w:cs="Times New Roman"/>
                <w:b w:val="0"/>
                <w:bCs w:val="0"/>
                <w:color w:val="auto"/>
                <w:sz w:val="24"/>
                <w:szCs w:val="24"/>
                <w:highlight w:val="none"/>
                <w:lang w:val="en-US" w:eastAsia="zh-CN"/>
              </w:rPr>
              <w:t>生产</w:t>
            </w:r>
            <w:r>
              <w:rPr>
                <w:rFonts w:hint="eastAsia" w:ascii="Times New Roman" w:hAnsi="Times New Roman" w:cs="Times New Roman"/>
                <w:b w:val="0"/>
                <w:bCs w:val="0"/>
                <w:color w:val="auto"/>
                <w:sz w:val="24"/>
                <w:szCs w:val="24"/>
                <w:highlight w:val="none"/>
                <w:lang w:val="en-US" w:eastAsia="zh-CN"/>
              </w:rPr>
              <w:t>涉及</w:t>
            </w:r>
            <w:r>
              <w:rPr>
                <w:rFonts w:hint="eastAsia" w:ascii="Times New Roman" w:hAnsi="Times New Roman" w:eastAsia="宋体" w:cs="Times New Roman"/>
                <w:b w:val="0"/>
                <w:bCs w:val="0"/>
                <w:color w:val="auto"/>
                <w:sz w:val="24"/>
                <w:szCs w:val="24"/>
                <w:highlight w:val="none"/>
                <w:lang w:val="en-US" w:eastAsia="zh-CN"/>
              </w:rPr>
              <w:t>塑料注塑工艺，</w:t>
            </w:r>
            <w:r>
              <w:rPr>
                <w:rFonts w:hint="default" w:ascii="Times New Roman" w:hAnsi="Times New Roman" w:eastAsia="宋体" w:cs="Times New Roman"/>
                <w:b w:val="0"/>
                <w:bCs w:val="0"/>
                <w:color w:val="auto"/>
                <w:sz w:val="24"/>
                <w:szCs w:val="24"/>
                <w:highlight w:val="none"/>
                <w:lang w:val="en-US" w:eastAsia="zh-CN"/>
              </w:rPr>
              <w:t>项目需编制</w:t>
            </w:r>
            <w:r>
              <w:rPr>
                <w:rFonts w:hint="default" w:ascii="Times New Roman" w:hAnsi="Times New Roman" w:eastAsia="宋体" w:cs="Times New Roman"/>
                <w:b/>
                <w:bCs/>
                <w:color w:val="auto"/>
                <w:sz w:val="24"/>
                <w:szCs w:val="24"/>
                <w:highlight w:val="none"/>
                <w:lang w:val="en-US" w:eastAsia="zh-CN"/>
              </w:rPr>
              <w:t>报告表</w:t>
            </w:r>
            <w:r>
              <w:rPr>
                <w:rFonts w:hint="eastAsia" w:ascii="Times New Roman" w:hAnsi="Times New Roman" w:eastAsia="宋体" w:cs="Times New Roman"/>
                <w:b/>
                <w:bCs/>
                <w:color w:val="auto"/>
                <w:sz w:val="24"/>
                <w:szCs w:val="24"/>
                <w:highlight w:val="none"/>
                <w:lang w:val="en-US" w:eastAsia="zh-CN"/>
              </w:rPr>
              <w:t>。</w:t>
            </w:r>
          </w:p>
          <w:p w14:paraId="73F277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表2-1</w:t>
            </w:r>
            <w:r>
              <w:rPr>
                <w:rFonts w:hint="eastAsia"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rPr>
              <w:t xml:space="preserve"> 建设项目环境影响评价分类管理名录（2021年版，摘录）</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2281"/>
              <w:gridCol w:w="1738"/>
              <w:gridCol w:w="2384"/>
              <w:gridCol w:w="836"/>
            </w:tblGrid>
            <w:tr w14:paraId="421A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37" w:type="pct"/>
                  <w:gridSpan w:val="2"/>
                  <w:tcBorders>
                    <w:tl2br w:val="single" w:color="auto" w:sz="4" w:space="0"/>
                  </w:tcBorders>
                  <w:noWrap w:val="0"/>
                  <w:vAlign w:val="top"/>
                </w:tcPr>
                <w:p w14:paraId="04B06DC4">
                  <w:pPr>
                    <w:pStyle w:val="15"/>
                    <w:keepNext w:val="0"/>
                    <w:keepLines w:val="0"/>
                    <w:suppressLineNumbers w:val="0"/>
                    <w:spacing w:before="0" w:beforeAutospacing="0" w:after="0" w:afterAutospacing="0" w:line="320" w:lineRule="exact"/>
                    <w:ind w:left="0" w:leftChars="0" w:right="0"/>
                    <w:jc w:val="right"/>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 xml:space="preserve">环评类别 </w:t>
                  </w:r>
                </w:p>
                <w:p w14:paraId="218EED8F">
                  <w:pPr>
                    <w:pStyle w:val="15"/>
                    <w:keepNext w:val="0"/>
                    <w:keepLines w:val="0"/>
                    <w:suppressLineNumbers w:val="0"/>
                    <w:spacing w:before="0" w:beforeAutospacing="0" w:after="0" w:afterAutospacing="0" w:line="320" w:lineRule="exact"/>
                    <w:ind w:left="0" w:leftChars="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项目类别</w:t>
                  </w:r>
                </w:p>
              </w:tc>
              <w:tc>
                <w:tcPr>
                  <w:tcW w:w="1109" w:type="pct"/>
                  <w:noWrap w:val="0"/>
                  <w:vAlign w:val="center"/>
                </w:tcPr>
                <w:p w14:paraId="39E674B4">
                  <w:pPr>
                    <w:pStyle w:val="15"/>
                    <w:keepNext w:val="0"/>
                    <w:keepLines w:val="0"/>
                    <w:suppressLineNumbers w:val="0"/>
                    <w:spacing w:before="0" w:beforeAutospacing="0" w:after="0" w:afterAutospacing="0" w:line="320" w:lineRule="exact"/>
                    <w:ind w:left="0" w:leftChars="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报告书</w:t>
                  </w:r>
                </w:p>
              </w:tc>
              <w:tc>
                <w:tcPr>
                  <w:tcW w:w="1521" w:type="pct"/>
                  <w:noWrap w:val="0"/>
                  <w:vAlign w:val="center"/>
                </w:tcPr>
                <w:p w14:paraId="5814D872">
                  <w:pPr>
                    <w:pStyle w:val="15"/>
                    <w:keepNext w:val="0"/>
                    <w:keepLines w:val="0"/>
                    <w:suppressLineNumbers w:val="0"/>
                    <w:spacing w:before="0" w:beforeAutospacing="0" w:after="0" w:afterAutospacing="0" w:line="320" w:lineRule="exact"/>
                    <w:ind w:left="0" w:leftChars="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报告表</w:t>
                  </w:r>
                </w:p>
              </w:tc>
              <w:tc>
                <w:tcPr>
                  <w:tcW w:w="532" w:type="pct"/>
                  <w:noWrap w:val="0"/>
                  <w:vAlign w:val="center"/>
                </w:tcPr>
                <w:p w14:paraId="3131A0C8">
                  <w:pPr>
                    <w:pStyle w:val="15"/>
                    <w:keepNext w:val="0"/>
                    <w:keepLines w:val="0"/>
                    <w:suppressLineNumbers w:val="0"/>
                    <w:spacing w:before="0" w:beforeAutospacing="0" w:after="0" w:afterAutospacing="0" w:line="320" w:lineRule="exact"/>
                    <w:ind w:left="0" w:leftChars="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登记表</w:t>
                  </w:r>
                </w:p>
              </w:tc>
            </w:tr>
            <w:tr w14:paraId="7EB8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5000" w:type="pct"/>
                  <w:gridSpan w:val="5"/>
                  <w:noWrap w:val="0"/>
                  <w:vAlign w:val="center"/>
                </w:tcPr>
                <w:p w14:paraId="65F1063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bCs/>
                      <w:color w:val="auto"/>
                      <w:spacing w:val="4"/>
                      <w:szCs w:val="21"/>
                      <w:highlight w:val="none"/>
                      <w:lang w:val="en-US" w:eastAsia="zh-CN"/>
                    </w:rPr>
                    <w:t>十</w:t>
                  </w:r>
                  <w:r>
                    <w:rPr>
                      <w:rFonts w:hint="eastAsia" w:ascii="Times New Roman" w:hAnsi="Times New Roman" w:eastAsia="宋体" w:cs="Times New Roman"/>
                      <w:b/>
                      <w:bCs/>
                      <w:color w:val="auto"/>
                      <w:spacing w:val="4"/>
                      <w:szCs w:val="21"/>
                      <w:highlight w:val="none"/>
                      <w:lang w:val="en-US" w:eastAsia="zh-CN"/>
                    </w:rPr>
                    <w:t>五</w:t>
                  </w:r>
                  <w:r>
                    <w:rPr>
                      <w:rFonts w:hint="default" w:ascii="Times New Roman" w:hAnsi="Times New Roman" w:eastAsia="宋体" w:cs="Times New Roman"/>
                      <w:b/>
                      <w:bCs/>
                      <w:color w:val="auto"/>
                      <w:spacing w:val="4"/>
                      <w:szCs w:val="21"/>
                      <w:highlight w:val="none"/>
                      <w:lang w:val="en-US" w:eastAsia="zh-CN"/>
                    </w:rPr>
                    <w:t>、</w:t>
                  </w:r>
                  <w:r>
                    <w:rPr>
                      <w:rFonts w:hint="eastAsia" w:ascii="Times New Roman" w:hAnsi="Times New Roman" w:eastAsia="宋体" w:cs="Times New Roman"/>
                      <w:b/>
                      <w:bCs/>
                      <w:color w:val="auto"/>
                      <w:spacing w:val="4"/>
                      <w:szCs w:val="21"/>
                      <w:highlight w:val="none"/>
                      <w:lang w:val="en-US" w:eastAsia="zh-CN"/>
                    </w:rPr>
                    <w:t>纺织服装、服饰</w:t>
                  </w:r>
                  <w:r>
                    <w:rPr>
                      <w:rFonts w:hint="default" w:ascii="Times New Roman" w:hAnsi="Times New Roman" w:eastAsia="宋体" w:cs="Times New Roman"/>
                      <w:b/>
                      <w:bCs/>
                      <w:color w:val="auto"/>
                      <w:spacing w:val="4"/>
                      <w:szCs w:val="21"/>
                      <w:highlight w:val="none"/>
                      <w:lang w:val="en-US" w:eastAsia="zh-CN"/>
                    </w:rPr>
                    <w:t>业</w:t>
                  </w:r>
                  <w:r>
                    <w:rPr>
                      <w:rFonts w:hint="eastAsia" w:ascii="Times New Roman" w:hAnsi="Times New Roman" w:eastAsia="宋体" w:cs="Times New Roman"/>
                      <w:b/>
                      <w:bCs/>
                      <w:color w:val="auto"/>
                      <w:spacing w:val="4"/>
                      <w:szCs w:val="21"/>
                      <w:highlight w:val="none"/>
                      <w:lang w:val="en-US" w:eastAsia="zh-CN"/>
                    </w:rPr>
                    <w:t xml:space="preserve"> 18</w:t>
                  </w:r>
                </w:p>
              </w:tc>
            </w:tr>
            <w:tr w14:paraId="0BEE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382" w:type="pct"/>
                  <w:noWrap w:val="0"/>
                  <w:vAlign w:val="center"/>
                </w:tcPr>
                <w:p w14:paraId="7651E7B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4"/>
                      <w:szCs w:val="21"/>
                      <w:highlight w:val="none"/>
                      <w:lang w:val="en-US" w:eastAsia="zh-CN"/>
                    </w:rPr>
                  </w:pPr>
                  <w:r>
                    <w:rPr>
                      <w:rFonts w:hint="eastAsia" w:ascii="Times New Roman" w:hAnsi="Times New Roman" w:eastAsia="宋体" w:cs="Times New Roman"/>
                      <w:color w:val="auto"/>
                      <w:spacing w:val="4"/>
                      <w:szCs w:val="21"/>
                      <w:highlight w:val="none"/>
                      <w:lang w:val="en-US" w:eastAsia="zh-CN"/>
                    </w:rPr>
                    <w:t>29</w:t>
                  </w:r>
                </w:p>
              </w:tc>
              <w:tc>
                <w:tcPr>
                  <w:tcW w:w="1455" w:type="pct"/>
                  <w:noWrap w:val="0"/>
                  <w:vAlign w:val="center"/>
                </w:tcPr>
                <w:p w14:paraId="21FA33E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4"/>
                      <w:szCs w:val="21"/>
                      <w:highlight w:val="none"/>
                      <w:lang w:val="en-US" w:eastAsia="zh-CN"/>
                    </w:rPr>
                  </w:pPr>
                  <w:r>
                    <w:rPr>
                      <w:rFonts w:hint="eastAsia" w:ascii="Times New Roman" w:hAnsi="Times New Roman" w:eastAsia="宋体" w:cs="Times New Roman"/>
                      <w:color w:val="auto"/>
                      <w:spacing w:val="4"/>
                      <w:szCs w:val="21"/>
                      <w:highlight w:val="none"/>
                      <w:lang w:val="en-US" w:eastAsia="zh-CN"/>
                    </w:rPr>
                    <w:t>机织服装制造181*；针织或钩针编织服装制造182*；服饰制造183*</w:t>
                  </w:r>
                </w:p>
              </w:tc>
              <w:tc>
                <w:tcPr>
                  <w:tcW w:w="1109" w:type="pct"/>
                  <w:noWrap w:val="0"/>
                  <w:vAlign w:val="center"/>
                </w:tcPr>
                <w:p w14:paraId="2FB02AA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4"/>
                      <w:szCs w:val="21"/>
                      <w:highlight w:val="none"/>
                      <w:lang w:val="en-US" w:eastAsia="zh-CN"/>
                    </w:rPr>
                  </w:pPr>
                  <w:r>
                    <w:rPr>
                      <w:rFonts w:hint="eastAsia" w:ascii="Times New Roman" w:hAnsi="Times New Roman" w:eastAsia="宋体" w:cs="Times New Roman"/>
                      <w:color w:val="auto"/>
                      <w:spacing w:val="4"/>
                      <w:szCs w:val="21"/>
                      <w:highlight w:val="none"/>
                      <w:lang w:val="en-US" w:eastAsia="zh-CN"/>
                    </w:rPr>
                    <w:t>有染色、印花（喷墨印花和数码印花的除外）工序的</w:t>
                  </w:r>
                </w:p>
              </w:tc>
              <w:tc>
                <w:tcPr>
                  <w:tcW w:w="1521" w:type="pct"/>
                  <w:noWrap w:val="0"/>
                  <w:vAlign w:val="center"/>
                </w:tcPr>
                <w:p w14:paraId="3BB984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4"/>
                      <w:szCs w:val="21"/>
                      <w:highlight w:val="none"/>
                      <w:lang w:val="en-US" w:eastAsia="zh-CN"/>
                    </w:rPr>
                  </w:pPr>
                  <w:r>
                    <w:rPr>
                      <w:rFonts w:hint="eastAsia" w:ascii="Times New Roman" w:hAnsi="Times New Roman" w:eastAsia="宋体" w:cs="Times New Roman"/>
                      <w:color w:val="auto"/>
                      <w:spacing w:val="4"/>
                      <w:szCs w:val="21"/>
                      <w:highlight w:val="none"/>
                      <w:lang w:val="en-US" w:eastAsia="zh-CN"/>
                    </w:rPr>
                    <w:t>有喷墨印花或数码印花工艺的；有洗水、砂洗工艺的</w:t>
                  </w:r>
                </w:p>
              </w:tc>
              <w:tc>
                <w:tcPr>
                  <w:tcW w:w="532" w:type="pct"/>
                  <w:noWrap w:val="0"/>
                  <w:vAlign w:val="center"/>
                </w:tcPr>
                <w:p w14:paraId="614D73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4"/>
                      <w:szCs w:val="21"/>
                      <w:highlight w:val="none"/>
                      <w:lang w:val="en-US" w:eastAsia="zh-CN"/>
                    </w:rPr>
                  </w:pPr>
                  <w:r>
                    <w:rPr>
                      <w:rFonts w:hint="default" w:ascii="Times New Roman" w:hAnsi="Times New Roman" w:eastAsia="宋体" w:cs="Times New Roman"/>
                      <w:b/>
                      <w:bCs/>
                      <w:color w:val="auto"/>
                      <w:spacing w:val="4"/>
                      <w:szCs w:val="21"/>
                      <w:highlight w:val="none"/>
                      <w:lang w:val="en-US" w:eastAsia="zh-CN"/>
                    </w:rPr>
                    <w:t>/</w:t>
                  </w:r>
                </w:p>
              </w:tc>
            </w:tr>
            <w:tr w14:paraId="3950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000" w:type="pct"/>
                  <w:gridSpan w:val="5"/>
                  <w:noWrap w:val="0"/>
                  <w:vAlign w:val="center"/>
                </w:tcPr>
                <w:p w14:paraId="17A4FBC5">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pacing w:val="4"/>
                      <w:szCs w:val="21"/>
                      <w:highlight w:val="none"/>
                      <w:lang w:val="en-US" w:eastAsia="zh-CN"/>
                    </w:rPr>
                  </w:pPr>
                  <w:r>
                    <w:rPr>
                      <w:rFonts w:hint="default" w:ascii="Times New Roman" w:hAnsi="Times New Roman" w:eastAsia="宋体" w:cs="Times New Roman"/>
                      <w:b/>
                      <w:bCs/>
                      <w:color w:val="auto"/>
                      <w:spacing w:val="4"/>
                      <w:szCs w:val="21"/>
                      <w:highlight w:val="none"/>
                      <w:lang w:val="en-US" w:eastAsia="zh-CN"/>
                    </w:rPr>
                    <w:t xml:space="preserve">十六、皮革、毛皮、羽毛及其制品和制鞋业 </w:t>
                  </w:r>
                  <w:r>
                    <w:rPr>
                      <w:rFonts w:hint="eastAsia" w:cs="Times New Roman"/>
                      <w:b/>
                      <w:bCs/>
                      <w:color w:val="auto"/>
                      <w:spacing w:val="4"/>
                      <w:szCs w:val="21"/>
                      <w:highlight w:val="none"/>
                      <w:lang w:val="en-US" w:eastAsia="zh-CN"/>
                    </w:rPr>
                    <w:t>1</w:t>
                  </w:r>
                  <w:r>
                    <w:rPr>
                      <w:rFonts w:hint="default" w:ascii="Times New Roman" w:hAnsi="Times New Roman" w:eastAsia="宋体" w:cs="Times New Roman"/>
                      <w:b/>
                      <w:bCs/>
                      <w:color w:val="auto"/>
                      <w:spacing w:val="4"/>
                      <w:szCs w:val="21"/>
                      <w:highlight w:val="none"/>
                      <w:lang w:val="en-US" w:eastAsia="zh-CN"/>
                    </w:rPr>
                    <w:t>9</w:t>
                  </w:r>
                </w:p>
              </w:tc>
            </w:tr>
            <w:tr w14:paraId="002D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382" w:type="pct"/>
                  <w:noWrap w:val="0"/>
                  <w:vAlign w:val="center"/>
                </w:tcPr>
                <w:p w14:paraId="0E018C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4"/>
                      <w:szCs w:val="21"/>
                      <w:highlight w:val="none"/>
                      <w:lang w:val="en-US" w:eastAsia="zh-CN"/>
                    </w:rPr>
                  </w:pPr>
                  <w:r>
                    <w:rPr>
                      <w:rFonts w:hint="eastAsia" w:ascii="Times New Roman" w:hAnsi="Times New Roman" w:eastAsia="宋体" w:cs="Times New Roman"/>
                      <w:color w:val="auto"/>
                      <w:spacing w:val="4"/>
                      <w:szCs w:val="21"/>
                      <w:highlight w:val="none"/>
                      <w:lang w:val="en-US" w:eastAsia="zh-CN"/>
                    </w:rPr>
                    <w:t>32</w:t>
                  </w:r>
                </w:p>
              </w:tc>
              <w:tc>
                <w:tcPr>
                  <w:tcW w:w="1455" w:type="pct"/>
                  <w:noWrap w:val="0"/>
                  <w:vAlign w:val="center"/>
                </w:tcPr>
                <w:p w14:paraId="39A27EC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pacing w:val="4"/>
                      <w:szCs w:val="21"/>
                      <w:highlight w:val="none"/>
                      <w:lang w:val="en-US" w:eastAsia="zh-CN"/>
                    </w:rPr>
                  </w:pPr>
                  <w:r>
                    <w:rPr>
                      <w:rFonts w:hint="eastAsia" w:ascii="Times New Roman" w:hAnsi="Times New Roman" w:eastAsia="宋体" w:cs="Times New Roman"/>
                      <w:color w:val="auto"/>
                      <w:spacing w:val="4"/>
                      <w:szCs w:val="21"/>
                      <w:highlight w:val="none"/>
                      <w:lang w:val="en-US" w:eastAsia="zh-CN"/>
                    </w:rPr>
                    <w:t>制鞋业 195*</w:t>
                  </w:r>
                </w:p>
              </w:tc>
              <w:tc>
                <w:tcPr>
                  <w:tcW w:w="1109" w:type="pct"/>
                  <w:noWrap w:val="0"/>
                  <w:vAlign w:val="center"/>
                </w:tcPr>
                <w:p w14:paraId="51302D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4"/>
                      <w:szCs w:val="21"/>
                      <w:highlight w:val="none"/>
                      <w:lang w:val="en-US" w:eastAsia="zh-CN"/>
                    </w:rPr>
                  </w:pPr>
                  <w:r>
                    <w:rPr>
                      <w:rFonts w:hint="eastAsia" w:ascii="Times New Roman" w:hAnsi="Times New Roman" w:eastAsia="宋体" w:cs="Times New Roman"/>
                      <w:color w:val="auto"/>
                      <w:spacing w:val="4"/>
                      <w:szCs w:val="21"/>
                      <w:highlight w:val="none"/>
                      <w:lang w:val="en-US" w:eastAsia="zh-CN"/>
                    </w:rPr>
                    <w:t>/</w:t>
                  </w:r>
                </w:p>
              </w:tc>
              <w:tc>
                <w:tcPr>
                  <w:tcW w:w="1521" w:type="pct"/>
                  <w:noWrap w:val="0"/>
                  <w:vAlign w:val="center"/>
                </w:tcPr>
                <w:p w14:paraId="3A3979D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pacing w:val="4"/>
                      <w:szCs w:val="21"/>
                      <w:highlight w:val="none"/>
                      <w:lang w:val="en-US" w:eastAsia="zh-CN"/>
                    </w:rPr>
                  </w:pPr>
                  <w:r>
                    <w:rPr>
                      <w:rFonts w:hint="eastAsia" w:ascii="Times New Roman" w:hAnsi="Times New Roman" w:eastAsia="宋体" w:cs="Times New Roman"/>
                      <w:color w:val="auto"/>
                      <w:spacing w:val="4"/>
                      <w:szCs w:val="21"/>
                      <w:highlight w:val="none"/>
                      <w:lang w:val="en-US" w:eastAsia="zh-CN"/>
                    </w:rPr>
                    <w:t>有橡胶硫化工艺、</w:t>
                  </w:r>
                  <w:r>
                    <w:rPr>
                      <w:rFonts w:hint="eastAsia" w:ascii="Times New Roman" w:hAnsi="Times New Roman" w:eastAsia="宋体" w:cs="Times New Roman"/>
                      <w:b/>
                      <w:bCs/>
                      <w:color w:val="auto"/>
                      <w:spacing w:val="4"/>
                      <w:szCs w:val="21"/>
                      <w:highlight w:val="none"/>
                      <w:lang w:val="en-US" w:eastAsia="zh-CN"/>
                    </w:rPr>
                    <w:t>塑料注塑工艺的</w:t>
                  </w:r>
                  <w:r>
                    <w:rPr>
                      <w:rFonts w:hint="eastAsia" w:ascii="Times New Roman" w:hAnsi="Times New Roman" w:eastAsia="宋体" w:cs="Times New Roman"/>
                      <w:color w:val="auto"/>
                      <w:spacing w:val="4"/>
                      <w:szCs w:val="21"/>
                      <w:highlight w:val="none"/>
                      <w:lang w:val="en-US" w:eastAsia="zh-CN"/>
                    </w:rPr>
                    <w:t>；年用溶剂型胶粘剂10吨及以上的，或年用溶剂型处理剂3吨及以上的</w:t>
                  </w:r>
                </w:p>
              </w:tc>
              <w:tc>
                <w:tcPr>
                  <w:tcW w:w="532" w:type="pct"/>
                  <w:noWrap w:val="0"/>
                  <w:vAlign w:val="center"/>
                </w:tcPr>
                <w:p w14:paraId="6B852E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4"/>
                      <w:szCs w:val="21"/>
                      <w:highlight w:val="none"/>
                      <w:lang w:val="en-US" w:eastAsia="zh-CN"/>
                    </w:rPr>
                  </w:pPr>
                  <w:r>
                    <w:rPr>
                      <w:rFonts w:hint="default" w:ascii="Times New Roman" w:hAnsi="Times New Roman" w:eastAsia="宋体" w:cs="Times New Roman"/>
                      <w:color w:val="auto"/>
                      <w:spacing w:val="4"/>
                      <w:szCs w:val="21"/>
                      <w:highlight w:val="none"/>
                      <w:lang w:val="en-US" w:eastAsia="zh-CN"/>
                    </w:rPr>
                    <w:t>/</w:t>
                  </w:r>
                </w:p>
              </w:tc>
            </w:tr>
          </w:tbl>
          <w:p w14:paraId="39F9478C">
            <w:pPr>
              <w:pStyle w:val="59"/>
              <w:keepNext w:val="0"/>
              <w:keepLines w:val="0"/>
              <w:pageBreakBefore w:val="0"/>
              <w:widowControl w:val="0"/>
              <w:suppressLineNumbers w:val="0"/>
              <w:tabs>
                <w:tab w:val="left" w:pos="326"/>
              </w:tabs>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highlight w:val="none"/>
              </w:rPr>
            </w:pPr>
            <w:r>
              <w:rPr>
                <w:rFonts w:hint="eastAsia" w:ascii="Times New Roman" w:cs="Times New Roman"/>
                <w:b/>
                <w:bCs/>
                <w:color w:val="auto"/>
                <w:kern w:val="0"/>
                <w:sz w:val="24"/>
                <w:szCs w:val="24"/>
                <w:highlight w:val="none"/>
                <w:lang w:val="en-US" w:eastAsia="zh-CN" w:bidi="ar-SA"/>
              </w:rPr>
              <w:t>建设</w:t>
            </w:r>
            <w:r>
              <w:rPr>
                <w:rFonts w:hint="default" w:ascii="Times New Roman" w:hAnsi="Times New Roman" w:eastAsia="宋体" w:cs="Times New Roman"/>
                <w:b/>
                <w:bCs/>
                <w:color w:val="auto"/>
                <w:kern w:val="0"/>
                <w:sz w:val="24"/>
                <w:szCs w:val="24"/>
                <w:highlight w:val="none"/>
                <w:lang w:val="en-US" w:eastAsia="zh-CN" w:bidi="ar-SA"/>
              </w:rPr>
              <w:t>项目排污许可管理类别判定：</w:t>
            </w:r>
          </w:p>
          <w:p w14:paraId="116FB555">
            <w:pPr>
              <w:pStyle w:val="5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本项目国民经济行业属</w:t>
            </w:r>
            <w:r>
              <w:rPr>
                <w:rFonts w:hint="default" w:ascii="Times New Roman" w:hAnsi="Times New Roman" w:eastAsia="宋体" w:cs="Times New Roman"/>
                <w:b w:val="0"/>
                <w:bCs w:val="0"/>
                <w:color w:val="auto"/>
                <w:sz w:val="24"/>
                <w:szCs w:val="24"/>
                <w:highlight w:val="none"/>
                <w:lang w:val="en-US" w:eastAsia="zh-CN"/>
              </w:rPr>
              <w:t>C</w:t>
            </w:r>
            <w:r>
              <w:rPr>
                <w:rFonts w:hint="eastAsia" w:cs="Times New Roman"/>
                <w:b w:val="0"/>
                <w:bCs w:val="0"/>
                <w:color w:val="auto"/>
                <w:sz w:val="24"/>
                <w:szCs w:val="24"/>
                <w:highlight w:val="none"/>
                <w:lang w:val="en-US" w:eastAsia="zh-CN"/>
              </w:rPr>
              <w:t>1953</w:t>
            </w:r>
            <w:r>
              <w:rPr>
                <w:rFonts w:hint="default" w:ascii="Times New Roman" w:hAnsi="Times New Roman" w:eastAsia="宋体" w:cs="Times New Roman"/>
                <w:b w:val="0"/>
                <w:bCs w:val="0"/>
                <w:color w:val="auto"/>
                <w:sz w:val="24"/>
                <w:szCs w:val="24"/>
                <w:highlight w:val="none"/>
                <w:lang w:val="en-US" w:eastAsia="zh-CN"/>
              </w:rPr>
              <w:t>塑料</w:t>
            </w:r>
            <w:r>
              <w:rPr>
                <w:rFonts w:hint="eastAsia" w:cs="Times New Roman"/>
                <w:b w:val="0"/>
                <w:bCs w:val="0"/>
                <w:color w:val="auto"/>
                <w:sz w:val="24"/>
                <w:szCs w:val="24"/>
                <w:highlight w:val="none"/>
                <w:lang w:val="en-US" w:eastAsia="zh-CN"/>
              </w:rPr>
              <w:t>鞋</w:t>
            </w:r>
            <w:r>
              <w:rPr>
                <w:rFonts w:hint="default" w:ascii="Times New Roman" w:hAnsi="Times New Roman" w:eastAsia="宋体" w:cs="Times New Roman"/>
                <w:b w:val="0"/>
                <w:bCs w:val="0"/>
                <w:color w:val="auto"/>
                <w:sz w:val="24"/>
                <w:szCs w:val="24"/>
                <w:highlight w:val="none"/>
                <w:lang w:val="en-US" w:eastAsia="zh-CN"/>
              </w:rPr>
              <w:t>制造</w:t>
            </w:r>
            <w:r>
              <w:rPr>
                <w:rFonts w:hint="eastAsia" w:cs="Times New Roman"/>
                <w:b w:val="0"/>
                <w:bCs w:val="0"/>
                <w:color w:val="auto"/>
                <w:sz w:val="24"/>
                <w:szCs w:val="24"/>
                <w:highlight w:val="none"/>
                <w:lang w:val="en-US" w:eastAsia="zh-CN"/>
              </w:rPr>
              <w:t>和</w:t>
            </w:r>
            <w:r>
              <w:rPr>
                <w:rFonts w:hint="default" w:ascii="Times New Roman" w:hAnsi="Times New Roman" w:cs="Times New Roman"/>
                <w:b w:val="0"/>
                <w:bCs w:val="0"/>
                <w:color w:val="auto"/>
                <w:sz w:val="24"/>
                <w:szCs w:val="24"/>
                <w:highlight w:val="none"/>
                <w:lang w:val="en-US" w:eastAsia="zh-CN"/>
              </w:rPr>
              <w:t>C1</w:t>
            </w:r>
            <w:r>
              <w:rPr>
                <w:rFonts w:hint="eastAsia" w:cs="Times New Roman"/>
                <w:b w:val="0"/>
                <w:bCs w:val="0"/>
                <w:color w:val="auto"/>
                <w:sz w:val="24"/>
                <w:szCs w:val="24"/>
                <w:highlight w:val="none"/>
                <w:lang w:val="en-US" w:eastAsia="zh-CN"/>
              </w:rPr>
              <w:t>819其他机织服装制造</w:t>
            </w:r>
            <w:r>
              <w:rPr>
                <w:rFonts w:hint="eastAsia" w:ascii="Times New Roman" w:cs="Times New Roman"/>
                <w:color w:val="auto"/>
                <w:sz w:val="24"/>
                <w:highlight w:val="none"/>
                <w:lang w:val="en-US" w:eastAsia="zh-CN"/>
              </w:rPr>
              <w:t>，不涉及通用工序重点管理和简化管理，</w:t>
            </w:r>
            <w:r>
              <w:rPr>
                <w:rFonts w:hint="eastAsia" w:ascii="Times New Roman" w:hAnsi="Times New Roman" w:eastAsia="宋体" w:cs="Times New Roman"/>
                <w:color w:val="auto"/>
                <w:sz w:val="24"/>
                <w:highlight w:val="none"/>
                <w:lang w:val="en-US" w:eastAsia="zh-CN"/>
              </w:rPr>
              <w:t>未纳入重点排污单位名录</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防静电无尘鞋</w:t>
            </w:r>
            <w:r>
              <w:rPr>
                <w:rFonts w:hint="eastAsia" w:ascii="Times New Roman" w:hAnsi="Times New Roman" w:eastAsia="宋体" w:cs="Times New Roman"/>
                <w:color w:val="auto"/>
                <w:sz w:val="24"/>
                <w:highlight w:val="none"/>
                <w:lang w:val="en-US" w:eastAsia="zh-CN"/>
              </w:rPr>
              <w:t>生产过程中</w:t>
            </w:r>
            <w:r>
              <w:rPr>
                <w:rFonts w:hint="eastAsia" w:cs="Times New Roman"/>
                <w:color w:val="auto"/>
                <w:sz w:val="24"/>
                <w:highlight w:val="none"/>
                <w:lang w:val="en-US" w:eastAsia="zh-CN"/>
              </w:rPr>
              <w:t>不涉及有机溶剂使用</w:t>
            </w:r>
            <w:r>
              <w:rPr>
                <w:rFonts w:hint="eastAsia" w:ascii="Times New Roman" w:hAnsi="Times New Roman" w:eastAsia="宋体" w:cs="Times New Roman"/>
                <w:color w:val="auto"/>
                <w:sz w:val="24"/>
                <w:highlight w:val="none"/>
                <w:lang w:val="en-US" w:eastAsia="zh-CN"/>
              </w:rPr>
              <w:t>。</w:t>
            </w:r>
          </w:p>
          <w:p w14:paraId="131FB114">
            <w:pPr>
              <w:pStyle w:val="5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根据《固定污染源排污许可分类管理名录（2019年版）》可知，</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C</w:t>
            </w:r>
            <w:r>
              <w:rPr>
                <w:rFonts w:hint="eastAsia" w:ascii="Times New Roman" w:hAnsi="Times New Roman" w:eastAsia="宋体" w:cs="Times New Roman"/>
                <w:color w:val="auto"/>
                <w:sz w:val="24"/>
                <w:highlight w:val="none"/>
                <w:lang w:val="en-US" w:eastAsia="zh-CN"/>
              </w:rPr>
              <w:t>1953</w:t>
            </w:r>
            <w:r>
              <w:rPr>
                <w:rFonts w:hint="default" w:ascii="Times New Roman" w:hAnsi="Times New Roman" w:eastAsia="宋体" w:cs="Times New Roman"/>
                <w:color w:val="auto"/>
                <w:sz w:val="24"/>
                <w:highlight w:val="none"/>
                <w:lang w:val="en-US" w:eastAsia="zh-CN"/>
              </w:rPr>
              <w:t>塑料</w:t>
            </w:r>
            <w:r>
              <w:rPr>
                <w:rFonts w:hint="eastAsia" w:ascii="Times New Roman" w:hAnsi="Times New Roman" w:eastAsia="宋体" w:cs="Times New Roman"/>
                <w:color w:val="auto"/>
                <w:sz w:val="24"/>
                <w:highlight w:val="none"/>
                <w:lang w:val="en-US" w:eastAsia="zh-CN"/>
              </w:rPr>
              <w:t>鞋</w:t>
            </w:r>
            <w:r>
              <w:rPr>
                <w:rFonts w:hint="default" w:ascii="Times New Roman" w:hAnsi="Times New Roman" w:eastAsia="宋体" w:cs="Times New Roman"/>
                <w:color w:val="auto"/>
                <w:sz w:val="24"/>
                <w:highlight w:val="none"/>
                <w:lang w:val="en-US" w:eastAsia="zh-CN"/>
              </w:rPr>
              <w:t>制造</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属于名录表中</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十四、</w:t>
            </w:r>
            <w:r>
              <w:rPr>
                <w:rFonts w:hint="eastAsia" w:ascii="Times New Roman" w:hAnsi="Times New Roman" w:eastAsia="宋体" w:cs="Times New Roman"/>
                <w:color w:val="auto"/>
                <w:sz w:val="24"/>
                <w:highlight w:val="none"/>
                <w:lang w:val="en-US" w:eastAsia="zh-CN"/>
              </w:rPr>
              <w:t>皮革、毛皮、羽毛及其制品和制鞋业19”之下的</w:t>
            </w:r>
            <w:r>
              <w:rPr>
                <w:rFonts w:hint="default" w:ascii="Times New Roman" w:hAnsi="Times New Roman" w:eastAsia="宋体" w:cs="Times New Roman"/>
                <w:color w:val="auto"/>
                <w:sz w:val="24"/>
                <w:highlight w:val="none"/>
                <w:lang w:val="en-US" w:eastAsia="zh-CN"/>
              </w:rPr>
              <w:t>的</w:t>
            </w:r>
            <w:r>
              <w:rPr>
                <w:rFonts w:hint="eastAsia" w:ascii="Times New Roman" w:hAnsi="Times New Roman" w:eastAsia="宋体" w:cs="Times New Roman"/>
                <w:color w:val="auto"/>
                <w:sz w:val="24"/>
                <w:highlight w:val="none"/>
                <w:lang w:val="en-US" w:eastAsia="zh-CN"/>
              </w:rPr>
              <w:t>登记</w:t>
            </w:r>
            <w:r>
              <w:rPr>
                <w:rFonts w:hint="default" w:ascii="Times New Roman" w:hAnsi="Times New Roman" w:eastAsia="宋体" w:cs="Times New Roman"/>
                <w:color w:val="auto"/>
                <w:sz w:val="24"/>
                <w:highlight w:val="none"/>
                <w:lang w:val="en-US" w:eastAsia="zh-CN"/>
              </w:rPr>
              <w:t>管理项</w:t>
            </w:r>
            <w:r>
              <w:rPr>
                <w:rFonts w:hint="eastAsia" w:ascii="Times New Roman" w:hAnsi="Times New Roman" w:eastAsia="宋体" w:cs="Times New Roman"/>
                <w:color w:val="auto"/>
                <w:sz w:val="24"/>
                <w:highlight w:val="none"/>
                <w:lang w:val="en-US" w:eastAsia="zh-CN"/>
              </w:rPr>
              <w:t>，“</w:t>
            </w:r>
            <w:r>
              <w:rPr>
                <w:rFonts w:hint="default" w:ascii="Times New Roman" w:hAnsi="Times New Roman" w:cs="Times New Roman"/>
                <w:b w:val="0"/>
                <w:bCs w:val="0"/>
                <w:color w:val="auto"/>
                <w:sz w:val="24"/>
                <w:szCs w:val="24"/>
                <w:highlight w:val="none"/>
                <w:lang w:val="en-US" w:eastAsia="zh-CN"/>
              </w:rPr>
              <w:t>C1</w:t>
            </w:r>
            <w:r>
              <w:rPr>
                <w:rFonts w:hint="eastAsia" w:cs="Times New Roman"/>
                <w:b w:val="0"/>
                <w:bCs w:val="0"/>
                <w:color w:val="auto"/>
                <w:sz w:val="24"/>
                <w:szCs w:val="24"/>
                <w:highlight w:val="none"/>
                <w:lang w:val="en-US" w:eastAsia="zh-CN"/>
              </w:rPr>
              <w:t>819其他机织服装制造</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属于名录表中</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十</w:t>
            </w:r>
            <w:r>
              <w:rPr>
                <w:rFonts w:hint="eastAsia" w:cs="Times New Roman"/>
                <w:color w:val="auto"/>
                <w:sz w:val="24"/>
                <w:highlight w:val="none"/>
                <w:lang w:val="en-US" w:eastAsia="zh-CN"/>
              </w:rPr>
              <w:t>三</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纺织服装、服饰业</w:t>
            </w:r>
            <w:r>
              <w:rPr>
                <w:rFonts w:hint="eastAsia" w:ascii="Times New Roman" w:hAnsi="Times New Roman" w:eastAsia="宋体" w:cs="Times New Roman"/>
                <w:color w:val="auto"/>
                <w:sz w:val="24"/>
                <w:highlight w:val="none"/>
                <w:lang w:val="en-US" w:eastAsia="zh-CN"/>
              </w:rPr>
              <w:t>1</w:t>
            </w:r>
            <w:r>
              <w:rPr>
                <w:rFonts w:hint="eastAsia" w:cs="Times New Roman"/>
                <w:color w:val="auto"/>
                <w:sz w:val="24"/>
                <w:highlight w:val="none"/>
                <w:lang w:val="en-US" w:eastAsia="zh-CN"/>
              </w:rPr>
              <w:t>8</w:t>
            </w:r>
            <w:r>
              <w:rPr>
                <w:rFonts w:hint="eastAsia" w:ascii="Times New Roman" w:hAnsi="Times New Roman" w:eastAsia="宋体" w:cs="Times New Roman"/>
                <w:color w:val="auto"/>
                <w:sz w:val="24"/>
                <w:highlight w:val="none"/>
                <w:lang w:val="en-US" w:eastAsia="zh-CN"/>
              </w:rPr>
              <w:t>”之下的</w:t>
            </w:r>
            <w:r>
              <w:rPr>
                <w:rFonts w:hint="default" w:ascii="Times New Roman" w:hAnsi="Times New Roman" w:eastAsia="宋体" w:cs="Times New Roman"/>
                <w:color w:val="auto"/>
                <w:sz w:val="24"/>
                <w:highlight w:val="none"/>
                <w:lang w:val="en-US" w:eastAsia="zh-CN"/>
              </w:rPr>
              <w:t>的</w:t>
            </w:r>
            <w:r>
              <w:rPr>
                <w:rFonts w:hint="eastAsia" w:ascii="Times New Roman" w:hAnsi="Times New Roman" w:eastAsia="宋体" w:cs="Times New Roman"/>
                <w:color w:val="auto"/>
                <w:sz w:val="24"/>
                <w:highlight w:val="none"/>
                <w:lang w:val="en-US" w:eastAsia="zh-CN"/>
              </w:rPr>
              <w:t>登记</w:t>
            </w:r>
            <w:r>
              <w:rPr>
                <w:rFonts w:hint="default" w:ascii="Times New Roman" w:hAnsi="Times New Roman" w:eastAsia="宋体" w:cs="Times New Roman"/>
                <w:color w:val="auto"/>
                <w:sz w:val="24"/>
                <w:highlight w:val="none"/>
                <w:lang w:val="en-US" w:eastAsia="zh-CN"/>
              </w:rPr>
              <w:t>管理项。</w:t>
            </w:r>
          </w:p>
          <w:p w14:paraId="57105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综上，本项目排污许可分类管理类别为</w:t>
            </w:r>
            <w:r>
              <w:rPr>
                <w:rFonts w:hint="eastAsia" w:ascii="宋体" w:hAnsi="宋体" w:eastAsia="宋体" w:cs="宋体"/>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登记</w:t>
            </w:r>
            <w:r>
              <w:rPr>
                <w:rFonts w:hint="default" w:ascii="Times New Roman" w:hAnsi="Times New Roman" w:eastAsia="宋体" w:cs="Times New Roman"/>
                <w:b/>
                <w:bCs/>
                <w:color w:val="auto"/>
                <w:kern w:val="2"/>
                <w:sz w:val="24"/>
                <w:szCs w:val="24"/>
                <w:highlight w:val="none"/>
                <w:lang w:val="en-US" w:eastAsia="zh-CN" w:bidi="ar-SA"/>
              </w:rPr>
              <w:t>管理</w:t>
            </w:r>
            <w:r>
              <w:rPr>
                <w:rFonts w:hint="eastAsia" w:ascii="宋体" w:hAnsi="宋体" w:eastAsia="宋体" w:cs="宋体"/>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w:t>
            </w:r>
          </w:p>
          <w:p w14:paraId="37D1E044">
            <w:pPr>
              <w:pStyle w:val="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 xml:space="preserve">表2-2 </w:t>
            </w:r>
            <w:r>
              <w:rPr>
                <w:rFonts w:hint="eastAsia" w:ascii="Times New Roman" w:cs="Times New Roman"/>
                <w:b/>
                <w:bCs/>
                <w:color w:val="auto"/>
                <w:kern w:val="2"/>
                <w:sz w:val="21"/>
                <w:szCs w:val="21"/>
                <w:highlight w:val="none"/>
                <w:lang w:val="en-US" w:eastAsia="zh-CN" w:bidi="ar-SA"/>
              </w:rPr>
              <w:t xml:space="preserve"> 《</w:t>
            </w:r>
            <w:r>
              <w:rPr>
                <w:rFonts w:hint="eastAsia"/>
                <w:b/>
                <w:color w:val="auto"/>
                <w:sz w:val="21"/>
                <w:szCs w:val="21"/>
                <w:highlight w:val="none"/>
              </w:rPr>
              <w:t>固定污染源排污许可分类管理名录（</w:t>
            </w:r>
            <w:r>
              <w:rPr>
                <w:rFonts w:hint="default" w:ascii="Times New Roman" w:hAnsi="Times New Roman" w:cs="Times New Roman"/>
                <w:b/>
                <w:color w:val="auto"/>
                <w:sz w:val="21"/>
                <w:szCs w:val="21"/>
                <w:highlight w:val="none"/>
              </w:rPr>
              <w:t>2019</w:t>
            </w:r>
            <w:r>
              <w:rPr>
                <w:rFonts w:hint="eastAsia"/>
                <w:b/>
                <w:color w:val="auto"/>
                <w:sz w:val="21"/>
                <w:szCs w:val="21"/>
                <w:highlight w:val="none"/>
              </w:rPr>
              <w:t>年版）》</w:t>
            </w:r>
          </w:p>
          <w:tbl>
            <w:tblPr>
              <w:tblStyle w:val="4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67"/>
              <w:gridCol w:w="1648"/>
              <w:gridCol w:w="2057"/>
              <w:gridCol w:w="2344"/>
              <w:gridCol w:w="1122"/>
            </w:tblGrid>
            <w:tr w14:paraId="3D2B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trPr>
              <w:tc>
                <w:tcPr>
                  <w:tcW w:w="426" w:type="pct"/>
                  <w:tcBorders>
                    <w:tl2br w:val="nil"/>
                    <w:tr2bl w:val="nil"/>
                  </w:tcBorders>
                  <w:shd w:val="clear" w:color="auto" w:fill="auto"/>
                  <w:noWrap w:val="0"/>
                  <w:vAlign w:val="center"/>
                </w:tcPr>
                <w:p w14:paraId="1AE44A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序号</w:t>
                  </w:r>
                </w:p>
              </w:tc>
              <w:tc>
                <w:tcPr>
                  <w:tcW w:w="1051" w:type="pct"/>
                  <w:tcBorders>
                    <w:tl2br w:val="nil"/>
                    <w:tr2bl w:val="nil"/>
                  </w:tcBorders>
                  <w:shd w:val="clear" w:color="auto" w:fill="auto"/>
                  <w:noWrap w:val="0"/>
                  <w:vAlign w:val="center"/>
                </w:tcPr>
                <w:p w14:paraId="237DEF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行业类别</w:t>
                  </w:r>
                </w:p>
              </w:tc>
              <w:tc>
                <w:tcPr>
                  <w:tcW w:w="1312" w:type="pct"/>
                  <w:tcBorders>
                    <w:tl2br w:val="nil"/>
                    <w:tr2bl w:val="nil"/>
                  </w:tcBorders>
                  <w:shd w:val="clear" w:color="auto" w:fill="auto"/>
                  <w:noWrap w:val="0"/>
                  <w:vAlign w:val="center"/>
                </w:tcPr>
                <w:p w14:paraId="66377B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重点管理</w:t>
                  </w:r>
                </w:p>
              </w:tc>
              <w:tc>
                <w:tcPr>
                  <w:tcW w:w="1495" w:type="pct"/>
                  <w:tcBorders>
                    <w:tl2br w:val="nil"/>
                    <w:tr2bl w:val="nil"/>
                  </w:tcBorders>
                  <w:shd w:val="clear" w:color="auto" w:fill="auto"/>
                  <w:noWrap w:val="0"/>
                  <w:vAlign w:val="center"/>
                </w:tcPr>
                <w:p w14:paraId="56B0A5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简化管理</w:t>
                  </w:r>
                </w:p>
              </w:tc>
              <w:tc>
                <w:tcPr>
                  <w:tcW w:w="713" w:type="pct"/>
                  <w:tcBorders>
                    <w:tl2br w:val="nil"/>
                    <w:tr2bl w:val="nil"/>
                  </w:tcBorders>
                  <w:shd w:val="clear" w:color="auto" w:fill="auto"/>
                  <w:noWrap w:val="0"/>
                  <w:vAlign w:val="center"/>
                </w:tcPr>
                <w:p w14:paraId="1992CB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登记管理</w:t>
                  </w:r>
                </w:p>
              </w:tc>
            </w:tr>
            <w:tr w14:paraId="76BF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trPr>
              <w:tc>
                <w:tcPr>
                  <w:tcW w:w="5000" w:type="pct"/>
                  <w:gridSpan w:val="5"/>
                  <w:tcBorders>
                    <w:tl2br w:val="nil"/>
                    <w:tr2bl w:val="nil"/>
                  </w:tcBorders>
                  <w:shd w:val="clear" w:color="auto" w:fill="auto"/>
                  <w:noWrap w:val="0"/>
                  <w:vAlign w:val="center"/>
                </w:tcPr>
                <w:p w14:paraId="04C77A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both"/>
                    <w:textAlignment w:val="auto"/>
                    <w:rPr>
                      <w:rFonts w:hint="eastAsia"/>
                      <w:color w:val="auto"/>
                      <w:sz w:val="21"/>
                      <w:szCs w:val="21"/>
                      <w:highlight w:val="none"/>
                      <w:shd w:val="clear" w:color="FFFFFF" w:fill="D9D9D9"/>
                      <w:lang w:val="en-US" w:eastAsia="zh-CN"/>
                    </w:rPr>
                  </w:pPr>
                  <w:r>
                    <w:rPr>
                      <w:rFonts w:hint="eastAsia" w:ascii="Times New Roman" w:hAnsi="Times New Roman" w:eastAsia="宋体" w:cs="Times New Roman"/>
                      <w:b/>
                      <w:bCs/>
                      <w:color w:val="auto"/>
                      <w:sz w:val="21"/>
                      <w:szCs w:val="21"/>
                      <w:highlight w:val="none"/>
                      <w:shd w:val="clear" w:color="FFFFFF"/>
                      <w:lang w:val="en-US" w:eastAsia="zh-CN"/>
                    </w:rPr>
                    <w:t>十三、纺织服装、服饰业18</w:t>
                  </w:r>
                </w:p>
              </w:tc>
            </w:tr>
            <w:tr w14:paraId="392C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trPr>
              <w:tc>
                <w:tcPr>
                  <w:tcW w:w="426" w:type="pct"/>
                  <w:tcBorders>
                    <w:tl2br w:val="nil"/>
                    <w:tr2bl w:val="nil"/>
                  </w:tcBorders>
                  <w:shd w:val="clear" w:color="auto" w:fill="auto"/>
                  <w:noWrap w:val="0"/>
                  <w:vAlign w:val="center"/>
                </w:tcPr>
                <w:p w14:paraId="7FCFA7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27</w:t>
                  </w:r>
                </w:p>
              </w:tc>
              <w:tc>
                <w:tcPr>
                  <w:tcW w:w="1051" w:type="pct"/>
                  <w:tcBorders>
                    <w:tl2br w:val="nil"/>
                    <w:tr2bl w:val="nil"/>
                  </w:tcBorders>
                  <w:shd w:val="clear" w:color="auto" w:fill="auto"/>
                  <w:noWrap w:val="0"/>
                  <w:vAlign w:val="center"/>
                </w:tcPr>
                <w:p w14:paraId="42ADD37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pacing w:val="4"/>
                      <w:szCs w:val="21"/>
                      <w:highlight w:val="none"/>
                      <w:lang w:val="en-US" w:eastAsia="zh-CN"/>
                    </w:rPr>
                  </w:pPr>
                  <w:r>
                    <w:rPr>
                      <w:rFonts w:hint="eastAsia" w:ascii="Times New Roman" w:hAnsi="Times New Roman" w:eastAsia="宋体" w:cs="Times New Roman"/>
                      <w:color w:val="auto"/>
                      <w:spacing w:val="4"/>
                      <w:szCs w:val="21"/>
                      <w:highlight w:val="none"/>
                      <w:lang w:val="en-US" w:eastAsia="zh-CN"/>
                    </w:rPr>
                    <w:t>机织服装制造181，服饰制造183</w:t>
                  </w:r>
                </w:p>
              </w:tc>
              <w:tc>
                <w:tcPr>
                  <w:tcW w:w="1312" w:type="pct"/>
                  <w:tcBorders>
                    <w:tl2br w:val="nil"/>
                    <w:tr2bl w:val="nil"/>
                  </w:tcBorders>
                  <w:shd w:val="clear" w:color="auto" w:fill="auto"/>
                  <w:noWrap w:val="0"/>
                  <w:vAlign w:val="center"/>
                </w:tcPr>
                <w:p w14:paraId="7F702D6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pacing w:val="4"/>
                      <w:szCs w:val="21"/>
                      <w:highlight w:val="none"/>
                      <w:lang w:val="en-US" w:eastAsia="zh-CN"/>
                    </w:rPr>
                  </w:pPr>
                  <w:r>
                    <w:rPr>
                      <w:rFonts w:hint="eastAsia" w:ascii="Times New Roman" w:hAnsi="Times New Roman" w:eastAsia="宋体" w:cs="Times New Roman"/>
                      <w:color w:val="auto"/>
                      <w:spacing w:val="4"/>
                      <w:szCs w:val="21"/>
                      <w:highlight w:val="none"/>
                      <w:lang w:val="en-US" w:eastAsia="zh-CN"/>
                    </w:rPr>
                    <w:t>有水洗工序、湿法印花、染色工艺的</w:t>
                  </w:r>
                </w:p>
              </w:tc>
              <w:tc>
                <w:tcPr>
                  <w:tcW w:w="1495" w:type="pct"/>
                  <w:tcBorders>
                    <w:tl2br w:val="nil"/>
                    <w:tr2bl w:val="nil"/>
                  </w:tcBorders>
                  <w:shd w:val="clear" w:color="auto" w:fill="auto"/>
                  <w:noWrap w:val="0"/>
                  <w:vAlign w:val="center"/>
                </w:tcPr>
                <w:p w14:paraId="77FC13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4"/>
                      <w:szCs w:val="21"/>
                      <w:highlight w:val="none"/>
                      <w:lang w:val="en-US" w:eastAsia="zh-CN"/>
                    </w:rPr>
                  </w:pPr>
                  <w:r>
                    <w:rPr>
                      <w:rFonts w:hint="eastAsia" w:ascii="Times New Roman" w:hAnsi="Times New Roman" w:eastAsia="宋体" w:cs="Times New Roman"/>
                      <w:color w:val="auto"/>
                      <w:spacing w:val="4"/>
                      <w:szCs w:val="21"/>
                      <w:highlight w:val="none"/>
                      <w:lang w:val="en-US" w:eastAsia="zh-CN"/>
                    </w:rPr>
                    <w:t>/</w:t>
                  </w:r>
                </w:p>
              </w:tc>
              <w:tc>
                <w:tcPr>
                  <w:tcW w:w="713" w:type="pct"/>
                  <w:tcBorders>
                    <w:tl2br w:val="nil"/>
                    <w:tr2bl w:val="nil"/>
                  </w:tcBorders>
                  <w:shd w:val="clear" w:color="auto" w:fill="auto"/>
                  <w:noWrap w:val="0"/>
                  <w:vAlign w:val="center"/>
                </w:tcPr>
                <w:p w14:paraId="62C105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4"/>
                      <w:szCs w:val="21"/>
                      <w:highlight w:val="none"/>
                      <w:lang w:val="en-US" w:eastAsia="zh-CN"/>
                    </w:rPr>
                  </w:pPr>
                  <w:r>
                    <w:rPr>
                      <w:rFonts w:hint="eastAsia" w:ascii="Times New Roman" w:hAnsi="Times New Roman" w:eastAsia="宋体" w:cs="Times New Roman"/>
                      <w:b/>
                      <w:bCs/>
                      <w:color w:val="auto"/>
                      <w:spacing w:val="4"/>
                      <w:szCs w:val="21"/>
                      <w:highlight w:val="none"/>
                      <w:lang w:val="en-US" w:eastAsia="zh-CN"/>
                    </w:rPr>
                    <w:t>其他*</w:t>
                  </w:r>
                </w:p>
              </w:tc>
            </w:tr>
            <w:tr w14:paraId="260C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5000" w:type="pct"/>
                  <w:gridSpan w:val="5"/>
                  <w:tcBorders>
                    <w:tl2br w:val="nil"/>
                    <w:tr2bl w:val="nil"/>
                  </w:tcBorders>
                  <w:shd w:val="clear" w:color="auto" w:fill="auto"/>
                  <w:noWrap w:val="0"/>
                  <w:vAlign w:val="center"/>
                </w:tcPr>
                <w:p w14:paraId="2FCD6075">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b/>
                      <w:bCs/>
                      <w:color w:val="auto"/>
                      <w:spacing w:val="4"/>
                      <w:szCs w:val="21"/>
                      <w:highlight w:val="none"/>
                      <w:lang w:val="en-US" w:eastAsia="zh-CN"/>
                    </w:rPr>
                  </w:pPr>
                  <w:r>
                    <w:rPr>
                      <w:rFonts w:hint="eastAsia"/>
                      <w:b/>
                      <w:bCs/>
                      <w:color w:val="auto"/>
                      <w:sz w:val="21"/>
                      <w:szCs w:val="21"/>
                      <w:highlight w:val="none"/>
                      <w:shd w:val="clear" w:color="FFFFFF"/>
                      <w:lang w:val="en-US" w:eastAsia="zh-CN"/>
                    </w:rPr>
                    <w:t>十四、皮革、毛皮、羽毛及其制品和制鞋业19</w:t>
                  </w:r>
                </w:p>
              </w:tc>
            </w:tr>
            <w:tr w14:paraId="3BD1E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pct"/>
                  <w:tcBorders>
                    <w:tl2br w:val="nil"/>
                    <w:tr2bl w:val="nil"/>
                  </w:tcBorders>
                  <w:shd w:val="clear" w:color="auto" w:fill="auto"/>
                  <w:noWrap w:val="0"/>
                  <w:vAlign w:val="center"/>
                </w:tcPr>
                <w:p w14:paraId="0304F0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32</w:t>
                  </w:r>
                </w:p>
              </w:tc>
              <w:tc>
                <w:tcPr>
                  <w:tcW w:w="1051" w:type="pct"/>
                  <w:tcBorders>
                    <w:tl2br w:val="nil"/>
                    <w:tr2bl w:val="nil"/>
                  </w:tcBorders>
                  <w:shd w:val="clear" w:color="auto" w:fill="auto"/>
                  <w:noWrap w:val="0"/>
                  <w:vAlign w:val="center"/>
                </w:tcPr>
                <w:p w14:paraId="30B34BB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pacing w:val="4"/>
                      <w:szCs w:val="21"/>
                      <w:highlight w:val="none"/>
                      <w:lang w:val="en-US" w:eastAsia="zh-CN"/>
                    </w:rPr>
                  </w:pPr>
                  <w:r>
                    <w:rPr>
                      <w:rFonts w:hint="eastAsia" w:ascii="Times New Roman" w:hAnsi="Times New Roman" w:eastAsia="宋体" w:cs="Times New Roman"/>
                      <w:color w:val="auto"/>
                      <w:spacing w:val="4"/>
                      <w:szCs w:val="21"/>
                      <w:highlight w:val="none"/>
                      <w:lang w:val="en-US" w:eastAsia="zh-CN"/>
                    </w:rPr>
                    <w:t>制鞋业195</w:t>
                  </w:r>
                </w:p>
              </w:tc>
              <w:tc>
                <w:tcPr>
                  <w:tcW w:w="1312" w:type="pct"/>
                  <w:tcBorders>
                    <w:tl2br w:val="nil"/>
                    <w:tr2bl w:val="nil"/>
                  </w:tcBorders>
                  <w:shd w:val="clear" w:color="auto" w:fill="auto"/>
                  <w:noWrap w:val="0"/>
                  <w:vAlign w:val="center"/>
                </w:tcPr>
                <w:p w14:paraId="22C59EF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pacing w:val="4"/>
                      <w:szCs w:val="21"/>
                      <w:highlight w:val="none"/>
                      <w:lang w:val="en-US" w:eastAsia="zh-CN"/>
                    </w:rPr>
                  </w:pPr>
                  <w:r>
                    <w:rPr>
                      <w:rFonts w:hint="eastAsia" w:ascii="Times New Roman" w:hAnsi="Times New Roman" w:eastAsia="宋体" w:cs="Times New Roman"/>
                      <w:color w:val="auto"/>
                      <w:spacing w:val="4"/>
                      <w:szCs w:val="21"/>
                      <w:highlight w:val="none"/>
                      <w:lang w:val="en-US" w:eastAsia="zh-CN"/>
                    </w:rPr>
                    <w:t>纳入重点排污单位名录的</w:t>
                  </w:r>
                </w:p>
              </w:tc>
              <w:tc>
                <w:tcPr>
                  <w:tcW w:w="1495" w:type="pct"/>
                  <w:tcBorders>
                    <w:tl2br w:val="nil"/>
                    <w:tr2bl w:val="nil"/>
                  </w:tcBorders>
                  <w:shd w:val="clear" w:color="auto" w:fill="auto"/>
                  <w:noWrap w:val="0"/>
                  <w:vAlign w:val="center"/>
                </w:tcPr>
                <w:p w14:paraId="1B232B3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pacing w:val="4"/>
                      <w:szCs w:val="21"/>
                      <w:highlight w:val="none"/>
                      <w:lang w:val="en-US" w:eastAsia="zh-CN"/>
                    </w:rPr>
                  </w:pPr>
                  <w:r>
                    <w:rPr>
                      <w:rFonts w:hint="eastAsia" w:ascii="Times New Roman" w:hAnsi="Times New Roman" w:eastAsia="宋体" w:cs="Times New Roman"/>
                      <w:color w:val="auto"/>
                      <w:spacing w:val="4"/>
                      <w:szCs w:val="21"/>
                      <w:highlight w:val="none"/>
                      <w:lang w:val="en-US" w:eastAsia="zh-CN"/>
                    </w:rPr>
                    <w:t>除重点管理以外的年使用10吨及以上溶剂型胶粘剂或者3吨及以上溶剂型处理剂的</w:t>
                  </w:r>
                </w:p>
              </w:tc>
              <w:tc>
                <w:tcPr>
                  <w:tcW w:w="713" w:type="pct"/>
                  <w:tcBorders>
                    <w:tl2br w:val="nil"/>
                    <w:tr2bl w:val="nil"/>
                  </w:tcBorders>
                  <w:shd w:val="clear" w:color="auto" w:fill="auto"/>
                  <w:noWrap w:val="0"/>
                  <w:vAlign w:val="center"/>
                </w:tcPr>
                <w:p w14:paraId="4ABD05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4"/>
                      <w:szCs w:val="21"/>
                      <w:highlight w:val="none"/>
                      <w:lang w:val="en-US" w:eastAsia="zh-CN"/>
                    </w:rPr>
                  </w:pPr>
                  <w:r>
                    <w:rPr>
                      <w:rFonts w:hint="eastAsia" w:ascii="Times New Roman" w:hAnsi="Times New Roman" w:eastAsia="宋体" w:cs="Times New Roman"/>
                      <w:b/>
                      <w:bCs/>
                      <w:color w:val="auto"/>
                      <w:spacing w:val="4"/>
                      <w:szCs w:val="21"/>
                      <w:highlight w:val="none"/>
                      <w:lang w:val="en-US" w:eastAsia="zh-CN"/>
                    </w:rPr>
                    <w:t>其他*</w:t>
                  </w:r>
                </w:p>
              </w:tc>
            </w:tr>
          </w:tbl>
          <w:p w14:paraId="3A30FE67">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textAlignment w:val="auto"/>
              <w:rPr>
                <w:rFonts w:hint="default" w:ascii="Times New Roman" w:hAnsi="Times New Roman" w:eastAsia="宋体" w:cs="Times New Roman"/>
                <w:b/>
                <w:color w:val="auto"/>
                <w:kern w:val="0"/>
                <w:sz w:val="24"/>
                <w:szCs w:val="22"/>
                <w:highlight w:val="none"/>
              </w:rPr>
            </w:pPr>
            <w:r>
              <w:rPr>
                <w:rFonts w:hint="default" w:ascii="Times New Roman" w:hAnsi="Times New Roman" w:eastAsia="宋体" w:cs="Times New Roman"/>
                <w:b/>
                <w:color w:val="auto"/>
                <w:kern w:val="0"/>
                <w:sz w:val="24"/>
                <w:szCs w:val="22"/>
                <w:highlight w:val="none"/>
                <w:lang w:val="en-US" w:eastAsia="zh-CN"/>
              </w:rPr>
              <w:t>2</w:t>
            </w:r>
            <w:r>
              <w:rPr>
                <w:rFonts w:hint="default" w:ascii="Times New Roman" w:hAnsi="Times New Roman" w:eastAsia="宋体" w:cs="Times New Roman"/>
                <w:b/>
                <w:color w:val="auto"/>
                <w:kern w:val="0"/>
                <w:sz w:val="24"/>
                <w:szCs w:val="22"/>
                <w:highlight w:val="none"/>
              </w:rPr>
              <w:t>、工程建设内容及规模</w:t>
            </w:r>
          </w:p>
          <w:p w14:paraId="4DD17C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项目总占地面积</w:t>
            </w:r>
            <w:r>
              <w:rPr>
                <w:rFonts w:hint="eastAsia" w:cs="Times New Roman"/>
                <w:color w:val="auto"/>
                <w:sz w:val="24"/>
                <w:szCs w:val="22"/>
                <w:highlight w:val="none"/>
                <w:lang w:val="en-US" w:eastAsia="zh-CN"/>
              </w:rPr>
              <w:t>15761m</w:t>
            </w:r>
            <w:r>
              <w:rPr>
                <w:rFonts w:hint="eastAsia" w:cs="Times New Roman"/>
                <w:color w:val="auto"/>
                <w:sz w:val="24"/>
                <w:szCs w:val="22"/>
                <w:highlight w:val="none"/>
                <w:vertAlign w:val="superscript"/>
                <w:lang w:val="en-US" w:eastAsia="zh-CN"/>
              </w:rPr>
              <w:t>2</w:t>
            </w:r>
            <w:r>
              <w:rPr>
                <w:rFonts w:hint="default" w:ascii="Times New Roman" w:hAnsi="Times New Roman" w:eastAsia="宋体" w:cs="Times New Roman"/>
                <w:color w:val="auto"/>
                <w:sz w:val="24"/>
                <w:szCs w:val="22"/>
                <w:highlight w:val="none"/>
                <w:lang w:val="en-US" w:eastAsia="zh-CN"/>
              </w:rPr>
              <w:t>，</w:t>
            </w:r>
            <w:r>
              <w:rPr>
                <w:rFonts w:hint="eastAsia" w:cs="Times New Roman"/>
                <w:color w:val="auto"/>
                <w:sz w:val="24"/>
                <w:szCs w:val="22"/>
                <w:highlight w:val="none"/>
                <w:lang w:val="en-US" w:eastAsia="zh-CN"/>
              </w:rPr>
              <w:t>利用现有厂区、办公楼及</w:t>
            </w:r>
            <w:r>
              <w:rPr>
                <w:rFonts w:hint="default" w:ascii="Times New Roman" w:hAnsi="Times New Roman" w:eastAsia="宋体" w:cs="Times New Roman"/>
                <w:color w:val="auto"/>
                <w:sz w:val="24"/>
                <w:szCs w:val="22"/>
                <w:highlight w:val="none"/>
                <w:lang w:val="en-US" w:eastAsia="zh-CN"/>
              </w:rPr>
              <w:t>配套供配电、给排水等基础设施，项目主要工程内容及规模见下表</w:t>
            </w:r>
            <w:r>
              <w:rPr>
                <w:rFonts w:hint="eastAsia" w:cs="Times New Roman"/>
                <w:color w:val="auto"/>
                <w:sz w:val="24"/>
                <w:szCs w:val="22"/>
                <w:highlight w:val="none"/>
                <w:lang w:val="en-US" w:eastAsia="zh-CN"/>
              </w:rPr>
              <w:t>：</w:t>
            </w:r>
          </w:p>
          <w:p w14:paraId="791CF00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表2-</w:t>
            </w:r>
            <w:r>
              <w:rPr>
                <w:rFonts w:hint="eastAsia"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rPr>
              <w:t xml:space="preserve">  建设项目</w:t>
            </w:r>
            <w:r>
              <w:rPr>
                <w:rFonts w:hint="default" w:ascii="Times New Roman" w:hAnsi="Times New Roman" w:eastAsia="宋体" w:cs="Times New Roman"/>
                <w:b/>
                <w:bCs/>
                <w:color w:val="auto"/>
                <w:sz w:val="21"/>
                <w:szCs w:val="21"/>
                <w:highlight w:val="none"/>
              </w:rPr>
              <w:t>工程内容</w:t>
            </w:r>
            <w:r>
              <w:rPr>
                <w:rFonts w:hint="default" w:ascii="Times New Roman" w:hAnsi="Times New Roman" w:eastAsia="宋体" w:cs="Times New Roman"/>
                <w:b/>
                <w:color w:val="auto"/>
                <w:sz w:val="21"/>
                <w:szCs w:val="21"/>
                <w:highlight w:val="none"/>
              </w:rPr>
              <w:t>组成一览表</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523"/>
              <w:gridCol w:w="1001"/>
              <w:gridCol w:w="3701"/>
              <w:gridCol w:w="1788"/>
              <w:gridCol w:w="826"/>
            </w:tblGrid>
            <w:tr w14:paraId="36F8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13" w:hRule="atLeast"/>
                <w:tblHeader/>
                <w:jc w:val="center"/>
              </w:trPr>
              <w:tc>
                <w:tcPr>
                  <w:tcW w:w="972" w:type="pct"/>
                  <w:gridSpan w:val="2"/>
                  <w:tcBorders>
                    <w:tl2br w:val="nil"/>
                    <w:tr2bl w:val="nil"/>
                  </w:tcBorders>
                  <w:noWrap w:val="0"/>
                  <w:vAlign w:val="center"/>
                </w:tcPr>
                <w:p w14:paraId="254730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工程名称</w:t>
                  </w:r>
                </w:p>
              </w:tc>
              <w:tc>
                <w:tcPr>
                  <w:tcW w:w="3500" w:type="pct"/>
                  <w:gridSpan w:val="2"/>
                  <w:tcBorders>
                    <w:tl2br w:val="nil"/>
                    <w:tr2bl w:val="nil"/>
                  </w:tcBorders>
                  <w:noWrap w:val="0"/>
                  <w:vAlign w:val="center"/>
                </w:tcPr>
                <w:p w14:paraId="17DFDA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工程内容及规模</w:t>
                  </w:r>
                </w:p>
              </w:tc>
              <w:tc>
                <w:tcPr>
                  <w:tcW w:w="527" w:type="pct"/>
                  <w:tcBorders>
                    <w:tl2br w:val="nil"/>
                    <w:tr2bl w:val="nil"/>
                  </w:tcBorders>
                  <w:noWrap w:val="0"/>
                  <w:vAlign w:val="center"/>
                </w:tcPr>
                <w:p w14:paraId="0442DE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备注</w:t>
                  </w:r>
                </w:p>
              </w:tc>
            </w:tr>
            <w:tr w14:paraId="6622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tblHeader/>
                <w:jc w:val="center"/>
              </w:trPr>
              <w:tc>
                <w:tcPr>
                  <w:tcW w:w="334" w:type="pct"/>
                  <w:vMerge w:val="restart"/>
                  <w:tcBorders>
                    <w:tl2br w:val="nil"/>
                    <w:tr2bl w:val="nil"/>
                  </w:tcBorders>
                  <w:noWrap w:val="0"/>
                  <w:vAlign w:val="center"/>
                </w:tcPr>
                <w:p w14:paraId="678A8A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主体</w:t>
                  </w:r>
                </w:p>
                <w:p w14:paraId="74EBAF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w:t>
                  </w:r>
                </w:p>
              </w:tc>
              <w:tc>
                <w:tcPr>
                  <w:tcW w:w="638" w:type="pct"/>
                  <w:tcBorders>
                    <w:tl2br w:val="nil"/>
                    <w:tr2bl w:val="nil"/>
                  </w:tcBorders>
                  <w:noWrap w:val="0"/>
                  <w:vAlign w:val="center"/>
                </w:tcPr>
                <w:p w14:paraId="17BB7C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1#厂房</w:t>
                  </w:r>
                </w:p>
              </w:tc>
              <w:tc>
                <w:tcPr>
                  <w:tcW w:w="2360" w:type="pct"/>
                  <w:tcBorders>
                    <w:tl2br w:val="nil"/>
                    <w:tr2bl w:val="nil"/>
                  </w:tcBorders>
                  <w:noWrap w:val="0"/>
                  <w:vAlign w:val="center"/>
                </w:tcPr>
                <w:p w14:paraId="7E6773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位于厂区</w:t>
                  </w:r>
                  <w:r>
                    <w:rPr>
                      <w:rFonts w:hint="eastAsia" w:cs="Times New Roman"/>
                      <w:color w:val="auto"/>
                      <w:sz w:val="21"/>
                      <w:szCs w:val="21"/>
                      <w:highlight w:val="none"/>
                      <w:lang w:val="en-US" w:eastAsia="zh-CN"/>
                    </w:rPr>
                    <w:t>北侧（共1</w:t>
                  </w:r>
                  <w:r>
                    <w:rPr>
                      <w:rFonts w:hint="eastAsia" w:ascii="Times New Roman" w:hAnsi="Times New Roman" w:cs="Times New Roman"/>
                      <w:color w:val="auto"/>
                      <w:sz w:val="21"/>
                      <w:szCs w:val="21"/>
                      <w:highlight w:val="none"/>
                      <w:lang w:val="en-US" w:eastAsia="zh-CN"/>
                    </w:rPr>
                    <w:t>F</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，建筑面积</w:t>
                  </w:r>
                  <w:r>
                    <w:rPr>
                      <w:rFonts w:hint="eastAsia" w:cs="Times New Roman"/>
                      <w:color w:val="auto"/>
                      <w:sz w:val="21"/>
                      <w:szCs w:val="21"/>
                      <w:highlight w:val="none"/>
                      <w:lang w:val="en-US" w:eastAsia="zh-CN"/>
                    </w:rPr>
                    <w:t>1500</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r>
                    <w:rPr>
                      <w:rFonts w:hint="eastAsia" w:cs="Times New Roman"/>
                      <w:color w:val="auto"/>
                      <w:sz w:val="21"/>
                      <w:szCs w:val="21"/>
                      <w:highlight w:val="none"/>
                      <w:lang w:val="en-US" w:eastAsia="zh-CN"/>
                    </w:rPr>
                    <w:t>厂房高度</w:t>
                  </w:r>
                  <w:r>
                    <w:rPr>
                      <w:rFonts w:hint="eastAsia" w:ascii="Times New Roman" w:hAnsi="Times New Roman" w:cs="Times New Roman"/>
                      <w:color w:val="auto"/>
                      <w:sz w:val="21"/>
                      <w:szCs w:val="21"/>
                      <w:highlight w:val="none"/>
                      <w:lang w:val="en-US" w:eastAsia="zh-CN"/>
                    </w:rPr>
                    <w:t>约8m</w:t>
                  </w:r>
                  <w:r>
                    <w:rPr>
                      <w:rFonts w:hint="eastAsia" w:cs="Times New Roman"/>
                      <w:color w:val="auto"/>
                      <w:sz w:val="21"/>
                      <w:szCs w:val="21"/>
                      <w:highlight w:val="none"/>
                      <w:lang w:val="en-US" w:eastAsia="zh-CN"/>
                    </w:rPr>
                    <w:t>；1#厂房主要进行连帮鞋底生产，厂房内自西向东依次布设PU鞋底浇注区（PU浇注机）和修边区、密闭拌料间（建筑面积约30m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，搅拌罐）、PVC鞋底注塑区圆盘注塑机机）和修边区、破碎区（建筑面积约30m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r>
                    <w:rPr>
                      <w:rFonts w:hint="eastAsia" w:cs="Times New Roman"/>
                      <w:color w:val="auto"/>
                      <w:sz w:val="21"/>
                      <w:szCs w:val="21"/>
                      <w:highlight w:val="none"/>
                      <w:lang w:val="en-US" w:eastAsia="zh-CN"/>
                    </w:rPr>
                    <w:t>磨粉机）和一般固废暂存区，其中破碎区用于边角料、不合格品破碎磨粉后回用生产。</w:t>
                  </w:r>
                </w:p>
              </w:tc>
              <w:tc>
                <w:tcPr>
                  <w:tcW w:w="1139" w:type="pct"/>
                  <w:tcBorders>
                    <w:tl2br w:val="nil"/>
                    <w:tr2bl w:val="nil"/>
                  </w:tcBorders>
                  <w:noWrap w:val="0"/>
                  <w:vAlign w:val="center"/>
                </w:tcPr>
                <w:p w14:paraId="034CD1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outlineLvl w:val="9"/>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建成后可形成</w:t>
                  </w:r>
                  <w:r>
                    <w:rPr>
                      <w:rFonts w:hint="eastAsia"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条</w:t>
                  </w:r>
                  <w:r>
                    <w:rPr>
                      <w:rFonts w:hint="eastAsia" w:cs="Times New Roman"/>
                      <w:color w:val="auto"/>
                      <w:sz w:val="21"/>
                      <w:szCs w:val="21"/>
                      <w:highlight w:val="none"/>
                      <w:lang w:val="en-US" w:eastAsia="zh-CN"/>
                    </w:rPr>
                    <w:t>PVC连帮鞋</w:t>
                  </w:r>
                  <w:r>
                    <w:rPr>
                      <w:rFonts w:hint="eastAsia" w:ascii="Times New Roman" w:hAnsi="Times New Roman" w:cs="Times New Roman"/>
                      <w:color w:val="auto"/>
                      <w:sz w:val="21"/>
                      <w:szCs w:val="21"/>
                      <w:highlight w:val="none"/>
                      <w:lang w:val="en-US" w:eastAsia="zh-CN"/>
                    </w:rPr>
                    <w:t>生产线</w:t>
                  </w:r>
                  <w:r>
                    <w:rPr>
                      <w:rFonts w:hint="eastAsia" w:cs="Times New Roman"/>
                      <w:color w:val="auto"/>
                      <w:sz w:val="21"/>
                      <w:szCs w:val="21"/>
                      <w:highlight w:val="none"/>
                      <w:lang w:val="en-US" w:eastAsia="zh-CN"/>
                    </w:rPr>
                    <w:t>和1条PU连帮鞋生产线</w:t>
                  </w:r>
                  <w:r>
                    <w:rPr>
                      <w:rFonts w:hint="eastAsia" w:ascii="Times New Roman" w:hAnsi="Times New Roman" w:cs="Times New Roman"/>
                      <w:color w:val="auto"/>
                      <w:sz w:val="21"/>
                      <w:szCs w:val="21"/>
                      <w:highlight w:val="none"/>
                      <w:lang w:val="en-US" w:eastAsia="zh-CN"/>
                    </w:rPr>
                    <w:t>，实现年产</w:t>
                  </w:r>
                  <w:r>
                    <w:rPr>
                      <w:rFonts w:hint="eastAsia" w:cs="Times New Roman"/>
                      <w:color w:val="auto"/>
                      <w:sz w:val="21"/>
                      <w:szCs w:val="21"/>
                      <w:highlight w:val="none"/>
                      <w:lang w:val="en-US" w:eastAsia="zh-CN"/>
                    </w:rPr>
                    <w:t>75万双PVC连帮鞋和75万双PU连帮鞋</w:t>
                  </w:r>
                  <w:r>
                    <w:rPr>
                      <w:rFonts w:hint="eastAsia" w:ascii="Times New Roman" w:hAnsi="Times New Roman" w:cs="Times New Roman"/>
                      <w:color w:val="auto"/>
                      <w:sz w:val="21"/>
                      <w:szCs w:val="21"/>
                      <w:highlight w:val="none"/>
                      <w:lang w:val="en-US" w:eastAsia="zh-CN"/>
                    </w:rPr>
                    <w:t>的生产能力</w:t>
                  </w:r>
                </w:p>
              </w:tc>
              <w:tc>
                <w:tcPr>
                  <w:tcW w:w="527" w:type="pct"/>
                  <w:tcBorders>
                    <w:tl2br w:val="nil"/>
                    <w:tr2bl w:val="nil"/>
                  </w:tcBorders>
                  <w:noWrap w:val="0"/>
                  <w:vAlign w:val="center"/>
                </w:tcPr>
                <w:p w14:paraId="39B6AF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依托现有1#厂房</w:t>
                  </w:r>
                </w:p>
              </w:tc>
            </w:tr>
            <w:tr w14:paraId="4175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tblHeader/>
                <w:jc w:val="center"/>
              </w:trPr>
              <w:tc>
                <w:tcPr>
                  <w:tcW w:w="334" w:type="pct"/>
                  <w:vMerge w:val="continue"/>
                  <w:tcBorders>
                    <w:tl2br w:val="nil"/>
                    <w:tr2bl w:val="nil"/>
                  </w:tcBorders>
                  <w:noWrap w:val="0"/>
                  <w:vAlign w:val="center"/>
                </w:tcPr>
                <w:p w14:paraId="0B08F1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638" w:type="pct"/>
                  <w:tcBorders>
                    <w:tl2br w:val="nil"/>
                    <w:tr2bl w:val="nil"/>
                  </w:tcBorders>
                  <w:noWrap w:val="0"/>
                  <w:vAlign w:val="center"/>
                </w:tcPr>
                <w:p w14:paraId="340FE8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2#厂房</w:t>
                  </w:r>
                </w:p>
              </w:tc>
              <w:tc>
                <w:tcPr>
                  <w:tcW w:w="2360" w:type="pct"/>
                  <w:tcBorders>
                    <w:tl2br w:val="nil"/>
                    <w:tr2bl w:val="nil"/>
                  </w:tcBorders>
                  <w:noWrap w:val="0"/>
                  <w:vAlign w:val="center"/>
                </w:tcPr>
                <w:p w14:paraId="68B897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outlineLvl w:val="9"/>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位于厂区</w:t>
                  </w:r>
                  <w:r>
                    <w:rPr>
                      <w:rFonts w:hint="eastAsia" w:cs="Times New Roman"/>
                      <w:color w:val="auto"/>
                      <w:sz w:val="21"/>
                      <w:szCs w:val="21"/>
                      <w:highlight w:val="none"/>
                      <w:lang w:val="en-US" w:eastAsia="zh-CN"/>
                    </w:rPr>
                    <w:t>中部（共1</w:t>
                  </w:r>
                  <w:r>
                    <w:rPr>
                      <w:rFonts w:hint="eastAsia" w:ascii="Times New Roman" w:hAnsi="Times New Roman" w:cs="Times New Roman"/>
                      <w:color w:val="auto"/>
                      <w:sz w:val="21"/>
                      <w:szCs w:val="21"/>
                      <w:highlight w:val="none"/>
                      <w:lang w:val="en-US" w:eastAsia="zh-CN"/>
                    </w:rPr>
                    <w:t>F</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，建筑面积</w:t>
                  </w:r>
                  <w:r>
                    <w:rPr>
                      <w:rFonts w:hint="eastAsia" w:cs="Times New Roman"/>
                      <w:color w:val="auto"/>
                      <w:sz w:val="21"/>
                      <w:szCs w:val="21"/>
                      <w:highlight w:val="none"/>
                      <w:lang w:val="en-US" w:eastAsia="zh-CN"/>
                    </w:rPr>
                    <w:t>1500</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r>
                    <w:rPr>
                      <w:rFonts w:hint="eastAsia" w:cs="Times New Roman"/>
                      <w:color w:val="auto"/>
                      <w:sz w:val="21"/>
                      <w:szCs w:val="21"/>
                      <w:highlight w:val="none"/>
                      <w:lang w:val="en-US" w:eastAsia="zh-CN"/>
                    </w:rPr>
                    <w:t>厂房高度</w:t>
                  </w:r>
                  <w:r>
                    <w:rPr>
                      <w:rFonts w:hint="eastAsia" w:ascii="Times New Roman" w:hAnsi="Times New Roman" w:cs="Times New Roman"/>
                      <w:color w:val="auto"/>
                      <w:sz w:val="21"/>
                      <w:szCs w:val="21"/>
                      <w:highlight w:val="none"/>
                      <w:lang w:val="en-US" w:eastAsia="zh-CN"/>
                    </w:rPr>
                    <w:t>约8m</w:t>
                  </w:r>
                  <w:r>
                    <w:rPr>
                      <w:rFonts w:hint="eastAsia" w:cs="Times New Roman"/>
                      <w:color w:val="auto"/>
                      <w:sz w:val="21"/>
                      <w:szCs w:val="21"/>
                      <w:highlight w:val="none"/>
                      <w:lang w:val="en-US" w:eastAsia="zh-CN"/>
                    </w:rPr>
                    <w:t>；2#厂房主要进行服装生产和鞋面制作，厂房内自西向东依次布设服饰加工的缝纫间（内设密闭充绒间，建筑面积约50m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）和裁剪间、鞋帮面加工间。</w:t>
                  </w:r>
                </w:p>
              </w:tc>
              <w:tc>
                <w:tcPr>
                  <w:tcW w:w="1139" w:type="pct"/>
                  <w:tcBorders>
                    <w:tl2br w:val="nil"/>
                    <w:tr2bl w:val="nil"/>
                  </w:tcBorders>
                  <w:noWrap w:val="0"/>
                  <w:vAlign w:val="center"/>
                </w:tcPr>
                <w:p w14:paraId="28275A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outlineLvl w:val="9"/>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建成后可形成</w:t>
                  </w:r>
                  <w:r>
                    <w:rPr>
                      <w:rFonts w:hint="eastAsia" w:cs="Times New Roman"/>
                      <w:color w:val="auto"/>
                      <w:sz w:val="21"/>
                      <w:szCs w:val="21"/>
                      <w:highlight w:val="none"/>
                      <w:lang w:val="en-US" w:eastAsia="zh-CN"/>
                    </w:rPr>
                    <w:t>1条鞋帮面生产线，配套生产150万防静电无尘鞋鞋帮面；1</w:t>
                  </w:r>
                  <w:r>
                    <w:rPr>
                      <w:rFonts w:hint="eastAsia" w:ascii="Times New Roman" w:hAnsi="Times New Roman" w:cs="Times New Roman"/>
                      <w:color w:val="auto"/>
                      <w:sz w:val="21"/>
                      <w:szCs w:val="21"/>
                      <w:highlight w:val="none"/>
                      <w:lang w:val="en-US" w:eastAsia="zh-CN"/>
                    </w:rPr>
                    <w:t>条</w:t>
                  </w:r>
                  <w:r>
                    <w:rPr>
                      <w:rFonts w:hint="eastAsia" w:cs="Times New Roman"/>
                      <w:color w:val="auto"/>
                      <w:sz w:val="21"/>
                      <w:szCs w:val="21"/>
                      <w:highlight w:val="none"/>
                      <w:lang w:val="en-US" w:eastAsia="zh-CN"/>
                    </w:rPr>
                    <w:t>防静电无尘服、棉服羽绒服生产线（共用）</w:t>
                  </w:r>
                  <w:r>
                    <w:rPr>
                      <w:rFonts w:hint="eastAsia" w:ascii="Times New Roman" w:hAnsi="Times New Roman" w:cs="Times New Roman"/>
                      <w:color w:val="auto"/>
                      <w:sz w:val="21"/>
                      <w:szCs w:val="21"/>
                      <w:highlight w:val="none"/>
                      <w:lang w:val="en-US" w:eastAsia="zh-CN"/>
                    </w:rPr>
                    <w:t>，实现年产</w:t>
                  </w:r>
                  <w:r>
                    <w:rPr>
                      <w:rFonts w:hint="eastAsia" w:cs="Times New Roman"/>
                      <w:color w:val="auto"/>
                      <w:sz w:val="21"/>
                      <w:szCs w:val="21"/>
                      <w:highlight w:val="none"/>
                      <w:lang w:val="en-US" w:eastAsia="zh-CN"/>
                    </w:rPr>
                    <w:t>150万套防静电无尘服、25万套棉服和25套羽绒服</w:t>
                  </w:r>
                  <w:r>
                    <w:rPr>
                      <w:rFonts w:hint="eastAsia" w:ascii="Times New Roman" w:hAnsi="Times New Roman" w:cs="Times New Roman"/>
                      <w:color w:val="auto"/>
                      <w:sz w:val="21"/>
                      <w:szCs w:val="21"/>
                      <w:highlight w:val="none"/>
                      <w:lang w:val="en-US" w:eastAsia="zh-CN"/>
                    </w:rPr>
                    <w:t>的生产能力</w:t>
                  </w:r>
                </w:p>
              </w:tc>
              <w:tc>
                <w:tcPr>
                  <w:tcW w:w="527" w:type="pct"/>
                  <w:tcBorders>
                    <w:tl2br w:val="nil"/>
                    <w:tr2bl w:val="nil"/>
                  </w:tcBorders>
                  <w:noWrap w:val="0"/>
                  <w:vAlign w:val="center"/>
                </w:tcPr>
                <w:p w14:paraId="77C626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依托现有2#厂房</w:t>
                  </w:r>
                </w:p>
              </w:tc>
            </w:tr>
            <w:tr w14:paraId="413F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tblHeader/>
                <w:jc w:val="center"/>
              </w:trPr>
              <w:tc>
                <w:tcPr>
                  <w:tcW w:w="334" w:type="pct"/>
                  <w:vMerge w:val="restart"/>
                  <w:tcBorders>
                    <w:tl2br w:val="nil"/>
                    <w:tr2bl w:val="nil"/>
                  </w:tcBorders>
                  <w:noWrap w:val="0"/>
                  <w:vAlign w:val="center"/>
                </w:tcPr>
                <w:p w14:paraId="624B29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辅助</w:t>
                  </w:r>
                </w:p>
                <w:p w14:paraId="18DED4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w:t>
                  </w:r>
                </w:p>
              </w:tc>
              <w:tc>
                <w:tcPr>
                  <w:tcW w:w="638" w:type="pct"/>
                  <w:tcBorders>
                    <w:tl2br w:val="nil"/>
                    <w:tr2bl w:val="nil"/>
                  </w:tcBorders>
                  <w:shd w:val="clear" w:color="auto" w:fill="auto"/>
                  <w:noWrap w:val="0"/>
                  <w:vAlign w:val="center"/>
                </w:tcPr>
                <w:p w14:paraId="30C864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门卫</w:t>
                  </w:r>
                </w:p>
              </w:tc>
              <w:tc>
                <w:tcPr>
                  <w:tcW w:w="3500" w:type="pct"/>
                  <w:gridSpan w:val="2"/>
                  <w:tcBorders>
                    <w:tl2br w:val="nil"/>
                    <w:tr2bl w:val="nil"/>
                  </w:tcBorders>
                  <w:shd w:val="clear" w:color="auto" w:fill="auto"/>
                  <w:noWrap w:val="0"/>
                  <w:vAlign w:val="center"/>
                </w:tcPr>
                <w:p w14:paraId="4F7957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位于厂区北侧，建筑面积约20m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p>
              </w:tc>
              <w:tc>
                <w:tcPr>
                  <w:tcW w:w="527" w:type="pct"/>
                  <w:tcBorders>
                    <w:tl2br w:val="nil"/>
                    <w:tr2bl w:val="nil"/>
                  </w:tcBorders>
                  <w:noWrap w:val="0"/>
                  <w:vAlign w:val="center"/>
                </w:tcPr>
                <w:p w14:paraId="7EE09F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依托现有</w:t>
                  </w:r>
                </w:p>
              </w:tc>
            </w:tr>
            <w:tr w14:paraId="429A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tblHeader/>
                <w:jc w:val="center"/>
              </w:trPr>
              <w:tc>
                <w:tcPr>
                  <w:tcW w:w="334" w:type="pct"/>
                  <w:vMerge w:val="continue"/>
                  <w:tcBorders>
                    <w:tl2br w:val="nil"/>
                    <w:tr2bl w:val="nil"/>
                  </w:tcBorders>
                  <w:noWrap w:val="0"/>
                  <w:vAlign w:val="center"/>
                </w:tcPr>
                <w:p w14:paraId="63880A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638" w:type="pct"/>
                  <w:tcBorders>
                    <w:tl2br w:val="nil"/>
                    <w:tr2bl w:val="nil"/>
                  </w:tcBorders>
                  <w:shd w:val="clear" w:color="auto" w:fill="auto"/>
                  <w:noWrap w:val="0"/>
                  <w:vAlign w:val="center"/>
                </w:tcPr>
                <w:p w14:paraId="01BF16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办公楼</w:t>
                  </w:r>
                </w:p>
              </w:tc>
              <w:tc>
                <w:tcPr>
                  <w:tcW w:w="3500" w:type="pct"/>
                  <w:gridSpan w:val="2"/>
                  <w:tcBorders>
                    <w:tl2br w:val="nil"/>
                    <w:tr2bl w:val="nil"/>
                  </w:tcBorders>
                  <w:shd w:val="clear" w:color="auto" w:fill="auto"/>
                  <w:noWrap w:val="0"/>
                  <w:vAlign w:val="center"/>
                </w:tcPr>
                <w:p w14:paraId="6EAD7D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位于厂区西南角（共1F），建筑面积约425m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，主要用于人员办公。</w:t>
                  </w:r>
                </w:p>
              </w:tc>
              <w:tc>
                <w:tcPr>
                  <w:tcW w:w="527" w:type="pct"/>
                  <w:tcBorders>
                    <w:tl2br w:val="nil"/>
                    <w:tr2bl w:val="nil"/>
                  </w:tcBorders>
                  <w:noWrap w:val="0"/>
                  <w:vAlign w:val="center"/>
                </w:tcPr>
                <w:p w14:paraId="559D0A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依托现有</w:t>
                  </w:r>
                </w:p>
              </w:tc>
            </w:tr>
            <w:tr w14:paraId="0238A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tblHeader/>
                <w:jc w:val="center"/>
              </w:trPr>
              <w:tc>
                <w:tcPr>
                  <w:tcW w:w="334" w:type="pct"/>
                  <w:vMerge w:val="continue"/>
                  <w:tcBorders>
                    <w:tl2br w:val="nil"/>
                    <w:tr2bl w:val="nil"/>
                  </w:tcBorders>
                  <w:noWrap w:val="0"/>
                  <w:vAlign w:val="center"/>
                </w:tcPr>
                <w:p w14:paraId="0948E0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638" w:type="pct"/>
                  <w:tcBorders>
                    <w:tl2br w:val="nil"/>
                    <w:tr2bl w:val="nil"/>
                  </w:tcBorders>
                  <w:noWrap w:val="0"/>
                  <w:vAlign w:val="center"/>
                </w:tcPr>
                <w:p w14:paraId="0296CE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食堂</w:t>
                  </w:r>
                </w:p>
              </w:tc>
              <w:tc>
                <w:tcPr>
                  <w:tcW w:w="3500" w:type="pct"/>
                  <w:gridSpan w:val="2"/>
                  <w:tcBorders>
                    <w:tl2br w:val="nil"/>
                    <w:tr2bl w:val="nil"/>
                  </w:tcBorders>
                  <w:noWrap w:val="0"/>
                  <w:vAlign w:val="center"/>
                </w:tcPr>
                <w:p w14:paraId="3D92F4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位于厂区西南角（共1F），建筑面积约450m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，主要用于人员午餐供应</w:t>
                  </w:r>
                </w:p>
              </w:tc>
              <w:tc>
                <w:tcPr>
                  <w:tcW w:w="527" w:type="pct"/>
                  <w:tcBorders>
                    <w:tl2br w:val="nil"/>
                    <w:tr2bl w:val="nil"/>
                  </w:tcBorders>
                  <w:noWrap w:val="0"/>
                  <w:vAlign w:val="center"/>
                </w:tcPr>
                <w:p w14:paraId="2F8F7C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依托现有</w:t>
                  </w:r>
                </w:p>
              </w:tc>
            </w:tr>
            <w:tr w14:paraId="209B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tblHeader/>
                <w:jc w:val="center"/>
              </w:trPr>
              <w:tc>
                <w:tcPr>
                  <w:tcW w:w="334" w:type="pct"/>
                  <w:vMerge w:val="continue"/>
                  <w:tcBorders>
                    <w:tl2br w:val="nil"/>
                    <w:tr2bl w:val="nil"/>
                  </w:tcBorders>
                  <w:noWrap w:val="0"/>
                  <w:vAlign w:val="center"/>
                </w:tcPr>
                <w:p w14:paraId="5606F2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638" w:type="pct"/>
                  <w:tcBorders>
                    <w:tl2br w:val="nil"/>
                    <w:tr2bl w:val="nil"/>
                  </w:tcBorders>
                  <w:noWrap w:val="0"/>
                  <w:vAlign w:val="center"/>
                </w:tcPr>
                <w:p w14:paraId="5FF615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配电房</w:t>
                  </w:r>
                </w:p>
              </w:tc>
              <w:tc>
                <w:tcPr>
                  <w:tcW w:w="3500" w:type="pct"/>
                  <w:gridSpan w:val="2"/>
                  <w:tcBorders>
                    <w:tl2br w:val="nil"/>
                    <w:tr2bl w:val="nil"/>
                  </w:tcBorders>
                  <w:noWrap w:val="0"/>
                  <w:vAlign w:val="center"/>
                </w:tcPr>
                <w:p w14:paraId="0009B8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outlineLvl w:val="9"/>
                    <w:rPr>
                      <w:rFonts w:hint="default"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位于厂房西北角，建筑面积约30m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，用于厂区生活、生产供电</w:t>
                  </w:r>
                </w:p>
              </w:tc>
              <w:tc>
                <w:tcPr>
                  <w:tcW w:w="527" w:type="pct"/>
                  <w:tcBorders>
                    <w:tl2br w:val="nil"/>
                    <w:tr2bl w:val="nil"/>
                  </w:tcBorders>
                  <w:noWrap w:val="0"/>
                  <w:vAlign w:val="center"/>
                </w:tcPr>
                <w:p w14:paraId="71BFD5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依托现有</w:t>
                  </w:r>
                </w:p>
              </w:tc>
            </w:tr>
            <w:tr w14:paraId="629E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77" w:hRule="atLeast"/>
                <w:tblHeader/>
                <w:jc w:val="center"/>
              </w:trPr>
              <w:tc>
                <w:tcPr>
                  <w:tcW w:w="334" w:type="pct"/>
                  <w:vMerge w:val="restart"/>
                  <w:tcBorders>
                    <w:tl2br w:val="nil"/>
                    <w:tr2bl w:val="nil"/>
                  </w:tcBorders>
                  <w:noWrap w:val="0"/>
                  <w:vAlign w:val="center"/>
                </w:tcPr>
                <w:p w14:paraId="2F66CB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储运</w:t>
                  </w:r>
                </w:p>
                <w:p w14:paraId="175438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工程</w:t>
                  </w:r>
                </w:p>
              </w:tc>
              <w:tc>
                <w:tcPr>
                  <w:tcW w:w="638" w:type="pct"/>
                  <w:tcBorders>
                    <w:tl2br w:val="nil"/>
                    <w:tr2bl w:val="nil"/>
                  </w:tcBorders>
                  <w:noWrap w:val="0"/>
                  <w:vAlign w:val="center"/>
                </w:tcPr>
                <w:p w14:paraId="4EB9D7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原料库</w:t>
                  </w:r>
                </w:p>
              </w:tc>
              <w:tc>
                <w:tcPr>
                  <w:tcW w:w="3500" w:type="pct"/>
                  <w:gridSpan w:val="2"/>
                  <w:tcBorders>
                    <w:tl2br w:val="nil"/>
                    <w:tr2bl w:val="nil"/>
                  </w:tcBorders>
                  <w:noWrap w:val="0"/>
                  <w:vAlign w:val="center"/>
                </w:tcPr>
                <w:p w14:paraId="7BE0A6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厂区3#厂房西侧设置为原料库，建筑面积约550m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，用于储存项目所用的粉料PVC树脂粉、碳酸钙、PVC皮革和布料等原料（除DOP、聚氨酯原液外）。</w:t>
                  </w:r>
                </w:p>
              </w:tc>
              <w:tc>
                <w:tcPr>
                  <w:tcW w:w="527" w:type="pct"/>
                  <w:tcBorders>
                    <w:tl2br w:val="nil"/>
                    <w:tr2bl w:val="nil"/>
                  </w:tcBorders>
                  <w:noWrap w:val="0"/>
                  <w:vAlign w:val="center"/>
                </w:tcPr>
                <w:p w14:paraId="6860CF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依托现有3#厂房</w:t>
                  </w:r>
                </w:p>
              </w:tc>
            </w:tr>
            <w:tr w14:paraId="38F0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77" w:hRule="atLeast"/>
                <w:tblHeader/>
                <w:jc w:val="center"/>
              </w:trPr>
              <w:tc>
                <w:tcPr>
                  <w:tcW w:w="334" w:type="pct"/>
                  <w:vMerge w:val="continue"/>
                  <w:tcBorders>
                    <w:tl2br w:val="nil"/>
                    <w:tr2bl w:val="nil"/>
                  </w:tcBorders>
                  <w:noWrap w:val="0"/>
                  <w:vAlign w:val="center"/>
                </w:tcPr>
                <w:p w14:paraId="2FA448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eastAsia="zh-CN"/>
                    </w:rPr>
                  </w:pPr>
                </w:p>
              </w:tc>
              <w:tc>
                <w:tcPr>
                  <w:tcW w:w="638" w:type="pct"/>
                  <w:tcBorders>
                    <w:tl2br w:val="nil"/>
                    <w:tr2bl w:val="nil"/>
                  </w:tcBorders>
                  <w:noWrap w:val="0"/>
                  <w:vAlign w:val="center"/>
                </w:tcPr>
                <w:p w14:paraId="4D1C3E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化学品库</w:t>
                  </w:r>
                </w:p>
              </w:tc>
              <w:tc>
                <w:tcPr>
                  <w:tcW w:w="3500" w:type="pct"/>
                  <w:gridSpan w:val="2"/>
                  <w:tcBorders>
                    <w:tl2br w:val="nil"/>
                    <w:tr2bl w:val="nil"/>
                  </w:tcBorders>
                  <w:shd w:val="clear" w:color="auto" w:fill="auto"/>
                  <w:noWrap w:val="0"/>
                  <w:vAlign w:val="center"/>
                </w:tcPr>
                <w:p w14:paraId="10B75E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厂区3#厂房中间设置为化学品库，建筑面积约250m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，用于储存项目所用的液态物料DOP和聚氨酯原液。</w:t>
                  </w:r>
                </w:p>
              </w:tc>
              <w:tc>
                <w:tcPr>
                  <w:tcW w:w="527" w:type="pct"/>
                  <w:tcBorders>
                    <w:tl2br w:val="nil"/>
                    <w:tr2bl w:val="nil"/>
                  </w:tcBorders>
                  <w:shd w:val="clear" w:color="auto" w:fill="auto"/>
                  <w:noWrap w:val="0"/>
                  <w:vAlign w:val="center"/>
                </w:tcPr>
                <w:p w14:paraId="3A56F2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依托现有3#厂房</w:t>
                  </w:r>
                </w:p>
              </w:tc>
            </w:tr>
            <w:tr w14:paraId="4C6C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tblHeader/>
                <w:jc w:val="center"/>
              </w:trPr>
              <w:tc>
                <w:tcPr>
                  <w:tcW w:w="334" w:type="pct"/>
                  <w:vMerge w:val="continue"/>
                  <w:tcBorders>
                    <w:tl2br w:val="nil"/>
                    <w:tr2bl w:val="nil"/>
                  </w:tcBorders>
                  <w:noWrap w:val="0"/>
                  <w:vAlign w:val="center"/>
                </w:tcPr>
                <w:p w14:paraId="69A38E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638" w:type="pct"/>
                  <w:tcBorders>
                    <w:tl2br w:val="nil"/>
                    <w:tr2bl w:val="nil"/>
                  </w:tcBorders>
                  <w:noWrap w:val="0"/>
                  <w:vAlign w:val="center"/>
                </w:tcPr>
                <w:p w14:paraId="6A3BED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成品库</w:t>
                  </w:r>
                </w:p>
              </w:tc>
              <w:tc>
                <w:tcPr>
                  <w:tcW w:w="3500" w:type="pct"/>
                  <w:gridSpan w:val="2"/>
                  <w:tcBorders>
                    <w:tl2br w:val="nil"/>
                    <w:tr2bl w:val="nil"/>
                  </w:tcBorders>
                  <w:noWrap w:val="0"/>
                  <w:vAlign w:val="center"/>
                </w:tcPr>
                <w:p w14:paraId="79F56D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厂区3#厂房东侧设置为成品库，建筑面积约750m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，用于储存项目产品防静电无尘鞋、防静电无尘服和棉服羽绒服</w:t>
                  </w:r>
                  <w:r>
                    <w:rPr>
                      <w:rFonts w:hint="eastAsia" w:cs="Times New Roman"/>
                      <w:color w:val="auto"/>
                      <w:sz w:val="21"/>
                      <w:szCs w:val="21"/>
                      <w:highlight w:val="none"/>
                      <w:vertAlign w:val="baseline"/>
                      <w:lang w:val="en-US" w:eastAsia="zh-CN"/>
                    </w:rPr>
                    <w:t>。</w:t>
                  </w:r>
                </w:p>
              </w:tc>
              <w:tc>
                <w:tcPr>
                  <w:tcW w:w="527" w:type="pct"/>
                  <w:tcBorders>
                    <w:tl2br w:val="nil"/>
                    <w:tr2bl w:val="nil"/>
                  </w:tcBorders>
                  <w:noWrap w:val="0"/>
                  <w:vAlign w:val="center"/>
                </w:tcPr>
                <w:p w14:paraId="317DD3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依托现有3#厂房</w:t>
                  </w:r>
                </w:p>
              </w:tc>
            </w:tr>
            <w:tr w14:paraId="2A3E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0" w:hRule="atLeast"/>
                <w:tblHeader/>
                <w:jc w:val="center"/>
              </w:trPr>
              <w:tc>
                <w:tcPr>
                  <w:tcW w:w="334" w:type="pct"/>
                  <w:vMerge w:val="restart"/>
                  <w:tcBorders>
                    <w:tl2br w:val="nil"/>
                    <w:tr2bl w:val="nil"/>
                  </w:tcBorders>
                  <w:noWrap w:val="0"/>
                  <w:vAlign w:val="center"/>
                </w:tcPr>
                <w:p w14:paraId="016C1C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公用</w:t>
                  </w:r>
                </w:p>
                <w:p w14:paraId="4664B2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w:t>
                  </w:r>
                </w:p>
              </w:tc>
              <w:tc>
                <w:tcPr>
                  <w:tcW w:w="638" w:type="pct"/>
                  <w:tcBorders>
                    <w:tl2br w:val="nil"/>
                    <w:tr2bl w:val="nil"/>
                  </w:tcBorders>
                  <w:noWrap w:val="0"/>
                  <w:vAlign w:val="center"/>
                </w:tcPr>
                <w:p w14:paraId="1785BF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供电</w:t>
                  </w:r>
                </w:p>
              </w:tc>
              <w:tc>
                <w:tcPr>
                  <w:tcW w:w="3500" w:type="pct"/>
                  <w:gridSpan w:val="2"/>
                  <w:tcBorders>
                    <w:tl2br w:val="nil"/>
                    <w:tr2bl w:val="nil"/>
                  </w:tcBorders>
                  <w:noWrap w:val="0"/>
                  <w:vAlign w:val="center"/>
                </w:tcPr>
                <w:p w14:paraId="65F74A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由</w:t>
                  </w:r>
                  <w:r>
                    <w:rPr>
                      <w:rFonts w:hint="eastAsia" w:cs="Times New Roman"/>
                      <w:color w:val="auto"/>
                      <w:sz w:val="21"/>
                      <w:szCs w:val="21"/>
                      <w:highlight w:val="none"/>
                      <w:lang w:val="en-US" w:eastAsia="zh-CN"/>
                    </w:rPr>
                    <w:t>五河县经开区</w:t>
                  </w:r>
                  <w:r>
                    <w:rPr>
                      <w:rFonts w:hint="default" w:ascii="Times New Roman" w:hAnsi="Times New Roman" w:cs="Times New Roman"/>
                      <w:color w:val="auto"/>
                      <w:sz w:val="21"/>
                      <w:szCs w:val="21"/>
                      <w:highlight w:val="none"/>
                    </w:rPr>
                    <w:t>供电线路接入</w:t>
                  </w:r>
                  <w:r>
                    <w:rPr>
                      <w:rFonts w:hint="eastAsia" w:cs="Times New Roman"/>
                      <w:color w:val="auto"/>
                      <w:sz w:val="21"/>
                      <w:szCs w:val="21"/>
                      <w:highlight w:val="none"/>
                      <w:lang w:val="en-US" w:eastAsia="zh-CN"/>
                    </w:rPr>
                    <w:t>配电房</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年用电量约</w:t>
                  </w:r>
                  <w:r>
                    <w:rPr>
                      <w:rFonts w:hint="eastAsia" w:cs="Times New Roman"/>
                      <w:color w:val="auto"/>
                      <w:sz w:val="21"/>
                      <w:szCs w:val="21"/>
                      <w:highlight w:val="none"/>
                      <w:lang w:val="en-US" w:eastAsia="zh-CN"/>
                    </w:rPr>
                    <w:t>50</w:t>
                  </w:r>
                  <w:r>
                    <w:rPr>
                      <w:rFonts w:hint="default" w:ascii="Times New Roman" w:hAnsi="Times New Roman" w:cs="Times New Roman"/>
                      <w:color w:val="auto"/>
                      <w:sz w:val="21"/>
                      <w:szCs w:val="21"/>
                      <w:highlight w:val="none"/>
                    </w:rPr>
                    <w:t>万kw</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h</w:t>
                  </w:r>
                  <w:r>
                    <w:rPr>
                      <w:rFonts w:hint="eastAsia" w:cs="Times New Roman"/>
                      <w:color w:val="auto"/>
                      <w:sz w:val="21"/>
                      <w:szCs w:val="21"/>
                      <w:highlight w:val="none"/>
                      <w:lang w:eastAsia="zh-CN"/>
                    </w:rPr>
                    <w:t>。</w:t>
                  </w:r>
                </w:p>
              </w:tc>
              <w:tc>
                <w:tcPr>
                  <w:tcW w:w="527" w:type="pct"/>
                  <w:tcBorders>
                    <w:tl2br w:val="nil"/>
                    <w:tr2bl w:val="nil"/>
                  </w:tcBorders>
                  <w:noWrap w:val="0"/>
                  <w:vAlign w:val="center"/>
                </w:tcPr>
                <w:p w14:paraId="1DBABD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7F66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54" w:hRule="atLeast"/>
                <w:tblHeader/>
                <w:jc w:val="center"/>
              </w:trPr>
              <w:tc>
                <w:tcPr>
                  <w:tcW w:w="334" w:type="pct"/>
                  <w:vMerge w:val="continue"/>
                  <w:tcBorders>
                    <w:tl2br w:val="nil"/>
                    <w:tr2bl w:val="nil"/>
                  </w:tcBorders>
                  <w:noWrap w:val="0"/>
                  <w:vAlign w:val="center"/>
                </w:tcPr>
                <w:p w14:paraId="7EBBB7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eastAsia="zh-CN"/>
                    </w:rPr>
                  </w:pPr>
                </w:p>
              </w:tc>
              <w:tc>
                <w:tcPr>
                  <w:tcW w:w="638" w:type="pct"/>
                  <w:tcBorders>
                    <w:tl2br w:val="nil"/>
                    <w:tr2bl w:val="nil"/>
                  </w:tcBorders>
                  <w:noWrap w:val="0"/>
                  <w:vAlign w:val="center"/>
                </w:tcPr>
                <w:p w14:paraId="79AA00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供水</w:t>
                  </w:r>
                </w:p>
              </w:tc>
              <w:tc>
                <w:tcPr>
                  <w:tcW w:w="3500" w:type="pct"/>
                  <w:gridSpan w:val="2"/>
                  <w:tcBorders>
                    <w:tl2br w:val="nil"/>
                    <w:tr2bl w:val="nil"/>
                  </w:tcBorders>
                  <w:noWrap w:val="0"/>
                  <w:vAlign w:val="center"/>
                </w:tcPr>
                <w:p w14:paraId="7EDB56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由</w:t>
                  </w:r>
                  <w:r>
                    <w:rPr>
                      <w:rFonts w:hint="eastAsia" w:cs="Times New Roman"/>
                      <w:color w:val="auto"/>
                      <w:sz w:val="21"/>
                      <w:szCs w:val="21"/>
                      <w:highlight w:val="none"/>
                      <w:lang w:val="en-US" w:eastAsia="zh-CN"/>
                    </w:rPr>
                    <w:t>五河县经开区</w:t>
                  </w:r>
                  <w:r>
                    <w:rPr>
                      <w:rFonts w:hint="default" w:ascii="Times New Roman" w:hAnsi="Times New Roman" w:cs="Times New Roman"/>
                      <w:color w:val="auto"/>
                      <w:sz w:val="21"/>
                      <w:szCs w:val="21"/>
                      <w:highlight w:val="none"/>
                    </w:rPr>
                    <w:t>自来水管网接入，项目用水主要</w:t>
                  </w:r>
                  <w:r>
                    <w:rPr>
                      <w:rFonts w:hint="eastAsia" w:cs="Times New Roman"/>
                      <w:color w:val="auto"/>
                      <w:sz w:val="21"/>
                      <w:szCs w:val="21"/>
                      <w:highlight w:val="none"/>
                      <w:lang w:val="en-US" w:eastAsia="zh-CN"/>
                    </w:rPr>
                    <w:t>为</w:t>
                  </w:r>
                  <w:r>
                    <w:rPr>
                      <w:rFonts w:hint="default" w:ascii="Times New Roman" w:hAnsi="Times New Roman" w:cs="Times New Roman"/>
                      <w:color w:val="auto"/>
                      <w:sz w:val="21"/>
                      <w:szCs w:val="21"/>
                      <w:highlight w:val="none"/>
                    </w:rPr>
                    <w:t>职工生活用水</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食堂用水</w:t>
                  </w:r>
                  <w:r>
                    <w:rPr>
                      <w:rFonts w:hint="eastAsia" w:cs="Times New Roman"/>
                      <w:color w:val="auto"/>
                      <w:sz w:val="21"/>
                      <w:szCs w:val="21"/>
                      <w:highlight w:val="none"/>
                      <w:lang w:val="en-US" w:eastAsia="zh-CN"/>
                    </w:rPr>
                    <w:t>，用水量为1032.4m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/a。</w:t>
                  </w:r>
                </w:p>
              </w:tc>
              <w:tc>
                <w:tcPr>
                  <w:tcW w:w="527" w:type="pct"/>
                  <w:tcBorders>
                    <w:tl2br w:val="nil"/>
                    <w:tr2bl w:val="nil"/>
                  </w:tcBorders>
                  <w:noWrap w:val="0"/>
                  <w:vAlign w:val="center"/>
                </w:tcPr>
                <w:p w14:paraId="2DABAE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62D4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tblHeader/>
                <w:jc w:val="center"/>
              </w:trPr>
              <w:tc>
                <w:tcPr>
                  <w:tcW w:w="334" w:type="pct"/>
                  <w:vMerge w:val="continue"/>
                  <w:tcBorders>
                    <w:tl2br w:val="nil"/>
                    <w:tr2bl w:val="nil"/>
                  </w:tcBorders>
                  <w:noWrap w:val="0"/>
                  <w:vAlign w:val="center"/>
                </w:tcPr>
                <w:p w14:paraId="48834A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638" w:type="pct"/>
                  <w:tcBorders>
                    <w:tl2br w:val="nil"/>
                    <w:tr2bl w:val="nil"/>
                  </w:tcBorders>
                  <w:noWrap w:val="0"/>
                  <w:vAlign w:val="center"/>
                </w:tcPr>
                <w:p w14:paraId="20C01A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排水</w:t>
                  </w:r>
                </w:p>
              </w:tc>
              <w:tc>
                <w:tcPr>
                  <w:tcW w:w="3500" w:type="pct"/>
                  <w:gridSpan w:val="2"/>
                  <w:tcBorders>
                    <w:tl2br w:val="nil"/>
                    <w:tr2bl w:val="nil"/>
                  </w:tcBorders>
                  <w:noWrap w:val="0"/>
                  <w:vAlign w:val="center"/>
                </w:tcPr>
                <w:p w14:paraId="74557D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采取雨污分流制，雨水排入雨水管网；项目食堂废水经</w:t>
                  </w:r>
                  <w:r>
                    <w:rPr>
                      <w:rFonts w:hint="eastAsia" w:cs="Times New Roman"/>
                      <w:color w:val="auto"/>
                      <w:sz w:val="21"/>
                      <w:szCs w:val="21"/>
                      <w:highlight w:val="none"/>
                      <w:lang w:val="en-US" w:eastAsia="zh-CN"/>
                    </w:rPr>
                    <w:t>隔油池、生活污水经化粪池处理后，和地坪保洁废水、循环冷却排水一并经</w:t>
                  </w:r>
                  <w:r>
                    <w:rPr>
                      <w:rFonts w:hint="eastAsia" w:ascii="Times New Roman" w:hAnsi="Times New Roman" w:eastAsia="宋体" w:cs="Times New Roman"/>
                      <w:color w:val="auto"/>
                      <w:sz w:val="21"/>
                      <w:szCs w:val="21"/>
                      <w:highlight w:val="none"/>
                      <w:lang w:val="en-US" w:eastAsia="zh-CN"/>
                    </w:rPr>
                    <w:t>市政污水管网排入</w:t>
                  </w:r>
                  <w:r>
                    <w:rPr>
                      <w:rFonts w:hint="eastAsia" w:cs="Times New Roman"/>
                      <w:color w:val="auto"/>
                      <w:sz w:val="21"/>
                      <w:szCs w:val="21"/>
                      <w:highlight w:val="none"/>
                      <w:lang w:val="en-US" w:eastAsia="zh-CN"/>
                    </w:rPr>
                    <w:t>五河县</w:t>
                  </w:r>
                  <w:r>
                    <w:rPr>
                      <w:rFonts w:hint="eastAsia" w:ascii="Times New Roman" w:hAnsi="Times New Roman" w:eastAsia="宋体" w:cs="Times New Roman"/>
                      <w:color w:val="auto"/>
                      <w:sz w:val="21"/>
                      <w:szCs w:val="21"/>
                      <w:highlight w:val="none"/>
                      <w:lang w:val="en-US" w:eastAsia="zh-CN"/>
                    </w:rPr>
                    <w:t>城</w:t>
                  </w:r>
                  <w:r>
                    <w:rPr>
                      <w:rFonts w:hint="eastAsia" w:cs="Times New Roman"/>
                      <w:color w:val="auto"/>
                      <w:sz w:val="21"/>
                      <w:szCs w:val="21"/>
                      <w:highlight w:val="none"/>
                      <w:lang w:val="en-US" w:eastAsia="zh-CN"/>
                    </w:rPr>
                    <w:t>南</w:t>
                  </w:r>
                  <w:r>
                    <w:rPr>
                      <w:rFonts w:hint="eastAsia" w:ascii="Times New Roman" w:hAnsi="Times New Roman" w:eastAsia="宋体" w:cs="Times New Roman"/>
                      <w:color w:val="auto"/>
                      <w:sz w:val="21"/>
                      <w:szCs w:val="21"/>
                      <w:highlight w:val="none"/>
                      <w:lang w:val="en-US" w:eastAsia="zh-CN"/>
                    </w:rPr>
                    <w:t>污水处理厂</w:t>
                  </w:r>
                  <w:r>
                    <w:rPr>
                      <w:rFonts w:hint="eastAsia" w:cs="Times New Roman"/>
                      <w:color w:val="auto"/>
                      <w:sz w:val="21"/>
                      <w:szCs w:val="21"/>
                      <w:highlight w:val="none"/>
                      <w:lang w:val="en-US" w:eastAsia="zh-CN"/>
                    </w:rPr>
                    <w:t>深度处理</w:t>
                  </w:r>
                  <w:r>
                    <w:rPr>
                      <w:rFonts w:hint="eastAsia" w:ascii="Times New Roman" w:hAnsi="Times New Roman" w:eastAsia="宋体" w:cs="Times New Roman"/>
                      <w:color w:val="auto"/>
                      <w:sz w:val="21"/>
                      <w:szCs w:val="21"/>
                      <w:highlight w:val="none"/>
                      <w:lang w:val="en-US" w:eastAsia="zh-CN"/>
                    </w:rPr>
                    <w:t>。</w:t>
                  </w:r>
                </w:p>
              </w:tc>
              <w:tc>
                <w:tcPr>
                  <w:tcW w:w="527" w:type="pct"/>
                  <w:tcBorders>
                    <w:tl2br w:val="nil"/>
                    <w:tr2bl w:val="nil"/>
                  </w:tcBorders>
                  <w:noWrap w:val="0"/>
                  <w:vAlign w:val="center"/>
                </w:tcPr>
                <w:p w14:paraId="6AA201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依托现有雨污管网</w:t>
                  </w:r>
                </w:p>
              </w:tc>
            </w:tr>
            <w:tr w14:paraId="7E77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395" w:hRule="atLeast"/>
                <w:tblHeader/>
                <w:jc w:val="center"/>
              </w:trPr>
              <w:tc>
                <w:tcPr>
                  <w:tcW w:w="334" w:type="pct"/>
                  <w:vMerge w:val="restart"/>
                  <w:tcBorders>
                    <w:tl2br w:val="nil"/>
                    <w:tr2bl w:val="nil"/>
                  </w:tcBorders>
                  <w:noWrap w:val="0"/>
                  <w:vAlign w:val="center"/>
                </w:tcPr>
                <w:p w14:paraId="448810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w:t>
                  </w:r>
                </w:p>
                <w:p w14:paraId="6517C3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w:t>
                  </w:r>
                </w:p>
              </w:tc>
              <w:tc>
                <w:tcPr>
                  <w:tcW w:w="638" w:type="pct"/>
                  <w:tcBorders>
                    <w:tl2br w:val="nil"/>
                    <w:tr2bl w:val="nil"/>
                  </w:tcBorders>
                  <w:noWrap w:val="0"/>
                  <w:vAlign w:val="center"/>
                </w:tcPr>
                <w:p w14:paraId="401FD3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3500" w:type="pct"/>
                  <w:gridSpan w:val="2"/>
                  <w:tcBorders>
                    <w:tl2br w:val="nil"/>
                    <w:tr2bl w:val="nil"/>
                  </w:tcBorders>
                  <w:noWrap w:val="0"/>
                  <w:vAlign w:val="center"/>
                </w:tcPr>
                <w:p w14:paraId="1AE611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color w:val="auto"/>
                      <w:sz w:val="21"/>
                      <w:szCs w:val="21"/>
                      <w:highlight w:val="none"/>
                      <w:lang w:val="en-US" w:eastAsia="zh-CN"/>
                    </w:rPr>
                    <w:t>（</w:t>
                  </w:r>
                  <w:r>
                    <w:rPr>
                      <w:rFonts w:hint="eastAsia" w:ascii="Times New Roman" w:hAnsi="Times New Roman" w:eastAsia="宋体" w:cs="Times New Roman"/>
                      <w:b w:val="0"/>
                      <w:bCs w:val="0"/>
                      <w:color w:val="auto"/>
                      <w:kern w:val="0"/>
                      <w:sz w:val="21"/>
                      <w:szCs w:val="21"/>
                      <w:highlight w:val="none"/>
                      <w:lang w:val="en-US" w:eastAsia="zh-CN" w:bidi="ar-SA"/>
                    </w:rPr>
                    <w:t>1）</w:t>
                  </w:r>
                  <w:r>
                    <w:rPr>
                      <w:rFonts w:hint="eastAsia" w:cs="Times New Roman"/>
                      <w:b w:val="0"/>
                      <w:bCs w:val="0"/>
                      <w:color w:val="auto"/>
                      <w:kern w:val="0"/>
                      <w:sz w:val="21"/>
                      <w:szCs w:val="21"/>
                      <w:highlight w:val="none"/>
                      <w:lang w:val="en-US" w:eastAsia="zh-CN" w:bidi="ar-SA"/>
                    </w:rPr>
                    <w:t>1</w:t>
                  </w:r>
                  <w:r>
                    <w:rPr>
                      <w:rFonts w:hint="eastAsia" w:ascii="Times New Roman" w:hAnsi="Times New Roman" w:eastAsia="宋体" w:cs="Times New Roman"/>
                      <w:b w:val="0"/>
                      <w:bCs w:val="0"/>
                      <w:color w:val="auto"/>
                      <w:kern w:val="0"/>
                      <w:sz w:val="21"/>
                      <w:szCs w:val="21"/>
                      <w:highlight w:val="none"/>
                      <w:lang w:val="en-US" w:eastAsia="zh-CN" w:bidi="ar-SA"/>
                    </w:rPr>
                    <w:t>#厂房：</w:t>
                  </w:r>
                  <w:r>
                    <w:rPr>
                      <w:rFonts w:hint="eastAsia" w:cs="Times New Roman"/>
                      <w:b w:val="0"/>
                      <w:bCs w:val="0"/>
                      <w:color w:val="auto"/>
                      <w:kern w:val="0"/>
                      <w:sz w:val="21"/>
                      <w:szCs w:val="21"/>
                      <w:highlight w:val="none"/>
                      <w:lang w:val="en-US" w:eastAsia="zh-CN" w:bidi="ar-SA"/>
                    </w:rPr>
                    <w:t>拌料间密闭，</w:t>
                  </w:r>
                  <w:r>
                    <w:rPr>
                      <w:rFonts w:hint="eastAsia" w:ascii="Times New Roman" w:hAnsi="Times New Roman" w:eastAsia="宋体" w:cs="Times New Roman"/>
                      <w:b w:val="0"/>
                      <w:bCs w:val="0"/>
                      <w:color w:val="auto"/>
                      <w:kern w:val="0"/>
                      <w:sz w:val="21"/>
                      <w:szCs w:val="21"/>
                      <w:highlight w:val="none"/>
                      <w:lang w:val="en-US" w:eastAsia="zh-CN" w:bidi="ar-SA"/>
                    </w:rPr>
                    <w:t>投料</w:t>
                  </w:r>
                  <w:r>
                    <w:rPr>
                      <w:rFonts w:hint="default" w:ascii="Times New Roman" w:hAnsi="Times New Roman" w:eastAsia="宋体" w:cs="Times New Roman"/>
                      <w:b w:val="0"/>
                      <w:bCs w:val="0"/>
                      <w:color w:val="auto"/>
                      <w:kern w:val="0"/>
                      <w:sz w:val="21"/>
                      <w:szCs w:val="21"/>
                      <w:highlight w:val="none"/>
                      <w:lang w:val="en-US" w:eastAsia="zh-CN" w:bidi="ar-SA"/>
                    </w:rPr>
                    <w:t>粉尘</w:t>
                  </w:r>
                  <w:r>
                    <w:rPr>
                      <w:rFonts w:hint="eastAsia" w:ascii="Times New Roman" w:hAnsi="Times New Roman" w:eastAsia="宋体" w:cs="Times New Roman"/>
                      <w:b w:val="0"/>
                      <w:bCs w:val="0"/>
                      <w:color w:val="auto"/>
                      <w:kern w:val="0"/>
                      <w:sz w:val="21"/>
                      <w:szCs w:val="21"/>
                      <w:highlight w:val="none"/>
                      <w:lang w:val="en-US" w:eastAsia="zh-CN" w:bidi="ar-SA"/>
                    </w:rPr>
                    <w:t>经</w:t>
                  </w:r>
                  <w:r>
                    <w:rPr>
                      <w:rFonts w:hint="eastAsia" w:cs="Times New Roman"/>
                      <w:b w:val="0"/>
                      <w:bCs w:val="0"/>
                      <w:color w:val="auto"/>
                      <w:kern w:val="0"/>
                      <w:sz w:val="21"/>
                      <w:szCs w:val="21"/>
                      <w:highlight w:val="none"/>
                      <w:lang w:val="en-US" w:eastAsia="zh-CN" w:bidi="ar-SA"/>
                    </w:rPr>
                    <w:t>集气罩收集后，经</w:t>
                  </w:r>
                  <w:r>
                    <w:rPr>
                      <w:rFonts w:hint="default" w:ascii="Times New Roman" w:hAnsi="Times New Roman" w:eastAsia="宋体" w:cs="Times New Roman"/>
                      <w:b w:val="0"/>
                      <w:bCs w:val="0"/>
                      <w:color w:val="auto"/>
                      <w:kern w:val="0"/>
                      <w:sz w:val="21"/>
                      <w:szCs w:val="21"/>
                      <w:highlight w:val="none"/>
                      <w:lang w:val="en-US" w:eastAsia="zh-CN" w:bidi="ar-SA"/>
                    </w:rPr>
                    <w:t>1套</w:t>
                  </w:r>
                  <w:r>
                    <w:rPr>
                      <w:rFonts w:hint="eastAsia" w:cs="Times New Roman"/>
                      <w:b w:val="0"/>
                      <w:bCs w:val="0"/>
                      <w:color w:val="auto"/>
                      <w:kern w:val="0"/>
                      <w:sz w:val="21"/>
                      <w:szCs w:val="21"/>
                      <w:highlight w:val="none"/>
                      <w:lang w:val="en-US" w:eastAsia="zh-CN" w:bidi="ar-SA"/>
                    </w:rPr>
                    <w:t>袋式除尘器</w:t>
                  </w:r>
                  <w:r>
                    <w:rPr>
                      <w:rFonts w:hint="default" w:ascii="Times New Roman" w:hAnsi="Times New Roman" w:eastAsia="宋体" w:cs="Times New Roman"/>
                      <w:b w:val="0"/>
                      <w:bCs w:val="0"/>
                      <w:color w:val="auto"/>
                      <w:kern w:val="0"/>
                      <w:sz w:val="21"/>
                      <w:szCs w:val="21"/>
                      <w:highlight w:val="none"/>
                      <w:lang w:val="en-US" w:eastAsia="zh-CN" w:bidi="ar-SA"/>
                    </w:rPr>
                    <w:t>处理</w:t>
                  </w:r>
                  <w:r>
                    <w:rPr>
                      <w:rFonts w:hint="eastAsia" w:cs="Times New Roman"/>
                      <w:b w:val="0"/>
                      <w:bCs w:val="0"/>
                      <w:color w:val="auto"/>
                      <w:kern w:val="0"/>
                      <w:sz w:val="21"/>
                      <w:szCs w:val="21"/>
                      <w:highlight w:val="none"/>
                      <w:lang w:val="en-US" w:eastAsia="zh-CN" w:bidi="ar-SA"/>
                    </w:rPr>
                    <w:t>由15</w:t>
                  </w:r>
                  <w:r>
                    <w:rPr>
                      <w:rFonts w:hint="default" w:ascii="Times New Roman" w:hAnsi="Times New Roman" w:eastAsia="宋体" w:cs="Times New Roman"/>
                      <w:b w:val="0"/>
                      <w:bCs w:val="0"/>
                      <w:color w:val="auto"/>
                      <w:kern w:val="0"/>
                      <w:sz w:val="21"/>
                      <w:szCs w:val="21"/>
                      <w:highlight w:val="none"/>
                      <w:lang w:val="en-US" w:eastAsia="zh-CN" w:bidi="ar-SA"/>
                    </w:rPr>
                    <w:t>m高DA001排气筒排放</w:t>
                  </w:r>
                  <w:r>
                    <w:rPr>
                      <w:rFonts w:hint="eastAsia" w:ascii="Times New Roman" w:hAnsi="Times New Roman" w:eastAsia="宋体" w:cs="Times New Roman"/>
                      <w:b w:val="0"/>
                      <w:bCs w:val="0"/>
                      <w:color w:val="auto"/>
                      <w:kern w:val="0"/>
                      <w:sz w:val="21"/>
                      <w:szCs w:val="21"/>
                      <w:highlight w:val="none"/>
                      <w:lang w:val="en-US" w:eastAsia="zh-CN" w:bidi="ar-SA"/>
                    </w:rPr>
                    <w:t>；</w:t>
                  </w:r>
                  <w:r>
                    <w:rPr>
                      <w:rFonts w:hint="eastAsia" w:cs="Times New Roman"/>
                      <w:b w:val="0"/>
                      <w:bCs w:val="0"/>
                      <w:color w:val="auto"/>
                      <w:kern w:val="0"/>
                      <w:sz w:val="21"/>
                      <w:szCs w:val="21"/>
                      <w:highlight w:val="none"/>
                      <w:lang w:val="en-US" w:eastAsia="zh-CN" w:bidi="ar-SA"/>
                    </w:rPr>
                    <w:t>注塑、浇注和脱模剂</w:t>
                  </w:r>
                  <w:r>
                    <w:rPr>
                      <w:rFonts w:hint="eastAsia" w:ascii="Times New Roman" w:hAnsi="Times New Roman" w:eastAsia="宋体" w:cs="Times New Roman"/>
                      <w:b w:val="0"/>
                      <w:bCs w:val="0"/>
                      <w:color w:val="auto"/>
                      <w:kern w:val="0"/>
                      <w:sz w:val="21"/>
                      <w:szCs w:val="21"/>
                      <w:highlight w:val="none"/>
                      <w:lang w:val="en-US" w:eastAsia="zh-CN" w:bidi="ar-SA"/>
                    </w:rPr>
                    <w:t>废气经</w:t>
                  </w:r>
                  <w:r>
                    <w:rPr>
                      <w:rFonts w:hint="eastAsia" w:cs="Times New Roman"/>
                      <w:b w:val="0"/>
                      <w:bCs w:val="0"/>
                      <w:color w:val="auto"/>
                      <w:kern w:val="0"/>
                      <w:sz w:val="21"/>
                      <w:szCs w:val="21"/>
                      <w:highlight w:val="none"/>
                      <w:lang w:val="en-US" w:eastAsia="zh-CN" w:bidi="ar-SA"/>
                    </w:rPr>
                    <w:t>集气罩收集后，</w:t>
                  </w:r>
                  <w:r>
                    <w:rPr>
                      <w:rFonts w:hint="eastAsia" w:ascii="Times New Roman" w:hAnsi="Times New Roman" w:eastAsia="宋体" w:cs="Times New Roman"/>
                      <w:b w:val="0"/>
                      <w:bCs w:val="0"/>
                      <w:color w:val="auto"/>
                      <w:kern w:val="0"/>
                      <w:sz w:val="21"/>
                      <w:szCs w:val="21"/>
                      <w:highlight w:val="none"/>
                      <w:lang w:val="en-US" w:eastAsia="zh-CN" w:bidi="ar-SA"/>
                    </w:rPr>
                    <w:t>“二级活性炭吸附”处理后由1根</w:t>
                  </w:r>
                  <w:r>
                    <w:rPr>
                      <w:rFonts w:hint="eastAsia" w:cs="Times New Roman"/>
                      <w:b w:val="0"/>
                      <w:bCs w:val="0"/>
                      <w:color w:val="auto"/>
                      <w:kern w:val="0"/>
                      <w:sz w:val="21"/>
                      <w:szCs w:val="21"/>
                      <w:highlight w:val="none"/>
                      <w:lang w:val="en-US" w:eastAsia="zh-CN" w:bidi="ar-SA"/>
                    </w:rPr>
                    <w:t>15</w:t>
                  </w:r>
                  <w:r>
                    <w:rPr>
                      <w:rFonts w:hint="eastAsia" w:ascii="Times New Roman" w:hAnsi="Times New Roman" w:eastAsia="宋体" w:cs="Times New Roman"/>
                      <w:b w:val="0"/>
                      <w:bCs w:val="0"/>
                      <w:color w:val="auto"/>
                      <w:kern w:val="0"/>
                      <w:sz w:val="21"/>
                      <w:szCs w:val="21"/>
                      <w:highlight w:val="none"/>
                      <w:lang w:val="en-US" w:eastAsia="zh-CN" w:bidi="ar-SA"/>
                    </w:rPr>
                    <w:t>m高DA002排气筒排放。</w:t>
                  </w:r>
                </w:p>
                <w:p w14:paraId="4AE3A2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Cs w:val="22"/>
                      <w:highlight w:val="none"/>
                      <w:lang w:val="en-US" w:eastAsia="zh-CN"/>
                    </w:rPr>
                  </w:pPr>
                  <w:r>
                    <w:rPr>
                      <w:rFonts w:hint="eastAsia" w:cs="Times New Roman"/>
                      <w:b w:val="0"/>
                      <w:bCs w:val="0"/>
                      <w:color w:val="auto"/>
                      <w:kern w:val="0"/>
                      <w:sz w:val="21"/>
                      <w:szCs w:val="21"/>
                      <w:highlight w:val="none"/>
                      <w:lang w:val="en-US" w:eastAsia="zh-CN" w:bidi="ar-SA"/>
                    </w:rPr>
                    <w:t>（2）食堂</w:t>
                  </w:r>
                  <w:r>
                    <w:rPr>
                      <w:rFonts w:hint="eastAsia" w:ascii="Times New Roman" w:hAnsi="Times New Roman" w:eastAsia="宋体" w:cs="Times New Roman"/>
                      <w:b w:val="0"/>
                      <w:bCs w:val="0"/>
                      <w:color w:val="auto"/>
                      <w:kern w:val="0"/>
                      <w:sz w:val="21"/>
                      <w:szCs w:val="21"/>
                      <w:highlight w:val="none"/>
                      <w:lang w:val="en-US" w:eastAsia="zh-CN" w:bidi="ar-SA"/>
                    </w:rPr>
                    <w:t>：油烟废气经油烟净化器处理后经专用</w:t>
                  </w:r>
                  <w:r>
                    <w:rPr>
                      <w:rFonts w:hint="eastAsia" w:cs="Times New Roman"/>
                      <w:b w:val="0"/>
                      <w:bCs w:val="0"/>
                      <w:color w:val="auto"/>
                      <w:kern w:val="0"/>
                      <w:sz w:val="21"/>
                      <w:szCs w:val="21"/>
                      <w:highlight w:val="none"/>
                      <w:lang w:val="en-US" w:eastAsia="zh-CN" w:bidi="ar-SA"/>
                    </w:rPr>
                    <w:t>烟</w:t>
                  </w:r>
                  <w:r>
                    <w:rPr>
                      <w:rFonts w:hint="eastAsia" w:ascii="Times New Roman" w:hAnsi="Times New Roman" w:eastAsia="宋体" w:cs="Times New Roman"/>
                      <w:b w:val="0"/>
                      <w:bCs w:val="0"/>
                      <w:color w:val="auto"/>
                      <w:kern w:val="0"/>
                      <w:sz w:val="21"/>
                      <w:szCs w:val="21"/>
                      <w:highlight w:val="none"/>
                      <w:lang w:val="en-US" w:eastAsia="zh-CN" w:bidi="ar-SA"/>
                    </w:rPr>
                    <w:t>道送至屋顶排放</w:t>
                  </w:r>
                  <w:r>
                    <w:rPr>
                      <w:rFonts w:hint="eastAsia" w:cs="Times New Roman"/>
                      <w:b w:val="0"/>
                      <w:bCs w:val="0"/>
                      <w:color w:val="auto"/>
                      <w:kern w:val="0"/>
                      <w:sz w:val="21"/>
                      <w:szCs w:val="21"/>
                      <w:highlight w:val="none"/>
                      <w:lang w:val="en-US" w:eastAsia="zh-CN" w:bidi="ar-SA"/>
                    </w:rPr>
                    <w:t>。</w:t>
                  </w:r>
                  <w:r>
                    <w:rPr>
                      <w:rFonts w:hint="eastAsia" w:ascii="Times New Roman" w:hAnsi="Times New Roman" w:eastAsia="宋体" w:cs="Times New Roman"/>
                      <w:b w:val="0"/>
                      <w:bCs w:val="0"/>
                      <w:color w:val="auto"/>
                      <w:kern w:val="0"/>
                      <w:sz w:val="21"/>
                      <w:szCs w:val="21"/>
                      <w:highlight w:val="none"/>
                      <w:lang w:val="en-US" w:eastAsia="zh-CN" w:bidi="ar-SA"/>
                    </w:rPr>
                    <w:t xml:space="preserve"> </w:t>
                  </w:r>
                </w:p>
              </w:tc>
              <w:tc>
                <w:tcPr>
                  <w:tcW w:w="527" w:type="pct"/>
                  <w:tcBorders>
                    <w:tl2br w:val="nil"/>
                    <w:tr2bl w:val="nil"/>
                  </w:tcBorders>
                  <w:noWrap w:val="0"/>
                  <w:vAlign w:val="center"/>
                </w:tcPr>
                <w:p w14:paraId="5DD8EC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6FA1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tblHeader/>
                <w:jc w:val="center"/>
              </w:trPr>
              <w:tc>
                <w:tcPr>
                  <w:tcW w:w="334" w:type="pct"/>
                  <w:vMerge w:val="continue"/>
                  <w:tcBorders>
                    <w:tl2br w:val="nil"/>
                    <w:tr2bl w:val="nil"/>
                  </w:tcBorders>
                  <w:noWrap w:val="0"/>
                  <w:vAlign w:val="center"/>
                </w:tcPr>
                <w:p w14:paraId="2CD559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638" w:type="pct"/>
                  <w:tcBorders>
                    <w:tl2br w:val="nil"/>
                    <w:tr2bl w:val="nil"/>
                  </w:tcBorders>
                  <w:noWrap w:val="0"/>
                  <w:vAlign w:val="center"/>
                </w:tcPr>
                <w:p w14:paraId="6C8822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废水</w:t>
                  </w:r>
                </w:p>
              </w:tc>
              <w:tc>
                <w:tcPr>
                  <w:tcW w:w="3500" w:type="pct"/>
                  <w:gridSpan w:val="2"/>
                  <w:tcBorders>
                    <w:tl2br w:val="nil"/>
                    <w:tr2bl w:val="nil"/>
                  </w:tcBorders>
                  <w:noWrap w:val="0"/>
                  <w:vAlign w:val="center"/>
                </w:tcPr>
                <w:p w14:paraId="226862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厂区</w:t>
                  </w:r>
                  <w:r>
                    <w:rPr>
                      <w:rFonts w:hint="eastAsia" w:ascii="Times New Roman" w:hAnsi="Times New Roman" w:eastAsia="宋体" w:cs="Times New Roman"/>
                      <w:color w:val="auto"/>
                      <w:sz w:val="21"/>
                      <w:szCs w:val="21"/>
                      <w:highlight w:val="none"/>
                      <w:lang w:val="en-US" w:eastAsia="zh-CN"/>
                    </w:rPr>
                    <w:t>采取雨污分流制，雨水排入雨水管网；项目食堂废水经</w:t>
                  </w:r>
                  <w:r>
                    <w:rPr>
                      <w:rFonts w:hint="eastAsia" w:cs="Times New Roman"/>
                      <w:color w:val="auto"/>
                      <w:sz w:val="21"/>
                      <w:szCs w:val="21"/>
                      <w:highlight w:val="none"/>
                      <w:lang w:val="en-US" w:eastAsia="zh-CN"/>
                    </w:rPr>
                    <w:t>隔油池、生活污水经化粪池处理后，和地坪保洁废水、循环冷却排水一并经</w:t>
                  </w:r>
                  <w:r>
                    <w:rPr>
                      <w:rFonts w:hint="eastAsia" w:ascii="Times New Roman" w:hAnsi="Times New Roman" w:eastAsia="宋体" w:cs="Times New Roman"/>
                      <w:color w:val="auto"/>
                      <w:sz w:val="21"/>
                      <w:szCs w:val="21"/>
                      <w:highlight w:val="none"/>
                      <w:lang w:val="en-US" w:eastAsia="zh-CN"/>
                    </w:rPr>
                    <w:t>市政污水管网排入</w:t>
                  </w:r>
                  <w:r>
                    <w:rPr>
                      <w:rFonts w:hint="eastAsia" w:cs="Times New Roman"/>
                      <w:color w:val="auto"/>
                      <w:sz w:val="21"/>
                      <w:szCs w:val="21"/>
                      <w:highlight w:val="none"/>
                      <w:lang w:val="en-US" w:eastAsia="zh-CN"/>
                    </w:rPr>
                    <w:t>五河县</w:t>
                  </w:r>
                  <w:r>
                    <w:rPr>
                      <w:rFonts w:hint="eastAsia" w:ascii="Times New Roman" w:hAnsi="Times New Roman" w:eastAsia="宋体" w:cs="Times New Roman"/>
                      <w:color w:val="auto"/>
                      <w:sz w:val="21"/>
                      <w:szCs w:val="21"/>
                      <w:highlight w:val="none"/>
                      <w:lang w:val="en-US" w:eastAsia="zh-CN"/>
                    </w:rPr>
                    <w:t>城</w:t>
                  </w:r>
                  <w:r>
                    <w:rPr>
                      <w:rFonts w:hint="eastAsia" w:cs="Times New Roman"/>
                      <w:color w:val="auto"/>
                      <w:sz w:val="21"/>
                      <w:szCs w:val="21"/>
                      <w:highlight w:val="none"/>
                      <w:lang w:val="en-US" w:eastAsia="zh-CN"/>
                    </w:rPr>
                    <w:t>南</w:t>
                  </w:r>
                  <w:r>
                    <w:rPr>
                      <w:rFonts w:hint="eastAsia" w:ascii="Times New Roman" w:hAnsi="Times New Roman" w:eastAsia="宋体" w:cs="Times New Roman"/>
                      <w:color w:val="auto"/>
                      <w:sz w:val="21"/>
                      <w:szCs w:val="21"/>
                      <w:highlight w:val="none"/>
                      <w:lang w:val="en-US" w:eastAsia="zh-CN"/>
                    </w:rPr>
                    <w:t>污水处理厂</w:t>
                  </w:r>
                  <w:r>
                    <w:rPr>
                      <w:rFonts w:hint="eastAsia" w:cs="Times New Roman"/>
                      <w:color w:val="auto"/>
                      <w:sz w:val="21"/>
                      <w:szCs w:val="21"/>
                      <w:highlight w:val="none"/>
                      <w:lang w:val="en-US" w:eastAsia="zh-CN"/>
                    </w:rPr>
                    <w:t>深度处理。废水总排放量为777.6m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/a。</w:t>
                  </w:r>
                </w:p>
              </w:tc>
              <w:tc>
                <w:tcPr>
                  <w:tcW w:w="527" w:type="pct"/>
                  <w:tcBorders>
                    <w:tl2br w:val="nil"/>
                    <w:tr2bl w:val="nil"/>
                  </w:tcBorders>
                  <w:noWrap w:val="0"/>
                  <w:vAlign w:val="center"/>
                </w:tcPr>
                <w:p w14:paraId="450555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隔油池和化粪池依托现有</w:t>
                  </w:r>
                </w:p>
              </w:tc>
            </w:tr>
            <w:tr w14:paraId="340E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6" w:hRule="atLeast"/>
                <w:tblHeader/>
                <w:jc w:val="center"/>
              </w:trPr>
              <w:tc>
                <w:tcPr>
                  <w:tcW w:w="334" w:type="pct"/>
                  <w:vMerge w:val="continue"/>
                  <w:tcBorders>
                    <w:tl2br w:val="nil"/>
                    <w:tr2bl w:val="nil"/>
                  </w:tcBorders>
                  <w:noWrap w:val="0"/>
                  <w:vAlign w:val="center"/>
                </w:tcPr>
                <w:p w14:paraId="12526A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638" w:type="pct"/>
                  <w:vMerge w:val="restart"/>
                  <w:tcBorders>
                    <w:tl2br w:val="nil"/>
                    <w:tr2bl w:val="nil"/>
                  </w:tcBorders>
                  <w:noWrap w:val="0"/>
                  <w:vAlign w:val="center"/>
                </w:tcPr>
                <w:p w14:paraId="787F89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固废</w:t>
                  </w:r>
                </w:p>
              </w:tc>
              <w:tc>
                <w:tcPr>
                  <w:tcW w:w="3500" w:type="pct"/>
                  <w:gridSpan w:val="2"/>
                  <w:tcBorders>
                    <w:tl2br w:val="nil"/>
                    <w:tr2bl w:val="nil"/>
                  </w:tcBorders>
                  <w:noWrap w:val="0"/>
                  <w:vAlign w:val="center"/>
                </w:tcPr>
                <w:p w14:paraId="67F78D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一般固废</w:t>
                  </w:r>
                  <w:r>
                    <w:rPr>
                      <w:rFonts w:hint="eastAsia" w:cs="Times New Roman"/>
                      <w:color w:val="auto"/>
                      <w:kern w:val="2"/>
                      <w:sz w:val="21"/>
                      <w:szCs w:val="21"/>
                      <w:highlight w:val="none"/>
                      <w:lang w:val="en-US" w:eastAsia="zh-CN" w:bidi="ar-SA"/>
                    </w:rPr>
                    <w:t>间</w:t>
                  </w:r>
                  <w:r>
                    <w:rPr>
                      <w:rFonts w:hint="eastAsia" w:ascii="Times New Roman" w:hAnsi="Times New Roman" w:eastAsia="宋体" w:cs="Times New Roman"/>
                      <w:color w:val="auto"/>
                      <w:kern w:val="2"/>
                      <w:sz w:val="21"/>
                      <w:szCs w:val="21"/>
                      <w:highlight w:val="none"/>
                      <w:lang w:val="en-US" w:eastAsia="zh-CN" w:bidi="ar-SA"/>
                    </w:rPr>
                    <w:t>：</w:t>
                  </w:r>
                  <w:r>
                    <w:rPr>
                      <w:rFonts w:ascii="Times New Roman" w:hAnsi="Times New Roman" w:cs="Times New Roman"/>
                      <w:color w:val="auto"/>
                      <w:sz w:val="21"/>
                      <w:szCs w:val="21"/>
                      <w:highlight w:val="none"/>
                    </w:rPr>
                    <w:t>拟</w:t>
                  </w:r>
                  <w:r>
                    <w:rPr>
                      <w:rFonts w:hint="eastAsia" w:cs="Times New Roman"/>
                      <w:color w:val="auto"/>
                      <w:sz w:val="21"/>
                      <w:szCs w:val="21"/>
                      <w:highlight w:val="none"/>
                      <w:lang w:val="en-US" w:eastAsia="zh-CN"/>
                    </w:rPr>
                    <w:t>在1#厂房内东北角设置建筑面积5</w:t>
                  </w:r>
                  <w:r>
                    <w:rPr>
                      <w:rFonts w:hint="default" w:ascii="Times New Roman" w:hAnsi="Times New Roman" w:cs="Times New Roman"/>
                      <w:color w:val="auto"/>
                      <w:sz w:val="21"/>
                      <w:szCs w:val="21"/>
                      <w:highlight w:val="none"/>
                    </w:rPr>
                    <w:t>0m</w:t>
                  </w:r>
                  <w:r>
                    <w:rPr>
                      <w:rFonts w:hint="default" w:ascii="Times New Roman" w:hAnsi="Times New Roman" w:cs="Times New Roman"/>
                      <w:color w:val="auto"/>
                      <w:sz w:val="21"/>
                      <w:szCs w:val="21"/>
                      <w:highlight w:val="none"/>
                      <w:vertAlign w:val="superscript"/>
                    </w:rPr>
                    <w:t>2</w:t>
                  </w:r>
                  <w:r>
                    <w:rPr>
                      <w:rFonts w:ascii="Times New Roman" w:hAnsi="Times New Roman" w:cs="Times New Roman"/>
                      <w:color w:val="auto"/>
                      <w:sz w:val="21"/>
                      <w:szCs w:val="21"/>
                      <w:highlight w:val="none"/>
                    </w:rPr>
                    <w:t>的一般固废</w:t>
                  </w:r>
                  <w:r>
                    <w:rPr>
                      <w:rFonts w:hint="eastAsia" w:cs="Times New Roman"/>
                      <w:color w:val="auto"/>
                      <w:sz w:val="21"/>
                      <w:szCs w:val="21"/>
                      <w:highlight w:val="none"/>
                      <w:lang w:val="en-US" w:eastAsia="zh-CN"/>
                    </w:rPr>
                    <w:t>库</w:t>
                  </w:r>
                  <w:r>
                    <w:rPr>
                      <w:rFonts w:ascii="Times New Roman" w:hAnsi="Times New Roman" w:cs="Times New Roman"/>
                      <w:color w:val="auto"/>
                      <w:sz w:val="21"/>
                      <w:szCs w:val="21"/>
                      <w:highlight w:val="none"/>
                    </w:rPr>
                    <w:t>，用于暂存</w:t>
                  </w:r>
                  <w:r>
                    <w:rPr>
                      <w:rFonts w:hint="eastAsia" w:ascii="Times New Roman" w:hAnsi="Times New Roman" w:cs="Times New Roman"/>
                      <w:color w:val="auto"/>
                      <w:sz w:val="21"/>
                      <w:szCs w:val="21"/>
                      <w:highlight w:val="none"/>
                      <w:lang w:val="en-US" w:eastAsia="zh-CN"/>
                    </w:rPr>
                    <w:t>废包装袋、</w:t>
                  </w:r>
                  <w:r>
                    <w:rPr>
                      <w:rFonts w:hint="eastAsia" w:cs="Times New Roman"/>
                      <w:color w:val="auto"/>
                      <w:sz w:val="21"/>
                      <w:szCs w:val="21"/>
                      <w:highlight w:val="none"/>
                      <w:lang w:val="en-US" w:eastAsia="zh-CN"/>
                    </w:rPr>
                    <w:t>边角料、</w:t>
                  </w:r>
                  <w:r>
                    <w:rPr>
                      <w:rFonts w:hint="eastAsia" w:ascii="Times New Roman" w:hAnsi="Times New Roman" w:cs="Times New Roman"/>
                      <w:color w:val="auto"/>
                      <w:sz w:val="21"/>
                      <w:szCs w:val="21"/>
                      <w:highlight w:val="none"/>
                      <w:lang w:val="en-US" w:eastAsia="zh-CN"/>
                    </w:rPr>
                    <w:t>不合格品、</w:t>
                  </w:r>
                  <w:r>
                    <w:rPr>
                      <w:rFonts w:hint="eastAsia" w:cs="Times New Roman"/>
                      <w:color w:val="auto"/>
                      <w:sz w:val="21"/>
                      <w:szCs w:val="21"/>
                      <w:highlight w:val="none"/>
                      <w:lang w:val="en-US" w:eastAsia="zh-CN"/>
                    </w:rPr>
                    <w:t>除尘灰</w:t>
                  </w:r>
                  <w:r>
                    <w:rPr>
                      <w:rFonts w:hint="eastAsia" w:ascii="Times New Roman" w:hAnsi="Times New Roman" w:cs="Times New Roman"/>
                      <w:color w:val="auto"/>
                      <w:sz w:val="21"/>
                      <w:szCs w:val="21"/>
                      <w:highlight w:val="none"/>
                      <w:lang w:val="en-US" w:eastAsia="zh-CN"/>
                    </w:rPr>
                    <w:t>等</w:t>
                  </w:r>
                  <w:r>
                    <w:rPr>
                      <w:rFonts w:hint="eastAsia" w:cs="Times New Roman"/>
                      <w:color w:val="auto"/>
                      <w:sz w:val="21"/>
                      <w:szCs w:val="21"/>
                      <w:highlight w:val="none"/>
                      <w:lang w:val="en-US" w:eastAsia="zh-CN"/>
                    </w:rPr>
                    <w:t>一般工业固体废物。</w:t>
                  </w:r>
                </w:p>
              </w:tc>
              <w:tc>
                <w:tcPr>
                  <w:tcW w:w="527" w:type="pct"/>
                  <w:vMerge w:val="restart"/>
                  <w:tcBorders>
                    <w:tl2br w:val="nil"/>
                    <w:tr2bl w:val="nil"/>
                  </w:tcBorders>
                  <w:noWrap w:val="0"/>
                  <w:vAlign w:val="center"/>
                </w:tcPr>
                <w:p w14:paraId="2BCD0B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新建</w:t>
                  </w:r>
                </w:p>
              </w:tc>
            </w:tr>
            <w:tr w14:paraId="2CDE5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tblHeader/>
                <w:jc w:val="center"/>
              </w:trPr>
              <w:tc>
                <w:tcPr>
                  <w:tcW w:w="334" w:type="pct"/>
                  <w:vMerge w:val="continue"/>
                  <w:tcBorders>
                    <w:tl2br w:val="nil"/>
                    <w:tr2bl w:val="nil"/>
                  </w:tcBorders>
                  <w:noWrap w:val="0"/>
                  <w:vAlign w:val="center"/>
                </w:tcPr>
                <w:p w14:paraId="59D564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638" w:type="pct"/>
                  <w:vMerge w:val="continue"/>
                  <w:tcBorders>
                    <w:tl2br w:val="nil"/>
                    <w:tr2bl w:val="nil"/>
                  </w:tcBorders>
                  <w:noWrap w:val="0"/>
                  <w:vAlign w:val="center"/>
                </w:tcPr>
                <w:p w14:paraId="7B5EE8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3500" w:type="pct"/>
                  <w:gridSpan w:val="2"/>
                  <w:tcBorders>
                    <w:tl2br w:val="nil"/>
                    <w:tr2bl w:val="nil"/>
                  </w:tcBorders>
                  <w:noWrap w:val="0"/>
                  <w:vAlign w:val="center"/>
                </w:tcPr>
                <w:p w14:paraId="61F665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eastAsia="宋体" w:cs="Times New Roman"/>
                      <w:color w:val="auto"/>
                      <w:szCs w:val="22"/>
                      <w:highlight w:val="none"/>
                      <w:lang w:val="en-US" w:eastAsia="zh-CN"/>
                    </w:rPr>
                  </w:pPr>
                  <w:r>
                    <w:rPr>
                      <w:rFonts w:hint="eastAsia" w:cs="Times New Roman"/>
                      <w:color w:val="auto"/>
                      <w:szCs w:val="22"/>
                      <w:highlight w:val="none"/>
                      <w:lang w:val="en-US" w:eastAsia="zh-CN"/>
                    </w:rPr>
                    <w:t>危废暂存库：</w:t>
                  </w:r>
                  <w:r>
                    <w:rPr>
                      <w:rFonts w:ascii="Times New Roman" w:hAnsi="Times New Roman" w:cs="Times New Roman"/>
                      <w:color w:val="auto"/>
                      <w:sz w:val="21"/>
                      <w:szCs w:val="21"/>
                      <w:highlight w:val="none"/>
                    </w:rPr>
                    <w:t>拟</w:t>
                  </w:r>
                  <w:r>
                    <w:rPr>
                      <w:rFonts w:hint="eastAsia" w:cs="Times New Roman"/>
                      <w:color w:val="auto"/>
                      <w:sz w:val="21"/>
                      <w:szCs w:val="21"/>
                      <w:highlight w:val="none"/>
                      <w:lang w:val="en-US" w:eastAsia="zh-CN"/>
                    </w:rPr>
                    <w:t>在厂区西南角新</w:t>
                  </w:r>
                  <w:r>
                    <w:rPr>
                      <w:rFonts w:ascii="Times New Roman" w:hAnsi="Times New Roman" w:cs="Times New Roman"/>
                      <w:color w:val="auto"/>
                      <w:sz w:val="21"/>
                      <w:szCs w:val="21"/>
                      <w:highlight w:val="none"/>
                    </w:rPr>
                    <w:t>建一座</w:t>
                  </w:r>
                  <w:r>
                    <w:rPr>
                      <w:rFonts w:hint="eastAsia" w:cs="Times New Roman"/>
                      <w:color w:val="auto"/>
                      <w:sz w:val="21"/>
                      <w:szCs w:val="21"/>
                      <w:highlight w:val="none"/>
                      <w:lang w:val="en-US" w:eastAsia="zh-CN"/>
                    </w:rPr>
                    <w:t>20</w:t>
                  </w:r>
                  <w:r>
                    <w:rPr>
                      <w:rFonts w:ascii="Times New Roman" w:hAnsi="Times New Roman" w:cs="Times New Roman"/>
                      <w:color w:val="auto"/>
                      <w:sz w:val="21"/>
                      <w:szCs w:val="21"/>
                      <w:highlight w:val="none"/>
                    </w:rPr>
                    <w:t>m</w:t>
                  </w:r>
                  <w:r>
                    <w:rPr>
                      <w:rFonts w:ascii="Times New Roman" w:hAnsi="Times New Roman" w:cs="Times New Roman"/>
                      <w:color w:val="auto"/>
                      <w:sz w:val="21"/>
                      <w:szCs w:val="21"/>
                      <w:highlight w:val="none"/>
                      <w:vertAlign w:val="superscript"/>
                    </w:rPr>
                    <w:t>2</w:t>
                  </w:r>
                  <w:r>
                    <w:rPr>
                      <w:rFonts w:ascii="Times New Roman" w:hAnsi="Times New Roman" w:cs="Times New Roman"/>
                      <w:color w:val="auto"/>
                      <w:sz w:val="21"/>
                      <w:szCs w:val="21"/>
                      <w:highlight w:val="none"/>
                    </w:rPr>
                    <w:t>的危废暂存库，用于暂存</w:t>
                  </w:r>
                  <w:r>
                    <w:rPr>
                      <w:rFonts w:hint="eastAsia" w:ascii="Times New Roman" w:hAnsi="Times New Roman" w:cs="Times New Roman"/>
                      <w:color w:val="auto"/>
                      <w:sz w:val="21"/>
                      <w:szCs w:val="21"/>
                      <w:highlight w:val="none"/>
                      <w:lang w:val="en-US" w:eastAsia="zh-CN"/>
                    </w:rPr>
                    <w:t>废活性炭</w:t>
                  </w:r>
                  <w:r>
                    <w:rPr>
                      <w:rFonts w:hint="eastAsia" w:cs="Times New Roman"/>
                      <w:color w:val="auto"/>
                      <w:sz w:val="21"/>
                      <w:szCs w:val="21"/>
                      <w:highlight w:val="none"/>
                      <w:lang w:val="en-US" w:eastAsia="zh-CN"/>
                    </w:rPr>
                    <w:t>、</w:t>
                  </w:r>
                  <w:r>
                    <w:rPr>
                      <w:rFonts w:ascii="Times New Roman" w:hAnsi="Times New Roman" w:cs="Times New Roman"/>
                      <w:color w:val="auto"/>
                      <w:sz w:val="21"/>
                      <w:szCs w:val="21"/>
                      <w:highlight w:val="none"/>
                    </w:rPr>
                    <w:t>废</w:t>
                  </w:r>
                  <w:r>
                    <w:rPr>
                      <w:rFonts w:hint="eastAsia" w:cs="Times New Roman"/>
                      <w:color w:val="auto"/>
                      <w:sz w:val="21"/>
                      <w:szCs w:val="21"/>
                      <w:highlight w:val="none"/>
                      <w:lang w:val="en-US" w:eastAsia="zh-CN"/>
                    </w:rPr>
                    <w:t>机油</w:t>
                  </w:r>
                  <w:r>
                    <w:rPr>
                      <w:rFonts w:hint="eastAsia"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废包装桶</w:t>
                  </w:r>
                  <w:r>
                    <w:rPr>
                      <w:rFonts w:hint="eastAsia" w:ascii="Times New Roman" w:hAnsi="Times New Roman" w:cs="Times New Roman"/>
                      <w:color w:val="auto"/>
                      <w:sz w:val="21"/>
                      <w:szCs w:val="21"/>
                      <w:highlight w:val="none"/>
                      <w:lang w:val="en-US" w:eastAsia="zh-CN"/>
                    </w:rPr>
                    <w:t>等危险废物</w:t>
                  </w:r>
                  <w:r>
                    <w:rPr>
                      <w:rFonts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危险废物</w:t>
                  </w:r>
                  <w:r>
                    <w:rPr>
                      <w:rFonts w:ascii="Times New Roman" w:hAnsi="Times New Roman" w:cs="Times New Roman"/>
                      <w:color w:val="auto"/>
                      <w:sz w:val="21"/>
                      <w:szCs w:val="21"/>
                      <w:highlight w:val="none"/>
                    </w:rPr>
                    <w:t>暂存后</w:t>
                  </w:r>
                  <w:r>
                    <w:rPr>
                      <w:rFonts w:hint="eastAsia" w:ascii="Times New Roman" w:hAnsi="Times New Roman" w:cs="Times New Roman"/>
                      <w:color w:val="auto"/>
                      <w:sz w:val="21"/>
                      <w:szCs w:val="21"/>
                      <w:highlight w:val="none"/>
                      <w:lang w:val="en-US" w:eastAsia="zh-CN"/>
                    </w:rPr>
                    <w:t>定期</w:t>
                  </w:r>
                  <w:r>
                    <w:rPr>
                      <w:rFonts w:ascii="Times New Roman" w:hAnsi="Times New Roman" w:cs="Times New Roman"/>
                      <w:color w:val="auto"/>
                      <w:sz w:val="21"/>
                      <w:szCs w:val="21"/>
                      <w:highlight w:val="none"/>
                    </w:rPr>
                    <w:t>委托有资质单位处置</w:t>
                  </w:r>
                  <w:r>
                    <w:rPr>
                      <w:rFonts w:hint="eastAsia" w:cs="Times New Roman"/>
                      <w:color w:val="auto"/>
                      <w:sz w:val="21"/>
                      <w:szCs w:val="21"/>
                      <w:highlight w:val="none"/>
                      <w:lang w:eastAsia="zh-CN"/>
                    </w:rPr>
                    <w:t>。</w:t>
                  </w:r>
                </w:p>
              </w:tc>
              <w:tc>
                <w:tcPr>
                  <w:tcW w:w="527" w:type="pct"/>
                  <w:vMerge w:val="continue"/>
                  <w:tcBorders>
                    <w:tl2br w:val="nil"/>
                    <w:tr2bl w:val="nil"/>
                  </w:tcBorders>
                  <w:noWrap w:val="0"/>
                  <w:vAlign w:val="center"/>
                </w:tcPr>
                <w:p w14:paraId="3D0421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highlight w:val="none"/>
                      <w:lang w:val="en-US" w:eastAsia="zh-CN"/>
                    </w:rPr>
                  </w:pPr>
                </w:p>
              </w:tc>
            </w:tr>
            <w:tr w14:paraId="1BC3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0" w:hRule="atLeast"/>
                <w:tblHeader/>
                <w:jc w:val="center"/>
              </w:trPr>
              <w:tc>
                <w:tcPr>
                  <w:tcW w:w="334" w:type="pct"/>
                  <w:vMerge w:val="continue"/>
                  <w:tcBorders>
                    <w:tl2br w:val="nil"/>
                    <w:tr2bl w:val="nil"/>
                  </w:tcBorders>
                  <w:noWrap w:val="0"/>
                  <w:vAlign w:val="center"/>
                </w:tcPr>
                <w:p w14:paraId="7889A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638" w:type="pct"/>
                  <w:vMerge w:val="continue"/>
                  <w:tcBorders>
                    <w:tl2br w:val="nil"/>
                    <w:tr2bl w:val="nil"/>
                  </w:tcBorders>
                  <w:noWrap w:val="0"/>
                  <w:vAlign w:val="center"/>
                </w:tcPr>
                <w:p w14:paraId="123547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3500" w:type="pct"/>
                  <w:gridSpan w:val="2"/>
                  <w:tcBorders>
                    <w:tl2br w:val="nil"/>
                    <w:tr2bl w:val="nil"/>
                  </w:tcBorders>
                  <w:noWrap w:val="0"/>
                  <w:vAlign w:val="center"/>
                </w:tcPr>
                <w:p w14:paraId="377CEF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cs="Times New Roman"/>
                      <w:color w:val="auto"/>
                      <w:szCs w:val="22"/>
                      <w:highlight w:val="none"/>
                      <w:lang w:val="en-US" w:eastAsia="zh-CN"/>
                    </w:rPr>
                  </w:pPr>
                  <w:r>
                    <w:rPr>
                      <w:rFonts w:hint="default" w:ascii="Times New Roman" w:hAnsi="Times New Roman" w:cs="Times New Roman"/>
                      <w:color w:val="auto"/>
                      <w:sz w:val="21"/>
                      <w:szCs w:val="21"/>
                      <w:highlight w:val="none"/>
                    </w:rPr>
                    <w:t>生活垃圾收集后</w:t>
                  </w:r>
                  <w:r>
                    <w:rPr>
                      <w:rFonts w:hint="default" w:ascii="Times New Roman" w:hAnsi="Times New Roman" w:cs="Times New Roman"/>
                      <w:color w:val="auto"/>
                      <w:sz w:val="21"/>
                      <w:szCs w:val="21"/>
                      <w:highlight w:val="none"/>
                      <w:lang w:eastAsia="zh-CN"/>
                    </w:rPr>
                    <w:t>由环卫</w:t>
                  </w:r>
                  <w:r>
                    <w:rPr>
                      <w:rFonts w:hint="default" w:ascii="Times New Roman" w:hAnsi="Times New Roman" w:cs="Times New Roman"/>
                      <w:color w:val="auto"/>
                      <w:sz w:val="21"/>
                      <w:szCs w:val="21"/>
                      <w:highlight w:val="none"/>
                    </w:rPr>
                    <w:t>部门</w:t>
                  </w:r>
                  <w:r>
                    <w:rPr>
                      <w:rFonts w:hint="default" w:ascii="Times New Roman" w:hAnsi="Times New Roman" w:cs="Times New Roman"/>
                      <w:color w:val="auto"/>
                      <w:sz w:val="21"/>
                      <w:szCs w:val="21"/>
                      <w:highlight w:val="none"/>
                      <w:lang w:eastAsia="zh-CN"/>
                    </w:rPr>
                    <w:t>统一清运</w:t>
                  </w:r>
                  <w:r>
                    <w:rPr>
                      <w:rFonts w:hint="eastAsia" w:cs="Times New Roman"/>
                      <w:color w:val="auto"/>
                      <w:sz w:val="21"/>
                      <w:szCs w:val="21"/>
                      <w:highlight w:val="none"/>
                      <w:lang w:eastAsia="zh-CN"/>
                    </w:rPr>
                    <w:t>。</w:t>
                  </w:r>
                </w:p>
              </w:tc>
              <w:tc>
                <w:tcPr>
                  <w:tcW w:w="527" w:type="pct"/>
                  <w:vMerge w:val="continue"/>
                  <w:tcBorders>
                    <w:tl2br w:val="nil"/>
                    <w:tr2bl w:val="nil"/>
                  </w:tcBorders>
                  <w:noWrap w:val="0"/>
                  <w:vAlign w:val="center"/>
                </w:tcPr>
                <w:p w14:paraId="5CD350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highlight w:val="none"/>
                      <w:lang w:val="en-US" w:eastAsia="zh-CN"/>
                    </w:rPr>
                  </w:pPr>
                </w:p>
              </w:tc>
            </w:tr>
            <w:tr w14:paraId="2EFC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0" w:hRule="atLeast"/>
                <w:tblHeader/>
                <w:jc w:val="center"/>
              </w:trPr>
              <w:tc>
                <w:tcPr>
                  <w:tcW w:w="334" w:type="pct"/>
                  <w:vMerge w:val="continue"/>
                  <w:tcBorders>
                    <w:tl2br w:val="nil"/>
                    <w:tr2bl w:val="nil"/>
                  </w:tcBorders>
                  <w:noWrap w:val="0"/>
                  <w:vAlign w:val="center"/>
                </w:tcPr>
                <w:p w14:paraId="02DF18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638" w:type="pct"/>
                  <w:tcBorders>
                    <w:tl2br w:val="nil"/>
                    <w:tr2bl w:val="nil"/>
                  </w:tcBorders>
                  <w:noWrap w:val="0"/>
                  <w:vAlign w:val="center"/>
                </w:tcPr>
                <w:p w14:paraId="54B383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噪声</w:t>
                  </w:r>
                </w:p>
              </w:tc>
              <w:tc>
                <w:tcPr>
                  <w:tcW w:w="3500" w:type="pct"/>
                  <w:gridSpan w:val="2"/>
                  <w:tcBorders>
                    <w:tl2br w:val="nil"/>
                    <w:tr2bl w:val="nil"/>
                  </w:tcBorders>
                  <w:noWrap w:val="0"/>
                  <w:vAlign w:val="center"/>
                </w:tcPr>
                <w:p w14:paraId="2BC261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选用低噪声设备，并采取减振、厂房隔声等措施</w:t>
                  </w:r>
                  <w:r>
                    <w:rPr>
                      <w:rFonts w:hint="eastAsia" w:cs="Times New Roman"/>
                      <w:color w:val="auto"/>
                      <w:sz w:val="21"/>
                      <w:szCs w:val="21"/>
                      <w:highlight w:val="none"/>
                      <w:lang w:eastAsia="zh-CN"/>
                    </w:rPr>
                    <w:t>。</w:t>
                  </w:r>
                </w:p>
              </w:tc>
              <w:tc>
                <w:tcPr>
                  <w:tcW w:w="527" w:type="pct"/>
                  <w:tcBorders>
                    <w:tl2br w:val="nil"/>
                    <w:tr2bl w:val="nil"/>
                  </w:tcBorders>
                  <w:noWrap w:val="0"/>
                  <w:vAlign w:val="center"/>
                </w:tcPr>
                <w:p w14:paraId="2BB11F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14:paraId="5872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tblHeader/>
                <w:jc w:val="center"/>
              </w:trPr>
              <w:tc>
                <w:tcPr>
                  <w:tcW w:w="334" w:type="pct"/>
                  <w:vMerge w:val="continue"/>
                  <w:tcBorders>
                    <w:tl2br w:val="nil"/>
                    <w:tr2bl w:val="nil"/>
                  </w:tcBorders>
                  <w:noWrap w:val="0"/>
                  <w:vAlign w:val="center"/>
                </w:tcPr>
                <w:p w14:paraId="11A749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638" w:type="pct"/>
                  <w:tcBorders>
                    <w:tl2br w:val="nil"/>
                    <w:tr2bl w:val="nil"/>
                  </w:tcBorders>
                  <w:noWrap w:val="0"/>
                  <w:vAlign w:val="center"/>
                </w:tcPr>
                <w:p w14:paraId="106110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地下水</w:t>
                  </w:r>
                  <w:r>
                    <w:rPr>
                      <w:rFonts w:hint="eastAsia" w:cs="Times New Roman"/>
                      <w:color w:val="auto"/>
                      <w:sz w:val="21"/>
                      <w:szCs w:val="21"/>
                      <w:highlight w:val="none"/>
                      <w:lang w:val="en-US" w:eastAsia="zh-CN"/>
                    </w:rPr>
                    <w:t>及土壤</w:t>
                  </w:r>
                </w:p>
              </w:tc>
              <w:tc>
                <w:tcPr>
                  <w:tcW w:w="3500" w:type="pct"/>
                  <w:gridSpan w:val="2"/>
                  <w:tcBorders>
                    <w:tl2br w:val="nil"/>
                    <w:tr2bl w:val="nil"/>
                  </w:tcBorders>
                  <w:noWrap w:val="0"/>
                  <w:vAlign w:val="center"/>
                </w:tcPr>
                <w:p w14:paraId="7484D5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（1）危废暂存库</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化学品库、注塑浇注区、拌料间</w:t>
                  </w:r>
                  <w:r>
                    <w:rPr>
                      <w:rFonts w:hint="default" w:ascii="Times New Roman" w:hAnsi="Times New Roman" w:eastAsia="宋体" w:cs="Times New Roman"/>
                      <w:color w:val="auto"/>
                      <w:sz w:val="21"/>
                      <w:szCs w:val="21"/>
                      <w:highlight w:val="none"/>
                      <w:lang w:val="en-US" w:eastAsia="zh-CN"/>
                    </w:rPr>
                    <w:t>采取重点防渗</w:t>
                  </w:r>
                  <w:r>
                    <w:rPr>
                      <w:rFonts w:hint="eastAsia" w:cs="Times New Roman"/>
                      <w:color w:val="auto"/>
                      <w:sz w:val="21"/>
                      <w:szCs w:val="21"/>
                      <w:highlight w:val="none"/>
                      <w:lang w:val="en-US" w:eastAsia="zh-CN"/>
                    </w:rPr>
                    <w:t>。（2）生产车间其他区域</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原料库和成品库等采取</w:t>
                  </w:r>
                  <w:r>
                    <w:rPr>
                      <w:rFonts w:hint="default" w:ascii="Times New Roman" w:hAnsi="Times New Roman" w:eastAsia="宋体" w:cs="Times New Roman"/>
                      <w:color w:val="auto"/>
                      <w:sz w:val="21"/>
                      <w:szCs w:val="21"/>
                      <w:highlight w:val="none"/>
                    </w:rPr>
                    <w:t>一般防渗</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3</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办公楼采取</w:t>
                  </w:r>
                  <w:r>
                    <w:rPr>
                      <w:rFonts w:hint="default" w:ascii="Times New Roman" w:hAnsi="Times New Roman" w:eastAsia="宋体" w:cs="Times New Roman"/>
                      <w:color w:val="auto"/>
                      <w:sz w:val="21"/>
                      <w:szCs w:val="21"/>
                      <w:highlight w:val="none"/>
                    </w:rPr>
                    <w:t>简单防渗区</w:t>
                  </w:r>
                  <w:r>
                    <w:rPr>
                      <w:rFonts w:hint="eastAsia" w:cs="Times New Roman"/>
                      <w:color w:val="auto"/>
                      <w:sz w:val="21"/>
                      <w:szCs w:val="21"/>
                      <w:highlight w:val="none"/>
                      <w:lang w:eastAsia="zh-CN"/>
                    </w:rPr>
                    <w:t>。</w:t>
                  </w:r>
                </w:p>
              </w:tc>
              <w:tc>
                <w:tcPr>
                  <w:tcW w:w="527" w:type="pct"/>
                  <w:tcBorders>
                    <w:tl2br w:val="nil"/>
                    <w:tr2bl w:val="nil"/>
                  </w:tcBorders>
                  <w:noWrap w:val="0"/>
                  <w:vAlign w:val="center"/>
                </w:tcPr>
                <w:p w14:paraId="181B36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4A18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tblHeader/>
                <w:jc w:val="center"/>
              </w:trPr>
              <w:tc>
                <w:tcPr>
                  <w:tcW w:w="334" w:type="pct"/>
                  <w:vMerge w:val="continue"/>
                  <w:tcBorders>
                    <w:tl2br w:val="nil"/>
                    <w:tr2bl w:val="nil"/>
                  </w:tcBorders>
                  <w:noWrap w:val="0"/>
                  <w:vAlign w:val="center"/>
                </w:tcPr>
                <w:p w14:paraId="51576F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638" w:type="pct"/>
                  <w:tcBorders>
                    <w:tl2br w:val="nil"/>
                    <w:tr2bl w:val="nil"/>
                  </w:tcBorders>
                  <w:noWrap w:val="0"/>
                  <w:vAlign w:val="center"/>
                </w:tcPr>
                <w:p w14:paraId="63E991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风险</w:t>
                  </w:r>
                </w:p>
              </w:tc>
              <w:tc>
                <w:tcPr>
                  <w:tcW w:w="3500" w:type="pct"/>
                  <w:gridSpan w:val="2"/>
                  <w:tcBorders>
                    <w:tl2br w:val="nil"/>
                    <w:tr2bl w:val="nil"/>
                  </w:tcBorders>
                  <w:noWrap w:val="0"/>
                  <w:vAlign w:val="center"/>
                </w:tcPr>
                <w:p w14:paraId="458EA0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危废暂存库进行重点防渗+</w:t>
                  </w:r>
                  <w:r>
                    <w:rPr>
                      <w:rFonts w:hint="default" w:ascii="Times New Roman" w:hAnsi="Times New Roman" w:eastAsia="宋体" w:cs="Times New Roman"/>
                      <w:color w:val="auto"/>
                      <w:sz w:val="21"/>
                      <w:szCs w:val="21"/>
                      <w:highlight w:val="none"/>
                      <w:lang w:val="en-US" w:eastAsia="zh-CN"/>
                    </w:rPr>
                    <w:t>导流槽</w:t>
                  </w:r>
                  <w:r>
                    <w:rPr>
                      <w:rFonts w:hint="eastAsia" w:ascii="Times New Roman" w:hAnsi="Times New Roman" w:eastAsia="宋体" w:cs="Times New Roman"/>
                      <w:color w:val="auto"/>
                      <w:sz w:val="21"/>
                      <w:szCs w:val="21"/>
                      <w:highlight w:val="none"/>
                      <w:lang w:val="en-US" w:eastAsia="zh-CN"/>
                    </w:rPr>
                    <w:t>设置；化学品库进行重点防渗，桶装液体底部设置托盘防渗防泄漏。</w:t>
                  </w:r>
                </w:p>
              </w:tc>
              <w:tc>
                <w:tcPr>
                  <w:tcW w:w="527" w:type="pct"/>
                  <w:tcBorders>
                    <w:tl2br w:val="nil"/>
                    <w:tr2bl w:val="nil"/>
                  </w:tcBorders>
                  <w:noWrap w:val="0"/>
                  <w:vAlign w:val="center"/>
                </w:tcPr>
                <w:p w14:paraId="522AFF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bl>
          <w:p w14:paraId="3EBBE7AD">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、项目产品方案</w:t>
            </w:r>
          </w:p>
          <w:p w14:paraId="69F3BED7">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eastAsia="zh-CN"/>
              </w:rPr>
              <w:t>本项目</w:t>
            </w:r>
            <w:r>
              <w:rPr>
                <w:rFonts w:hint="eastAsia" w:cs="Times New Roman"/>
                <w:b w:val="0"/>
                <w:bCs/>
                <w:color w:val="auto"/>
                <w:sz w:val="24"/>
                <w:szCs w:val="24"/>
                <w:highlight w:val="none"/>
                <w:lang w:val="en-US" w:eastAsia="zh-CN"/>
              </w:rPr>
              <w:t>防静电无尘鞋包括PVC连帮鞋和PU连帮鞋两种类型</w:t>
            </w:r>
            <w:r>
              <w:rPr>
                <w:rFonts w:hint="eastAsia"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eastAsia="zh-CN"/>
              </w:rPr>
              <w:t>产品方案</w:t>
            </w:r>
            <w:r>
              <w:rPr>
                <w:rFonts w:hint="default" w:ascii="Times New Roman" w:hAnsi="Times New Roman" w:eastAsia="宋体" w:cs="Times New Roman"/>
                <w:b w:val="0"/>
                <w:bCs/>
                <w:color w:val="auto"/>
                <w:sz w:val="24"/>
                <w:szCs w:val="24"/>
                <w:highlight w:val="none"/>
                <w:lang w:val="en-US" w:eastAsia="zh-CN"/>
              </w:rPr>
              <w:t>见下表：</w:t>
            </w:r>
          </w:p>
          <w:p w14:paraId="55AA1E3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表2-</w:t>
            </w:r>
            <w:r>
              <w:rPr>
                <w:rFonts w:hint="eastAsia"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eastAsia="zh-CN"/>
              </w:rPr>
              <w:t>项目产品方案一览表</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1641"/>
              <w:gridCol w:w="1613"/>
              <w:gridCol w:w="1417"/>
              <w:gridCol w:w="2613"/>
            </w:tblGrid>
            <w:tr w14:paraId="0DC2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noWrap w:val="0"/>
                  <w:vAlign w:val="center"/>
                </w:tcPr>
                <w:p w14:paraId="32B81C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rPr>
                    <w:t>序号</w:t>
                  </w:r>
                </w:p>
              </w:tc>
              <w:tc>
                <w:tcPr>
                  <w:tcW w:w="1046" w:type="pct"/>
                  <w:noWrap w:val="0"/>
                  <w:vAlign w:val="center"/>
                </w:tcPr>
                <w:p w14:paraId="413BDF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eastAsia" w:ascii="Times New Roman" w:hAnsi="Times New Roman" w:eastAsia="宋体"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生产线</w:t>
                  </w:r>
                </w:p>
              </w:tc>
              <w:tc>
                <w:tcPr>
                  <w:tcW w:w="1028" w:type="pct"/>
                  <w:noWrap w:val="0"/>
                  <w:vAlign w:val="center"/>
                </w:tcPr>
                <w:p w14:paraId="5F9F55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rPr>
                    <w:t>产品名称</w:t>
                  </w:r>
                </w:p>
              </w:tc>
              <w:tc>
                <w:tcPr>
                  <w:tcW w:w="903" w:type="pct"/>
                  <w:noWrap w:val="0"/>
                  <w:vAlign w:val="center"/>
                </w:tcPr>
                <w:p w14:paraId="30DAF2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设计产能</w:t>
                  </w:r>
                </w:p>
              </w:tc>
              <w:tc>
                <w:tcPr>
                  <w:tcW w:w="1665" w:type="pct"/>
                  <w:noWrap w:val="0"/>
                  <w:vAlign w:val="center"/>
                </w:tcPr>
                <w:p w14:paraId="7AA0C7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val="0"/>
                      <w:color w:val="auto"/>
                      <w:sz w:val="21"/>
                      <w:szCs w:val="21"/>
                      <w:highlight w:val="none"/>
                      <w:lang w:eastAsia="zh-CN"/>
                    </w:rPr>
                  </w:pPr>
                  <w:r>
                    <w:rPr>
                      <w:rFonts w:hint="eastAsia" w:cs="Times New Roman"/>
                      <w:b/>
                      <w:bCs w:val="0"/>
                      <w:color w:val="auto"/>
                      <w:sz w:val="21"/>
                      <w:szCs w:val="21"/>
                      <w:highlight w:val="none"/>
                      <w:lang w:val="en-US" w:eastAsia="zh-CN"/>
                    </w:rPr>
                    <w:t>规格</w:t>
                  </w:r>
                </w:p>
              </w:tc>
            </w:tr>
            <w:tr w14:paraId="0742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noWrap w:val="0"/>
                  <w:vAlign w:val="center"/>
                </w:tcPr>
                <w:p w14:paraId="6626AB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1</w:t>
                  </w:r>
                </w:p>
              </w:tc>
              <w:tc>
                <w:tcPr>
                  <w:tcW w:w="1046" w:type="pct"/>
                  <w:noWrap w:val="0"/>
                  <w:vAlign w:val="center"/>
                </w:tcPr>
                <w:p w14:paraId="1B7586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color w:val="auto"/>
                      <w:sz w:val="21"/>
                      <w:szCs w:val="21"/>
                      <w:highlight w:val="none"/>
                      <w:lang w:val="en-US" w:eastAsia="zh-CN"/>
                    </w:rPr>
                    <w:t>PVC连帮鞋</w:t>
                  </w:r>
                  <w:r>
                    <w:rPr>
                      <w:rFonts w:hint="eastAsia" w:ascii="Times New Roman" w:hAnsi="Times New Roman" w:cs="Times New Roman"/>
                      <w:color w:val="auto"/>
                      <w:sz w:val="21"/>
                      <w:szCs w:val="21"/>
                      <w:highlight w:val="none"/>
                      <w:lang w:val="en-US" w:eastAsia="zh-CN"/>
                    </w:rPr>
                    <w:t>生产线</w:t>
                  </w:r>
                </w:p>
              </w:tc>
              <w:tc>
                <w:tcPr>
                  <w:tcW w:w="1028" w:type="pct"/>
                  <w:noWrap w:val="0"/>
                  <w:vAlign w:val="center"/>
                </w:tcPr>
                <w:p w14:paraId="09D55F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color w:val="auto"/>
                      <w:sz w:val="21"/>
                      <w:szCs w:val="21"/>
                      <w:highlight w:val="none"/>
                      <w:lang w:val="en-US" w:eastAsia="zh-CN"/>
                    </w:rPr>
                    <w:t>PVC连帮鞋</w:t>
                  </w:r>
                </w:p>
              </w:tc>
              <w:tc>
                <w:tcPr>
                  <w:tcW w:w="903" w:type="pct"/>
                  <w:noWrap w:val="0"/>
                  <w:vAlign w:val="center"/>
                </w:tcPr>
                <w:p w14:paraId="773C1B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75万双</w:t>
                  </w:r>
                </w:p>
              </w:tc>
              <w:tc>
                <w:tcPr>
                  <w:tcW w:w="1665" w:type="pct"/>
                  <w:noWrap w:val="0"/>
                  <w:vAlign w:val="center"/>
                </w:tcPr>
                <w:p w14:paraId="068B6EE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鞋底</w:t>
                  </w:r>
                  <w:r>
                    <w:rPr>
                      <w:rFonts w:hint="eastAsia" w:ascii="Times New Roman" w:hAnsi="Times New Roman" w:eastAsia="宋体" w:cs="Times New Roman"/>
                      <w:color w:val="auto"/>
                      <w:sz w:val="21"/>
                      <w:szCs w:val="21"/>
                      <w:highlight w:val="none"/>
                      <w:lang w:val="en-US" w:eastAsia="zh-CN"/>
                    </w:rPr>
                    <w:t>重量：</w:t>
                  </w:r>
                  <w:r>
                    <w:rPr>
                      <w:rFonts w:hint="eastAsia" w:cs="Times New Roman"/>
                      <w:color w:val="auto"/>
                      <w:sz w:val="21"/>
                      <w:szCs w:val="21"/>
                      <w:highlight w:val="none"/>
                      <w:lang w:val="en-US" w:eastAsia="zh-CN"/>
                    </w:rPr>
                    <w:t>平均</w:t>
                  </w:r>
                  <w:r>
                    <w:rPr>
                      <w:rFonts w:hint="eastAsia" w:ascii="Times New Roman" w:hAnsi="Times New Roman" w:eastAsia="宋体" w:cs="Times New Roman"/>
                      <w:color w:val="auto"/>
                      <w:sz w:val="21"/>
                      <w:szCs w:val="21"/>
                      <w:highlight w:val="none"/>
                      <w:lang w:val="en-US" w:eastAsia="zh-CN"/>
                    </w:rPr>
                    <w:t>约</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0g/</w:t>
                  </w:r>
                  <w:r>
                    <w:rPr>
                      <w:rFonts w:hint="eastAsia" w:cs="Times New Roman"/>
                      <w:color w:val="auto"/>
                      <w:sz w:val="21"/>
                      <w:szCs w:val="21"/>
                      <w:highlight w:val="none"/>
                      <w:lang w:val="en-US" w:eastAsia="zh-CN"/>
                    </w:rPr>
                    <w:t>双</w:t>
                  </w:r>
                </w:p>
              </w:tc>
            </w:tr>
            <w:tr w14:paraId="2E1A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noWrap w:val="0"/>
                  <w:vAlign w:val="center"/>
                </w:tcPr>
                <w:p w14:paraId="78EDC9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2</w:t>
                  </w:r>
                </w:p>
              </w:tc>
              <w:tc>
                <w:tcPr>
                  <w:tcW w:w="1046" w:type="pct"/>
                  <w:shd w:val="clear" w:color="auto" w:fill="auto"/>
                  <w:noWrap w:val="0"/>
                  <w:vAlign w:val="center"/>
                </w:tcPr>
                <w:p w14:paraId="607483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color w:val="auto"/>
                      <w:sz w:val="21"/>
                      <w:szCs w:val="21"/>
                      <w:highlight w:val="none"/>
                      <w:lang w:val="en-US" w:eastAsia="zh-CN"/>
                    </w:rPr>
                    <w:t>PU连帮鞋</w:t>
                  </w:r>
                  <w:r>
                    <w:rPr>
                      <w:rFonts w:hint="eastAsia" w:ascii="Times New Roman" w:hAnsi="Times New Roman" w:cs="Times New Roman"/>
                      <w:color w:val="auto"/>
                      <w:sz w:val="21"/>
                      <w:szCs w:val="21"/>
                      <w:highlight w:val="none"/>
                      <w:lang w:val="en-US" w:eastAsia="zh-CN"/>
                    </w:rPr>
                    <w:t>生产线</w:t>
                  </w:r>
                </w:p>
              </w:tc>
              <w:tc>
                <w:tcPr>
                  <w:tcW w:w="1028" w:type="pct"/>
                  <w:shd w:val="clear" w:color="auto" w:fill="auto"/>
                  <w:noWrap w:val="0"/>
                  <w:vAlign w:val="center"/>
                </w:tcPr>
                <w:p w14:paraId="305B97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PU连帮鞋</w:t>
                  </w:r>
                </w:p>
              </w:tc>
              <w:tc>
                <w:tcPr>
                  <w:tcW w:w="903" w:type="pct"/>
                  <w:shd w:val="clear" w:color="auto" w:fill="auto"/>
                  <w:noWrap w:val="0"/>
                  <w:vAlign w:val="center"/>
                </w:tcPr>
                <w:p w14:paraId="54D2F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75万双</w:t>
                  </w:r>
                </w:p>
              </w:tc>
              <w:tc>
                <w:tcPr>
                  <w:tcW w:w="1665" w:type="pct"/>
                  <w:noWrap w:val="0"/>
                  <w:vAlign w:val="center"/>
                </w:tcPr>
                <w:p w14:paraId="79AD23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鞋底</w:t>
                  </w:r>
                  <w:r>
                    <w:rPr>
                      <w:rFonts w:hint="eastAsia" w:ascii="Times New Roman" w:hAnsi="Times New Roman" w:eastAsia="宋体" w:cs="Times New Roman"/>
                      <w:color w:val="auto"/>
                      <w:sz w:val="21"/>
                      <w:szCs w:val="21"/>
                      <w:highlight w:val="none"/>
                      <w:lang w:val="en-US" w:eastAsia="zh-CN"/>
                    </w:rPr>
                    <w:t>重量：</w:t>
                  </w:r>
                  <w:r>
                    <w:rPr>
                      <w:rFonts w:hint="eastAsia" w:cs="Times New Roman"/>
                      <w:color w:val="auto"/>
                      <w:sz w:val="21"/>
                      <w:szCs w:val="21"/>
                      <w:highlight w:val="none"/>
                      <w:lang w:val="en-US" w:eastAsia="zh-CN"/>
                    </w:rPr>
                    <w:t>平均</w:t>
                  </w:r>
                  <w:r>
                    <w:rPr>
                      <w:rFonts w:hint="eastAsia" w:ascii="Times New Roman" w:hAnsi="Times New Roman" w:eastAsia="宋体" w:cs="Times New Roman"/>
                      <w:color w:val="auto"/>
                      <w:sz w:val="21"/>
                      <w:szCs w:val="21"/>
                      <w:highlight w:val="none"/>
                      <w:lang w:val="en-US" w:eastAsia="zh-CN"/>
                    </w:rPr>
                    <w:t>约</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lang w:val="en-US" w:eastAsia="zh-CN"/>
                    </w:rPr>
                    <w:t>0g/</w:t>
                  </w:r>
                  <w:r>
                    <w:rPr>
                      <w:rFonts w:hint="eastAsia" w:cs="Times New Roman"/>
                      <w:color w:val="auto"/>
                      <w:sz w:val="21"/>
                      <w:szCs w:val="21"/>
                      <w:highlight w:val="none"/>
                      <w:lang w:val="en-US" w:eastAsia="zh-CN"/>
                    </w:rPr>
                    <w:t>双</w:t>
                  </w:r>
                </w:p>
              </w:tc>
            </w:tr>
            <w:tr w14:paraId="66BE7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noWrap w:val="0"/>
                  <w:vAlign w:val="center"/>
                </w:tcPr>
                <w:p w14:paraId="46A689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3</w:t>
                  </w:r>
                </w:p>
              </w:tc>
              <w:tc>
                <w:tcPr>
                  <w:tcW w:w="1046" w:type="pct"/>
                  <w:vMerge w:val="restart"/>
                  <w:noWrap w:val="0"/>
                  <w:vAlign w:val="center"/>
                </w:tcPr>
                <w:p w14:paraId="7C53E8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防静电无尘服、棉服羽绒服</w:t>
                  </w:r>
                  <w:r>
                    <w:rPr>
                      <w:rFonts w:hint="eastAsia" w:ascii="Times New Roman" w:hAnsi="Times New Roman" w:cs="Times New Roman"/>
                      <w:color w:val="auto"/>
                      <w:sz w:val="21"/>
                      <w:szCs w:val="21"/>
                      <w:highlight w:val="none"/>
                      <w:lang w:val="en-US" w:eastAsia="zh-CN"/>
                    </w:rPr>
                    <w:t>生产线</w:t>
                  </w:r>
                </w:p>
              </w:tc>
              <w:tc>
                <w:tcPr>
                  <w:tcW w:w="1028" w:type="pct"/>
                  <w:noWrap w:val="0"/>
                  <w:vAlign w:val="center"/>
                </w:tcPr>
                <w:p w14:paraId="67E93F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i w:val="0"/>
                      <w:iCs w:val="0"/>
                      <w:color w:val="auto"/>
                      <w:sz w:val="21"/>
                      <w:szCs w:val="21"/>
                      <w:highlight w:val="none"/>
                      <w:u w:val="none"/>
                      <w:lang w:val="en-US" w:eastAsia="zh-CN"/>
                    </w:rPr>
                    <w:t>防静电无尘服</w:t>
                  </w:r>
                </w:p>
              </w:tc>
              <w:tc>
                <w:tcPr>
                  <w:tcW w:w="903" w:type="pct"/>
                  <w:noWrap w:val="0"/>
                  <w:vAlign w:val="center"/>
                </w:tcPr>
                <w:p w14:paraId="79C109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150万套</w:t>
                  </w:r>
                </w:p>
              </w:tc>
              <w:tc>
                <w:tcPr>
                  <w:tcW w:w="1665" w:type="pct"/>
                  <w:vMerge w:val="restart"/>
                  <w:shd w:val="clear" w:color="auto" w:fill="auto"/>
                  <w:noWrap w:val="0"/>
                  <w:vAlign w:val="center"/>
                </w:tcPr>
                <w:p w14:paraId="39A197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根据客户要求制定</w:t>
                  </w:r>
                </w:p>
              </w:tc>
            </w:tr>
            <w:tr w14:paraId="6613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noWrap w:val="0"/>
                  <w:vAlign w:val="center"/>
                </w:tcPr>
                <w:p w14:paraId="7D577E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4</w:t>
                  </w:r>
                </w:p>
              </w:tc>
              <w:tc>
                <w:tcPr>
                  <w:tcW w:w="1046" w:type="pct"/>
                  <w:vMerge w:val="continue"/>
                  <w:noWrap w:val="0"/>
                  <w:vAlign w:val="center"/>
                </w:tcPr>
                <w:p w14:paraId="198B5E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Style w:val="95"/>
                      <w:rFonts w:hint="default" w:ascii="Times New Roman" w:hAnsi="Times New Roman" w:eastAsia="宋体" w:cs="Times New Roman"/>
                      <w:color w:val="auto"/>
                      <w:sz w:val="21"/>
                      <w:szCs w:val="21"/>
                      <w:highlight w:val="none"/>
                      <w:lang w:val="en-US" w:eastAsia="zh-CN" w:bidi="ar"/>
                    </w:rPr>
                  </w:pPr>
                </w:p>
              </w:tc>
              <w:tc>
                <w:tcPr>
                  <w:tcW w:w="1028" w:type="pct"/>
                  <w:noWrap w:val="0"/>
                  <w:vAlign w:val="center"/>
                </w:tcPr>
                <w:p w14:paraId="111AAA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i w:val="0"/>
                      <w:iCs w:val="0"/>
                      <w:color w:val="auto"/>
                      <w:sz w:val="21"/>
                      <w:szCs w:val="21"/>
                      <w:highlight w:val="none"/>
                      <w:u w:val="none"/>
                      <w:lang w:val="en-US" w:eastAsia="zh-CN"/>
                    </w:rPr>
                    <w:t>棉服</w:t>
                  </w:r>
                </w:p>
              </w:tc>
              <w:tc>
                <w:tcPr>
                  <w:tcW w:w="903" w:type="pct"/>
                  <w:noWrap w:val="0"/>
                  <w:vAlign w:val="center"/>
                </w:tcPr>
                <w:p w14:paraId="77F4EE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25万套</w:t>
                  </w:r>
                </w:p>
              </w:tc>
              <w:tc>
                <w:tcPr>
                  <w:tcW w:w="1665" w:type="pct"/>
                  <w:vMerge w:val="continue"/>
                  <w:noWrap w:val="0"/>
                  <w:vAlign w:val="center"/>
                </w:tcPr>
                <w:p w14:paraId="2142E67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p>
              </w:tc>
            </w:tr>
            <w:tr w14:paraId="0762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noWrap w:val="0"/>
                  <w:vAlign w:val="center"/>
                </w:tcPr>
                <w:p w14:paraId="6C1344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046" w:type="pct"/>
                  <w:vMerge w:val="continue"/>
                  <w:noWrap w:val="0"/>
                  <w:vAlign w:val="center"/>
                </w:tcPr>
                <w:p w14:paraId="0C559A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Style w:val="95"/>
                      <w:rFonts w:hint="default" w:ascii="Times New Roman" w:hAnsi="Times New Roman" w:eastAsia="宋体" w:cs="Times New Roman"/>
                      <w:color w:val="auto"/>
                      <w:sz w:val="21"/>
                      <w:szCs w:val="21"/>
                      <w:highlight w:val="none"/>
                      <w:lang w:val="en-US" w:eastAsia="zh-CN" w:bidi="ar"/>
                    </w:rPr>
                  </w:pPr>
                </w:p>
              </w:tc>
              <w:tc>
                <w:tcPr>
                  <w:tcW w:w="1028" w:type="pct"/>
                  <w:noWrap w:val="0"/>
                  <w:vAlign w:val="center"/>
                </w:tcPr>
                <w:p w14:paraId="619122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i w:val="0"/>
                      <w:iCs w:val="0"/>
                      <w:color w:val="auto"/>
                      <w:sz w:val="21"/>
                      <w:szCs w:val="21"/>
                      <w:highlight w:val="none"/>
                      <w:u w:val="none"/>
                      <w:lang w:val="en-US" w:eastAsia="zh-CN"/>
                    </w:rPr>
                    <w:t>羽绒服</w:t>
                  </w:r>
                </w:p>
              </w:tc>
              <w:tc>
                <w:tcPr>
                  <w:tcW w:w="903" w:type="pct"/>
                  <w:noWrap w:val="0"/>
                  <w:vAlign w:val="center"/>
                </w:tcPr>
                <w:p w14:paraId="7F3274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25万套</w:t>
                  </w:r>
                </w:p>
              </w:tc>
              <w:tc>
                <w:tcPr>
                  <w:tcW w:w="1665" w:type="pct"/>
                  <w:vMerge w:val="continue"/>
                  <w:noWrap w:val="0"/>
                  <w:vAlign w:val="center"/>
                </w:tcPr>
                <w:p w14:paraId="546F53F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p>
              </w:tc>
            </w:tr>
          </w:tbl>
          <w:p w14:paraId="72D467C3">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cs="Times New Roman"/>
                <w:b w:val="0"/>
                <w:bCs w:val="0"/>
                <w:color w:val="auto"/>
                <w:kern w:val="2"/>
                <w:sz w:val="24"/>
                <w:szCs w:val="24"/>
                <w:highlight w:val="none"/>
                <w:lang w:val="en-US" w:eastAsia="zh-CN" w:bidi="ar-SA"/>
              </w:rPr>
            </w:pPr>
            <w:r>
              <w:rPr>
                <w:rFonts w:hint="eastAsia" w:ascii="Times New Roman" w:cs="Times New Roman"/>
                <w:b w:val="0"/>
                <w:bCs w:val="0"/>
                <w:color w:val="auto"/>
                <w:kern w:val="2"/>
                <w:sz w:val="24"/>
                <w:szCs w:val="24"/>
                <w:highlight w:val="none"/>
                <w:lang w:val="en-US" w:eastAsia="zh-CN" w:bidi="ar-SA"/>
              </w:rPr>
              <w:t>产品质量标准：本项目防静电无尘鞋产品参照《足部防护 安全鞋》（GB21148-2020）中电气性能和物理机械性能等要求，防静电无尘服参照《防护服装 防静电服》（GB 12014-2019）中要求，羽绒服产品参照《羽绒服装》（GB/T 14272-2021）中要求，棉服参照《棉服装》（GB/T 2662-2017）中要求。</w:t>
            </w:r>
          </w:p>
          <w:p w14:paraId="0CFBE3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color w:val="auto"/>
                <w:sz w:val="24"/>
                <w:szCs w:val="22"/>
                <w:highlight w:val="none"/>
                <w:lang w:val="en-US" w:eastAsia="zh-CN"/>
              </w:rPr>
            </w:pPr>
            <w:r>
              <w:rPr>
                <w:rFonts w:hint="eastAsia" w:cs="Times New Roman"/>
                <w:b/>
                <w:color w:val="auto"/>
                <w:sz w:val="24"/>
                <w:szCs w:val="22"/>
                <w:highlight w:val="none"/>
                <w:lang w:val="en-US" w:eastAsia="zh-CN"/>
              </w:rPr>
              <w:t>4</w:t>
            </w:r>
            <w:r>
              <w:rPr>
                <w:rFonts w:hint="default" w:ascii="Times New Roman" w:hAnsi="Times New Roman" w:eastAsia="宋体" w:cs="Times New Roman"/>
                <w:b/>
                <w:color w:val="auto"/>
                <w:sz w:val="24"/>
                <w:szCs w:val="22"/>
                <w:highlight w:val="none"/>
                <w:lang w:val="en-US" w:eastAsia="zh-CN"/>
              </w:rPr>
              <w:t>、原辅材料及资源能源消耗</w:t>
            </w:r>
          </w:p>
          <w:p w14:paraId="68E684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表2-</w:t>
            </w:r>
            <w:r>
              <w:rPr>
                <w:rFonts w:hint="eastAsia" w:cs="Times New Roman"/>
                <w:b/>
                <w:color w:val="auto"/>
                <w:sz w:val="21"/>
                <w:szCs w:val="21"/>
                <w:highlight w:val="none"/>
                <w:lang w:val="en-US" w:eastAsia="zh-CN"/>
              </w:rPr>
              <w:t>5</w:t>
            </w:r>
            <w:r>
              <w:rPr>
                <w:rFonts w:hint="default" w:ascii="Times New Roman" w:hAnsi="Times New Roman" w:eastAsia="宋体" w:cs="Times New Roman"/>
                <w:b/>
                <w:color w:val="auto"/>
                <w:sz w:val="21"/>
                <w:szCs w:val="21"/>
                <w:highlight w:val="none"/>
                <w:lang w:val="en-US" w:eastAsia="zh-CN"/>
              </w:rPr>
              <w:t xml:space="preserve">  项目主要原辅材料及能源消耗量一览表</w:t>
            </w:r>
          </w:p>
          <w:tbl>
            <w:tblPr>
              <w:tblStyle w:val="39"/>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584"/>
              <w:gridCol w:w="995"/>
              <w:gridCol w:w="1258"/>
              <w:gridCol w:w="1708"/>
              <w:gridCol w:w="860"/>
              <w:gridCol w:w="847"/>
            </w:tblGrid>
            <w:tr w14:paraId="0F65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noWrap w:val="0"/>
                  <w:vAlign w:val="center"/>
                </w:tcPr>
                <w:p w14:paraId="6EC07A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序号</w:t>
                  </w:r>
                </w:p>
              </w:tc>
              <w:tc>
                <w:tcPr>
                  <w:tcW w:w="1011" w:type="pct"/>
                  <w:tcBorders>
                    <w:tl2br w:val="nil"/>
                    <w:tr2bl w:val="nil"/>
                  </w:tcBorders>
                  <w:noWrap w:val="0"/>
                  <w:vAlign w:val="center"/>
                </w:tcPr>
                <w:p w14:paraId="591DC4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名称</w:t>
                  </w:r>
                </w:p>
              </w:tc>
              <w:tc>
                <w:tcPr>
                  <w:tcW w:w="635" w:type="pct"/>
                  <w:tcBorders>
                    <w:tl2br w:val="nil"/>
                    <w:tr2bl w:val="nil"/>
                  </w:tcBorders>
                  <w:noWrap w:val="0"/>
                  <w:vAlign w:val="center"/>
                </w:tcPr>
                <w:p w14:paraId="588FAD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年消耗量</w:t>
                  </w:r>
                </w:p>
              </w:tc>
              <w:tc>
                <w:tcPr>
                  <w:tcW w:w="803" w:type="pct"/>
                  <w:tcBorders>
                    <w:tl2br w:val="nil"/>
                    <w:tr2bl w:val="nil"/>
                  </w:tcBorders>
                  <w:noWrap w:val="0"/>
                  <w:vAlign w:val="center"/>
                </w:tcPr>
                <w:p w14:paraId="192B5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eastAsia="zh-CN"/>
                    </w:rPr>
                    <w:t>最大储存量</w:t>
                  </w:r>
                </w:p>
              </w:tc>
              <w:tc>
                <w:tcPr>
                  <w:tcW w:w="1090" w:type="pct"/>
                  <w:tcBorders>
                    <w:tl2br w:val="nil"/>
                    <w:tr2bl w:val="nil"/>
                  </w:tcBorders>
                  <w:noWrap w:val="0"/>
                  <w:vAlign w:val="center"/>
                </w:tcPr>
                <w:p w14:paraId="3C8FFC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eastAsia="zh-CN"/>
                    </w:rPr>
                    <w:t>规格及</w:t>
                  </w:r>
                  <w:r>
                    <w:rPr>
                      <w:rFonts w:hint="default" w:ascii="Times New Roman" w:hAnsi="Times New Roman" w:eastAsia="宋体" w:cs="Times New Roman"/>
                      <w:b/>
                      <w:bCs w:val="0"/>
                      <w:color w:val="auto"/>
                      <w:sz w:val="21"/>
                      <w:szCs w:val="21"/>
                      <w:highlight w:val="none"/>
                    </w:rPr>
                    <w:t>储存方式</w:t>
                  </w:r>
                </w:p>
              </w:tc>
              <w:tc>
                <w:tcPr>
                  <w:tcW w:w="549" w:type="pct"/>
                  <w:tcBorders>
                    <w:tl2br w:val="nil"/>
                    <w:tr2bl w:val="nil"/>
                  </w:tcBorders>
                  <w:noWrap w:val="0"/>
                  <w:vAlign w:val="center"/>
                </w:tcPr>
                <w:p w14:paraId="4445E7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pacing w:val="-2"/>
                      <w:kern w:val="0"/>
                      <w:sz w:val="21"/>
                      <w:szCs w:val="21"/>
                      <w:highlight w:val="none"/>
                      <w:lang w:eastAsia="zh-CN"/>
                    </w:rPr>
                    <w:t>储</w:t>
                  </w:r>
                  <w:r>
                    <w:rPr>
                      <w:rFonts w:hint="default" w:ascii="Times New Roman" w:hAnsi="Times New Roman" w:eastAsia="宋体" w:cs="Times New Roman"/>
                      <w:b/>
                      <w:bCs w:val="0"/>
                      <w:color w:val="auto"/>
                      <w:spacing w:val="-2"/>
                      <w:kern w:val="0"/>
                      <w:sz w:val="21"/>
                      <w:szCs w:val="21"/>
                      <w:highlight w:val="none"/>
                    </w:rPr>
                    <w:t>存周期</w:t>
                  </w:r>
                </w:p>
              </w:tc>
              <w:tc>
                <w:tcPr>
                  <w:tcW w:w="540" w:type="pct"/>
                  <w:tcBorders>
                    <w:tl2br w:val="nil"/>
                    <w:tr2bl w:val="nil"/>
                  </w:tcBorders>
                  <w:noWrap w:val="0"/>
                  <w:vAlign w:val="center"/>
                </w:tcPr>
                <w:p w14:paraId="1485E2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val="0"/>
                      <w:color w:val="auto"/>
                      <w:spacing w:val="-2"/>
                      <w:kern w:val="0"/>
                      <w:sz w:val="21"/>
                      <w:szCs w:val="21"/>
                      <w:highlight w:val="none"/>
                    </w:rPr>
                  </w:pPr>
                  <w:r>
                    <w:rPr>
                      <w:rFonts w:hint="default" w:ascii="Times New Roman" w:hAnsi="Times New Roman" w:eastAsia="宋体" w:cs="Times New Roman"/>
                      <w:b/>
                      <w:bCs w:val="0"/>
                      <w:color w:val="auto"/>
                      <w:spacing w:val="-2"/>
                      <w:kern w:val="0"/>
                      <w:sz w:val="21"/>
                      <w:szCs w:val="21"/>
                      <w:highlight w:val="none"/>
                    </w:rPr>
                    <w:t>储存位置</w:t>
                  </w:r>
                </w:p>
              </w:tc>
            </w:tr>
            <w:tr w14:paraId="0953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noWrap w:val="0"/>
                  <w:vAlign w:val="center"/>
                </w:tcPr>
                <w:p w14:paraId="5309CD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011" w:type="pct"/>
                  <w:tcBorders>
                    <w:tl2br w:val="nil"/>
                    <w:tr2bl w:val="nil"/>
                  </w:tcBorders>
                  <w:noWrap w:val="0"/>
                  <w:vAlign w:val="center"/>
                </w:tcPr>
                <w:p w14:paraId="29C44A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PVC树脂粉</w:t>
                  </w:r>
                  <w:r>
                    <w:rPr>
                      <w:rFonts w:hint="eastAsia" w:cs="Times New Roman"/>
                      <w:color w:val="auto"/>
                      <w:kern w:val="0"/>
                      <w:sz w:val="21"/>
                      <w:szCs w:val="21"/>
                      <w:highlight w:val="none"/>
                      <w:vertAlign w:val="superscript"/>
                      <w:lang w:val="en-US" w:eastAsia="zh-CN"/>
                    </w:rPr>
                    <w:t>（1）</w:t>
                  </w:r>
                </w:p>
              </w:tc>
              <w:tc>
                <w:tcPr>
                  <w:tcW w:w="635" w:type="pct"/>
                  <w:tcBorders>
                    <w:tl2br w:val="nil"/>
                    <w:tr2bl w:val="nil"/>
                  </w:tcBorders>
                  <w:noWrap w:val="0"/>
                  <w:vAlign w:val="center"/>
                </w:tcPr>
                <w:p w14:paraId="03BBD5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75t/a</w:t>
                  </w:r>
                </w:p>
              </w:tc>
              <w:tc>
                <w:tcPr>
                  <w:tcW w:w="803" w:type="pct"/>
                  <w:tcBorders>
                    <w:tl2br w:val="nil"/>
                    <w:tr2bl w:val="nil"/>
                  </w:tcBorders>
                  <w:noWrap w:val="0"/>
                  <w:vAlign w:val="center"/>
                </w:tcPr>
                <w:p w14:paraId="287A6B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color w:val="auto"/>
                      <w:szCs w:val="22"/>
                      <w:highlight w:val="none"/>
                      <w:lang w:val="en-US" w:eastAsia="zh-CN"/>
                    </w:rPr>
                  </w:pPr>
                  <w:r>
                    <w:rPr>
                      <w:rFonts w:hint="eastAsia"/>
                      <w:color w:val="auto"/>
                      <w:szCs w:val="22"/>
                      <w:highlight w:val="none"/>
                      <w:lang w:val="en-US" w:eastAsia="zh-CN"/>
                    </w:rPr>
                    <w:t>6.25t</w:t>
                  </w:r>
                </w:p>
              </w:tc>
              <w:tc>
                <w:tcPr>
                  <w:tcW w:w="1090" w:type="pct"/>
                  <w:tcBorders>
                    <w:tl2br w:val="nil"/>
                    <w:tr2bl w:val="nil"/>
                  </w:tcBorders>
                  <w:noWrap w:val="0"/>
                  <w:vAlign w:val="center"/>
                </w:tcPr>
                <w:p w14:paraId="1EDE5B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color w:val="auto"/>
                      <w:szCs w:val="22"/>
                      <w:highlight w:val="none"/>
                      <w:lang w:val="en-US" w:eastAsia="zh-CN"/>
                    </w:rPr>
                  </w:pPr>
                  <w:r>
                    <w:rPr>
                      <w:rFonts w:hint="eastAsia" w:cs="Times New Roman"/>
                      <w:color w:val="auto"/>
                      <w:kern w:val="0"/>
                      <w:sz w:val="21"/>
                      <w:szCs w:val="21"/>
                      <w:highlight w:val="none"/>
                      <w:lang w:val="en-US" w:eastAsia="zh-CN"/>
                    </w:rPr>
                    <w:t>25kg/袋</w:t>
                  </w:r>
                </w:p>
              </w:tc>
              <w:tc>
                <w:tcPr>
                  <w:tcW w:w="549" w:type="pct"/>
                  <w:tcBorders>
                    <w:tl2br w:val="nil"/>
                    <w:tr2bl w:val="nil"/>
                  </w:tcBorders>
                  <w:noWrap w:val="0"/>
                  <w:vAlign w:val="center"/>
                </w:tcPr>
                <w:p w14:paraId="15D21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1个月</w:t>
                  </w:r>
                </w:p>
              </w:tc>
              <w:tc>
                <w:tcPr>
                  <w:tcW w:w="540" w:type="pct"/>
                  <w:vMerge w:val="restart"/>
                  <w:tcBorders>
                    <w:tl2br w:val="nil"/>
                    <w:tr2bl w:val="nil"/>
                  </w:tcBorders>
                  <w:noWrap w:val="0"/>
                  <w:vAlign w:val="center"/>
                </w:tcPr>
                <w:p w14:paraId="2765B9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原料库</w:t>
                  </w:r>
                </w:p>
              </w:tc>
            </w:tr>
            <w:tr w14:paraId="0EB5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noWrap w:val="0"/>
                  <w:vAlign w:val="center"/>
                </w:tcPr>
                <w:p w14:paraId="2F6FE4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011" w:type="pct"/>
                  <w:tcBorders>
                    <w:tl2br w:val="nil"/>
                    <w:tr2bl w:val="nil"/>
                  </w:tcBorders>
                  <w:shd w:val="clear" w:color="auto" w:fill="auto"/>
                  <w:noWrap w:val="0"/>
                  <w:vAlign w:val="center"/>
                </w:tcPr>
                <w:p w14:paraId="3C6B51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bidi="ar-SA"/>
                    </w:rPr>
                    <w:t>碳酸钙</w:t>
                  </w:r>
                </w:p>
              </w:tc>
              <w:tc>
                <w:tcPr>
                  <w:tcW w:w="635" w:type="pct"/>
                  <w:tcBorders>
                    <w:tl2br w:val="nil"/>
                    <w:tr2bl w:val="nil"/>
                  </w:tcBorders>
                  <w:shd w:val="clear" w:color="auto" w:fill="auto"/>
                  <w:noWrap w:val="0"/>
                  <w:vAlign w:val="center"/>
                </w:tcPr>
                <w:p w14:paraId="1D4AAC80">
                  <w:pPr>
                    <w:pStyle w:val="203"/>
                    <w:keepNext w:val="0"/>
                    <w:keepLines w:val="0"/>
                    <w:pageBreakBefore w:val="0"/>
                    <w:suppressLineNumbers w:val="0"/>
                    <w:tabs>
                      <w:tab w:val="left" w:pos="1061"/>
                    </w:tabs>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75</w:t>
                  </w:r>
                  <w:r>
                    <w:rPr>
                      <w:rFonts w:hint="eastAsia" w:cs="Times New Roman"/>
                      <w:color w:val="auto"/>
                      <w:kern w:val="0"/>
                      <w:sz w:val="21"/>
                      <w:szCs w:val="21"/>
                      <w:highlight w:val="none"/>
                      <w:lang w:val="en-US" w:eastAsia="zh-CN"/>
                    </w:rPr>
                    <w:t>t/a</w:t>
                  </w:r>
                </w:p>
              </w:tc>
              <w:tc>
                <w:tcPr>
                  <w:tcW w:w="803" w:type="pct"/>
                  <w:tcBorders>
                    <w:tl2br w:val="nil"/>
                    <w:tr2bl w:val="nil"/>
                  </w:tcBorders>
                  <w:shd w:val="clear" w:color="auto" w:fill="auto"/>
                  <w:noWrap w:val="0"/>
                  <w:vAlign w:val="center"/>
                </w:tcPr>
                <w:p w14:paraId="1208C0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6.25t</w:t>
                  </w:r>
                </w:p>
              </w:tc>
              <w:tc>
                <w:tcPr>
                  <w:tcW w:w="1090" w:type="pct"/>
                  <w:tcBorders>
                    <w:tl2br w:val="nil"/>
                    <w:tr2bl w:val="nil"/>
                  </w:tcBorders>
                  <w:shd w:val="clear" w:color="auto" w:fill="auto"/>
                  <w:noWrap w:val="0"/>
                  <w:vAlign w:val="center"/>
                </w:tcPr>
                <w:p w14:paraId="72A19E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2"/>
                      <w:highlight w:val="none"/>
                      <w:lang w:val="en-US" w:eastAsia="zh-CN" w:bidi="ar-SA"/>
                    </w:rPr>
                  </w:pPr>
                  <w:r>
                    <w:rPr>
                      <w:rFonts w:hint="eastAsia" w:cs="Times New Roman"/>
                      <w:color w:val="auto"/>
                      <w:kern w:val="0"/>
                      <w:sz w:val="21"/>
                      <w:szCs w:val="21"/>
                      <w:highlight w:val="none"/>
                      <w:lang w:val="en-US" w:eastAsia="zh-CN"/>
                    </w:rPr>
                    <w:t>25kg/袋</w:t>
                  </w:r>
                </w:p>
              </w:tc>
              <w:tc>
                <w:tcPr>
                  <w:tcW w:w="549" w:type="pct"/>
                  <w:tcBorders>
                    <w:tl2br w:val="nil"/>
                    <w:tr2bl w:val="nil"/>
                  </w:tcBorders>
                  <w:shd w:val="clear" w:color="auto" w:fill="auto"/>
                  <w:noWrap w:val="0"/>
                  <w:vAlign w:val="center"/>
                </w:tcPr>
                <w:p w14:paraId="1FF3F9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1个月</w:t>
                  </w:r>
                </w:p>
              </w:tc>
              <w:tc>
                <w:tcPr>
                  <w:tcW w:w="540" w:type="pct"/>
                  <w:vMerge w:val="continue"/>
                  <w:tcBorders>
                    <w:tl2br w:val="nil"/>
                    <w:tr2bl w:val="nil"/>
                  </w:tcBorders>
                  <w:noWrap w:val="0"/>
                  <w:vAlign w:val="center"/>
                </w:tcPr>
                <w:p w14:paraId="2C01FE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27F4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shd w:val="clear" w:color="auto" w:fill="auto"/>
                  <w:noWrap w:val="0"/>
                  <w:vAlign w:val="center"/>
                </w:tcPr>
                <w:p w14:paraId="09686A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1011" w:type="pct"/>
                  <w:tcBorders>
                    <w:tl2br w:val="nil"/>
                    <w:tr2bl w:val="nil"/>
                  </w:tcBorders>
                  <w:shd w:val="clear" w:color="auto" w:fill="auto"/>
                  <w:noWrap w:val="0"/>
                  <w:vAlign w:val="center"/>
                </w:tcPr>
                <w:p w14:paraId="79E4DE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帆布</w:t>
                  </w:r>
                </w:p>
              </w:tc>
              <w:tc>
                <w:tcPr>
                  <w:tcW w:w="635" w:type="pct"/>
                  <w:tcBorders>
                    <w:tl2br w:val="nil"/>
                    <w:tr2bl w:val="nil"/>
                  </w:tcBorders>
                  <w:shd w:val="clear" w:color="auto" w:fill="auto"/>
                  <w:noWrap w:val="0"/>
                  <w:vAlign w:val="center"/>
                </w:tcPr>
                <w:p w14:paraId="33E3BAC9">
                  <w:pPr>
                    <w:pStyle w:val="203"/>
                    <w:keepNext w:val="0"/>
                    <w:keepLines w:val="0"/>
                    <w:pageBreakBefore w:val="0"/>
                    <w:suppressLineNumbers w:val="0"/>
                    <w:tabs>
                      <w:tab w:val="left" w:pos="1061"/>
                    </w:tabs>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400卷</w:t>
                  </w:r>
                </w:p>
              </w:tc>
              <w:tc>
                <w:tcPr>
                  <w:tcW w:w="803" w:type="pct"/>
                  <w:tcBorders>
                    <w:tl2br w:val="nil"/>
                    <w:tr2bl w:val="nil"/>
                  </w:tcBorders>
                  <w:noWrap w:val="0"/>
                  <w:vAlign w:val="center"/>
                </w:tcPr>
                <w:p w14:paraId="66A882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33卷</w:t>
                  </w:r>
                </w:p>
              </w:tc>
              <w:tc>
                <w:tcPr>
                  <w:tcW w:w="1090" w:type="pct"/>
                  <w:tcBorders>
                    <w:tl2br w:val="nil"/>
                    <w:tr2bl w:val="nil"/>
                  </w:tcBorders>
                  <w:noWrap w:val="0"/>
                  <w:vAlign w:val="center"/>
                </w:tcPr>
                <w:p w14:paraId="2AB163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捆扎，80*1.5m/卷</w:t>
                  </w:r>
                </w:p>
              </w:tc>
              <w:tc>
                <w:tcPr>
                  <w:tcW w:w="549" w:type="pct"/>
                  <w:tcBorders>
                    <w:tl2br w:val="nil"/>
                    <w:tr2bl w:val="nil"/>
                  </w:tcBorders>
                  <w:noWrap w:val="0"/>
                  <w:vAlign w:val="center"/>
                </w:tcPr>
                <w:p w14:paraId="0B27D7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1个月</w:t>
                  </w:r>
                </w:p>
              </w:tc>
              <w:tc>
                <w:tcPr>
                  <w:tcW w:w="540" w:type="pct"/>
                  <w:vMerge w:val="continue"/>
                  <w:tcBorders>
                    <w:tl2br w:val="nil"/>
                    <w:tr2bl w:val="nil"/>
                  </w:tcBorders>
                  <w:noWrap w:val="0"/>
                  <w:vAlign w:val="center"/>
                </w:tcPr>
                <w:p w14:paraId="1C168E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5A4E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shd w:val="clear" w:color="auto" w:fill="auto"/>
                  <w:noWrap w:val="0"/>
                  <w:vAlign w:val="center"/>
                </w:tcPr>
                <w:p w14:paraId="4535AE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1011" w:type="pct"/>
                  <w:tcBorders>
                    <w:tl2br w:val="nil"/>
                    <w:tr2bl w:val="nil"/>
                  </w:tcBorders>
                  <w:shd w:val="clear" w:color="auto" w:fill="auto"/>
                  <w:noWrap w:val="0"/>
                  <w:vAlign w:val="center"/>
                </w:tcPr>
                <w:p w14:paraId="2CB370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PVC皮革</w:t>
                  </w:r>
                </w:p>
              </w:tc>
              <w:tc>
                <w:tcPr>
                  <w:tcW w:w="635" w:type="pct"/>
                  <w:tcBorders>
                    <w:tl2br w:val="nil"/>
                    <w:tr2bl w:val="nil"/>
                  </w:tcBorders>
                  <w:shd w:val="clear" w:color="auto" w:fill="auto"/>
                  <w:noWrap w:val="0"/>
                  <w:vAlign w:val="center"/>
                </w:tcPr>
                <w:p w14:paraId="29D0FA42">
                  <w:pPr>
                    <w:pStyle w:val="203"/>
                    <w:keepNext w:val="0"/>
                    <w:keepLines w:val="0"/>
                    <w:pageBreakBefore w:val="0"/>
                    <w:suppressLineNumbers w:val="0"/>
                    <w:tabs>
                      <w:tab w:val="left" w:pos="1061"/>
                    </w:tabs>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400卷</w:t>
                  </w:r>
                </w:p>
              </w:tc>
              <w:tc>
                <w:tcPr>
                  <w:tcW w:w="803" w:type="pct"/>
                  <w:tcBorders>
                    <w:tl2br w:val="nil"/>
                    <w:tr2bl w:val="nil"/>
                  </w:tcBorders>
                  <w:noWrap w:val="0"/>
                  <w:vAlign w:val="center"/>
                </w:tcPr>
                <w:p w14:paraId="7B8C5F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33卷</w:t>
                  </w:r>
                </w:p>
              </w:tc>
              <w:tc>
                <w:tcPr>
                  <w:tcW w:w="1090" w:type="pct"/>
                  <w:tcBorders>
                    <w:tl2br w:val="nil"/>
                    <w:tr2bl w:val="nil"/>
                  </w:tcBorders>
                  <w:noWrap w:val="0"/>
                  <w:vAlign w:val="center"/>
                </w:tcPr>
                <w:p w14:paraId="2A289F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捆扎，80*1.5m/卷</w:t>
                  </w:r>
                </w:p>
              </w:tc>
              <w:tc>
                <w:tcPr>
                  <w:tcW w:w="549" w:type="pct"/>
                  <w:tcBorders>
                    <w:tl2br w:val="nil"/>
                    <w:tr2bl w:val="nil"/>
                  </w:tcBorders>
                  <w:noWrap w:val="0"/>
                  <w:vAlign w:val="center"/>
                </w:tcPr>
                <w:p w14:paraId="79BE15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1个月</w:t>
                  </w:r>
                </w:p>
              </w:tc>
              <w:tc>
                <w:tcPr>
                  <w:tcW w:w="540" w:type="pct"/>
                  <w:vMerge w:val="continue"/>
                  <w:tcBorders>
                    <w:tl2br w:val="nil"/>
                    <w:tr2bl w:val="nil"/>
                  </w:tcBorders>
                  <w:noWrap w:val="0"/>
                  <w:vAlign w:val="center"/>
                </w:tcPr>
                <w:p w14:paraId="049A7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1427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shd w:val="clear" w:color="auto" w:fill="auto"/>
                  <w:noWrap w:val="0"/>
                  <w:vAlign w:val="center"/>
                </w:tcPr>
                <w:p w14:paraId="16D420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1011" w:type="pct"/>
                  <w:tcBorders>
                    <w:tl2br w:val="nil"/>
                    <w:tr2bl w:val="nil"/>
                  </w:tcBorders>
                  <w:shd w:val="clear" w:color="auto" w:fill="auto"/>
                  <w:noWrap w:val="0"/>
                  <w:vAlign w:val="center"/>
                </w:tcPr>
                <w:p w14:paraId="2545CC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面布</w:t>
                  </w:r>
                </w:p>
              </w:tc>
              <w:tc>
                <w:tcPr>
                  <w:tcW w:w="635" w:type="pct"/>
                  <w:tcBorders>
                    <w:tl2br w:val="nil"/>
                    <w:tr2bl w:val="nil"/>
                  </w:tcBorders>
                  <w:shd w:val="clear" w:color="auto" w:fill="auto"/>
                  <w:noWrap w:val="0"/>
                  <w:vAlign w:val="center"/>
                </w:tcPr>
                <w:p w14:paraId="01DC8035">
                  <w:pPr>
                    <w:pStyle w:val="203"/>
                    <w:keepNext w:val="0"/>
                    <w:keepLines w:val="0"/>
                    <w:pageBreakBefore w:val="0"/>
                    <w:suppressLineNumbers w:val="0"/>
                    <w:tabs>
                      <w:tab w:val="left" w:pos="1061"/>
                    </w:tabs>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4000卷</w:t>
                  </w:r>
                </w:p>
              </w:tc>
              <w:tc>
                <w:tcPr>
                  <w:tcW w:w="803" w:type="pct"/>
                  <w:tcBorders>
                    <w:tl2br w:val="nil"/>
                    <w:tr2bl w:val="nil"/>
                  </w:tcBorders>
                  <w:noWrap w:val="0"/>
                  <w:vAlign w:val="center"/>
                </w:tcPr>
                <w:p w14:paraId="555A0E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333卷</w:t>
                  </w:r>
                </w:p>
              </w:tc>
              <w:tc>
                <w:tcPr>
                  <w:tcW w:w="1090" w:type="pct"/>
                  <w:tcBorders>
                    <w:tl2br w:val="nil"/>
                    <w:tr2bl w:val="nil"/>
                  </w:tcBorders>
                  <w:noWrap w:val="0"/>
                  <w:vAlign w:val="center"/>
                </w:tcPr>
                <w:p w14:paraId="0A7EC5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捆扎，80*1.5m/卷</w:t>
                  </w:r>
                </w:p>
              </w:tc>
              <w:tc>
                <w:tcPr>
                  <w:tcW w:w="549" w:type="pct"/>
                  <w:tcBorders>
                    <w:tl2br w:val="nil"/>
                    <w:tr2bl w:val="nil"/>
                  </w:tcBorders>
                  <w:noWrap w:val="0"/>
                  <w:vAlign w:val="center"/>
                </w:tcPr>
                <w:p w14:paraId="1372E8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1个月</w:t>
                  </w:r>
                </w:p>
              </w:tc>
              <w:tc>
                <w:tcPr>
                  <w:tcW w:w="540" w:type="pct"/>
                  <w:vMerge w:val="continue"/>
                  <w:tcBorders>
                    <w:tl2br w:val="nil"/>
                    <w:tr2bl w:val="nil"/>
                  </w:tcBorders>
                  <w:noWrap w:val="0"/>
                  <w:vAlign w:val="center"/>
                </w:tcPr>
                <w:p w14:paraId="1C97C8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444CB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shd w:val="clear" w:color="auto" w:fill="auto"/>
                  <w:noWrap w:val="0"/>
                  <w:vAlign w:val="center"/>
                </w:tcPr>
                <w:p w14:paraId="24DE15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1011" w:type="pct"/>
                  <w:tcBorders>
                    <w:tl2br w:val="nil"/>
                    <w:tr2bl w:val="nil"/>
                  </w:tcBorders>
                  <w:shd w:val="clear" w:color="auto" w:fill="auto"/>
                  <w:noWrap w:val="0"/>
                  <w:vAlign w:val="center"/>
                </w:tcPr>
                <w:p w14:paraId="10D136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里布</w:t>
                  </w:r>
                </w:p>
              </w:tc>
              <w:tc>
                <w:tcPr>
                  <w:tcW w:w="635" w:type="pct"/>
                  <w:tcBorders>
                    <w:tl2br w:val="nil"/>
                    <w:tr2bl w:val="nil"/>
                  </w:tcBorders>
                  <w:shd w:val="clear" w:color="auto" w:fill="auto"/>
                  <w:noWrap w:val="0"/>
                  <w:vAlign w:val="center"/>
                </w:tcPr>
                <w:p w14:paraId="68035C54">
                  <w:pPr>
                    <w:pStyle w:val="203"/>
                    <w:keepNext w:val="0"/>
                    <w:keepLines w:val="0"/>
                    <w:pageBreakBefore w:val="0"/>
                    <w:suppressLineNumbers w:val="0"/>
                    <w:tabs>
                      <w:tab w:val="left" w:pos="1061"/>
                    </w:tabs>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4000卷</w:t>
                  </w:r>
                </w:p>
              </w:tc>
              <w:tc>
                <w:tcPr>
                  <w:tcW w:w="803" w:type="pct"/>
                  <w:tcBorders>
                    <w:tl2br w:val="nil"/>
                    <w:tr2bl w:val="nil"/>
                  </w:tcBorders>
                  <w:shd w:val="clear" w:color="auto" w:fill="auto"/>
                  <w:noWrap w:val="0"/>
                  <w:vAlign w:val="center"/>
                </w:tcPr>
                <w:p w14:paraId="659D99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333卷</w:t>
                  </w:r>
                </w:p>
              </w:tc>
              <w:tc>
                <w:tcPr>
                  <w:tcW w:w="1090" w:type="pct"/>
                  <w:tcBorders>
                    <w:tl2br w:val="nil"/>
                    <w:tr2bl w:val="nil"/>
                  </w:tcBorders>
                  <w:shd w:val="clear" w:color="auto" w:fill="auto"/>
                  <w:noWrap w:val="0"/>
                  <w:vAlign w:val="center"/>
                </w:tcPr>
                <w:p w14:paraId="5E11DB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捆扎，80*1.5m/卷</w:t>
                  </w:r>
                </w:p>
              </w:tc>
              <w:tc>
                <w:tcPr>
                  <w:tcW w:w="549" w:type="pct"/>
                  <w:tcBorders>
                    <w:tl2br w:val="nil"/>
                    <w:tr2bl w:val="nil"/>
                  </w:tcBorders>
                  <w:noWrap w:val="0"/>
                  <w:vAlign w:val="center"/>
                </w:tcPr>
                <w:p w14:paraId="064383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1个月</w:t>
                  </w:r>
                </w:p>
              </w:tc>
              <w:tc>
                <w:tcPr>
                  <w:tcW w:w="540" w:type="pct"/>
                  <w:vMerge w:val="continue"/>
                  <w:tcBorders>
                    <w:tl2br w:val="nil"/>
                    <w:tr2bl w:val="nil"/>
                  </w:tcBorders>
                  <w:noWrap w:val="0"/>
                  <w:vAlign w:val="center"/>
                </w:tcPr>
                <w:p w14:paraId="1CA047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4B2F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shd w:val="clear" w:color="auto" w:fill="auto"/>
                  <w:noWrap w:val="0"/>
                  <w:vAlign w:val="center"/>
                </w:tcPr>
                <w:p w14:paraId="1C825B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w:t>
                  </w:r>
                </w:p>
              </w:tc>
              <w:tc>
                <w:tcPr>
                  <w:tcW w:w="1011" w:type="pct"/>
                  <w:tcBorders>
                    <w:tl2br w:val="nil"/>
                    <w:tr2bl w:val="nil"/>
                  </w:tcBorders>
                  <w:shd w:val="clear" w:color="auto" w:fill="auto"/>
                  <w:noWrap w:val="0"/>
                  <w:vAlign w:val="center"/>
                </w:tcPr>
                <w:p w14:paraId="7A0C0A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导电布</w:t>
                  </w:r>
                </w:p>
              </w:tc>
              <w:tc>
                <w:tcPr>
                  <w:tcW w:w="635" w:type="pct"/>
                  <w:tcBorders>
                    <w:tl2br w:val="nil"/>
                    <w:tr2bl w:val="nil"/>
                  </w:tcBorders>
                  <w:shd w:val="clear" w:color="auto" w:fill="auto"/>
                  <w:noWrap w:val="0"/>
                  <w:vAlign w:val="center"/>
                </w:tcPr>
                <w:p w14:paraId="2F43790A">
                  <w:pPr>
                    <w:pStyle w:val="203"/>
                    <w:keepNext w:val="0"/>
                    <w:keepLines w:val="0"/>
                    <w:pageBreakBefore w:val="0"/>
                    <w:suppressLineNumbers w:val="0"/>
                    <w:tabs>
                      <w:tab w:val="left" w:pos="1061"/>
                    </w:tabs>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12000卷</w:t>
                  </w:r>
                </w:p>
              </w:tc>
              <w:tc>
                <w:tcPr>
                  <w:tcW w:w="803" w:type="pct"/>
                  <w:tcBorders>
                    <w:tl2br w:val="nil"/>
                    <w:tr2bl w:val="nil"/>
                  </w:tcBorders>
                  <w:noWrap w:val="0"/>
                  <w:vAlign w:val="center"/>
                </w:tcPr>
                <w:p w14:paraId="692825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1000卷</w:t>
                  </w:r>
                </w:p>
              </w:tc>
              <w:tc>
                <w:tcPr>
                  <w:tcW w:w="1090" w:type="pct"/>
                  <w:tcBorders>
                    <w:tl2br w:val="nil"/>
                    <w:tr2bl w:val="nil"/>
                  </w:tcBorders>
                  <w:noWrap w:val="0"/>
                  <w:vAlign w:val="center"/>
                </w:tcPr>
                <w:p w14:paraId="0063D6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捆扎，80*1.5m/卷</w:t>
                  </w:r>
                </w:p>
              </w:tc>
              <w:tc>
                <w:tcPr>
                  <w:tcW w:w="549" w:type="pct"/>
                  <w:tcBorders>
                    <w:tl2br w:val="nil"/>
                    <w:tr2bl w:val="nil"/>
                  </w:tcBorders>
                  <w:noWrap w:val="0"/>
                  <w:vAlign w:val="center"/>
                </w:tcPr>
                <w:p w14:paraId="09B92C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1个月</w:t>
                  </w:r>
                </w:p>
              </w:tc>
              <w:tc>
                <w:tcPr>
                  <w:tcW w:w="540" w:type="pct"/>
                  <w:vMerge w:val="continue"/>
                  <w:tcBorders>
                    <w:tl2br w:val="nil"/>
                    <w:tr2bl w:val="nil"/>
                  </w:tcBorders>
                  <w:noWrap w:val="0"/>
                  <w:vAlign w:val="center"/>
                </w:tcPr>
                <w:p w14:paraId="43B9EB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524B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noWrap w:val="0"/>
                  <w:vAlign w:val="center"/>
                </w:tcPr>
                <w:p w14:paraId="2E77CE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011" w:type="pct"/>
                  <w:tcBorders>
                    <w:tl2br w:val="nil"/>
                    <w:tr2bl w:val="nil"/>
                  </w:tcBorders>
                  <w:shd w:val="clear" w:color="auto" w:fill="auto"/>
                  <w:noWrap w:val="0"/>
                  <w:vAlign w:val="center"/>
                </w:tcPr>
                <w:p w14:paraId="18090F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纤维棉</w:t>
                  </w:r>
                </w:p>
              </w:tc>
              <w:tc>
                <w:tcPr>
                  <w:tcW w:w="635" w:type="pct"/>
                  <w:tcBorders>
                    <w:tl2br w:val="nil"/>
                    <w:tr2bl w:val="nil"/>
                  </w:tcBorders>
                  <w:shd w:val="clear" w:color="auto" w:fill="auto"/>
                  <w:noWrap w:val="0"/>
                  <w:vAlign w:val="center"/>
                </w:tcPr>
                <w:p w14:paraId="5B0F3AC6">
                  <w:pPr>
                    <w:pStyle w:val="203"/>
                    <w:keepNext w:val="0"/>
                    <w:keepLines w:val="0"/>
                    <w:pageBreakBefore w:val="0"/>
                    <w:suppressLineNumbers w:val="0"/>
                    <w:tabs>
                      <w:tab w:val="left" w:pos="1061"/>
                    </w:tabs>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75</w:t>
                  </w:r>
                  <w:r>
                    <w:rPr>
                      <w:rFonts w:hint="eastAsia" w:cs="Times New Roman"/>
                      <w:color w:val="auto"/>
                      <w:kern w:val="0"/>
                      <w:sz w:val="21"/>
                      <w:szCs w:val="21"/>
                      <w:highlight w:val="none"/>
                      <w:lang w:val="en-US" w:eastAsia="zh-CN"/>
                    </w:rPr>
                    <w:t>t/a</w:t>
                  </w:r>
                </w:p>
              </w:tc>
              <w:tc>
                <w:tcPr>
                  <w:tcW w:w="803" w:type="pct"/>
                  <w:tcBorders>
                    <w:tl2br w:val="nil"/>
                    <w:tr2bl w:val="nil"/>
                  </w:tcBorders>
                  <w:noWrap w:val="0"/>
                  <w:vAlign w:val="center"/>
                </w:tcPr>
                <w:p w14:paraId="507055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w:t>
                  </w:r>
                  <w:r>
                    <w:rPr>
                      <w:rFonts w:hint="eastAsia"/>
                      <w:color w:val="auto"/>
                      <w:szCs w:val="22"/>
                      <w:highlight w:val="none"/>
                      <w:lang w:val="en-US" w:eastAsia="zh-CN"/>
                    </w:rPr>
                    <w:t>t</w:t>
                  </w:r>
                </w:p>
              </w:tc>
              <w:tc>
                <w:tcPr>
                  <w:tcW w:w="1090" w:type="pct"/>
                  <w:tcBorders>
                    <w:tl2br w:val="nil"/>
                    <w:tr2bl w:val="nil"/>
                  </w:tcBorders>
                  <w:noWrap w:val="0"/>
                  <w:vAlign w:val="center"/>
                </w:tcPr>
                <w:p w14:paraId="68449F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color w:val="auto"/>
                      <w:szCs w:val="22"/>
                      <w:highlight w:val="none"/>
                      <w:lang w:val="en-US" w:eastAsia="zh-CN"/>
                    </w:rPr>
                  </w:pPr>
                  <w:r>
                    <w:rPr>
                      <w:rFonts w:hint="eastAsia" w:cs="Times New Roman"/>
                      <w:color w:val="auto"/>
                      <w:kern w:val="0"/>
                      <w:sz w:val="21"/>
                      <w:szCs w:val="21"/>
                      <w:highlight w:val="none"/>
                      <w:lang w:val="en-US" w:eastAsia="zh-CN"/>
                    </w:rPr>
                    <w:t>100kg/袋</w:t>
                  </w:r>
                </w:p>
              </w:tc>
              <w:tc>
                <w:tcPr>
                  <w:tcW w:w="549" w:type="pct"/>
                  <w:tcBorders>
                    <w:tl2br w:val="nil"/>
                    <w:tr2bl w:val="nil"/>
                  </w:tcBorders>
                  <w:noWrap w:val="0"/>
                  <w:vAlign w:val="center"/>
                </w:tcPr>
                <w:p w14:paraId="0AE183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半个月</w:t>
                  </w:r>
                </w:p>
              </w:tc>
              <w:tc>
                <w:tcPr>
                  <w:tcW w:w="540" w:type="pct"/>
                  <w:vMerge w:val="continue"/>
                  <w:tcBorders>
                    <w:tl2br w:val="nil"/>
                    <w:tr2bl w:val="nil"/>
                  </w:tcBorders>
                  <w:noWrap w:val="0"/>
                  <w:vAlign w:val="center"/>
                </w:tcPr>
                <w:p w14:paraId="0D8BE2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2A27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noWrap w:val="0"/>
                  <w:vAlign w:val="center"/>
                </w:tcPr>
                <w:p w14:paraId="553320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1011" w:type="pct"/>
                  <w:tcBorders>
                    <w:tl2br w:val="nil"/>
                    <w:tr2bl w:val="nil"/>
                  </w:tcBorders>
                  <w:shd w:val="clear" w:color="auto" w:fill="auto"/>
                  <w:noWrap w:val="0"/>
                  <w:vAlign w:val="center"/>
                </w:tcPr>
                <w:p w14:paraId="39244A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羽绒</w:t>
                  </w:r>
                </w:p>
              </w:tc>
              <w:tc>
                <w:tcPr>
                  <w:tcW w:w="635" w:type="pct"/>
                  <w:tcBorders>
                    <w:tl2br w:val="nil"/>
                    <w:tr2bl w:val="nil"/>
                  </w:tcBorders>
                  <w:shd w:val="clear" w:color="auto" w:fill="auto"/>
                  <w:noWrap w:val="0"/>
                  <w:vAlign w:val="center"/>
                </w:tcPr>
                <w:p w14:paraId="3704C1CD">
                  <w:pPr>
                    <w:pStyle w:val="203"/>
                    <w:keepNext w:val="0"/>
                    <w:keepLines w:val="0"/>
                    <w:pageBreakBefore w:val="0"/>
                    <w:suppressLineNumbers w:val="0"/>
                    <w:tabs>
                      <w:tab w:val="left" w:pos="1061"/>
                    </w:tabs>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75</w:t>
                  </w:r>
                  <w:r>
                    <w:rPr>
                      <w:rFonts w:hint="eastAsia" w:cs="Times New Roman"/>
                      <w:color w:val="auto"/>
                      <w:kern w:val="0"/>
                      <w:sz w:val="21"/>
                      <w:szCs w:val="21"/>
                      <w:highlight w:val="none"/>
                      <w:lang w:val="en-US" w:eastAsia="zh-CN"/>
                    </w:rPr>
                    <w:t>t/a</w:t>
                  </w:r>
                </w:p>
              </w:tc>
              <w:tc>
                <w:tcPr>
                  <w:tcW w:w="803" w:type="pct"/>
                  <w:tcBorders>
                    <w:tl2br w:val="nil"/>
                    <w:tr2bl w:val="nil"/>
                  </w:tcBorders>
                  <w:shd w:val="clear" w:color="auto" w:fill="auto"/>
                  <w:noWrap w:val="0"/>
                  <w:vAlign w:val="center"/>
                </w:tcPr>
                <w:p w14:paraId="1E0CC8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3.1</w:t>
                  </w:r>
                  <w:r>
                    <w:rPr>
                      <w:rFonts w:hint="eastAsia"/>
                      <w:color w:val="auto"/>
                      <w:szCs w:val="22"/>
                      <w:highlight w:val="none"/>
                      <w:lang w:val="en-US" w:eastAsia="zh-CN"/>
                    </w:rPr>
                    <w:t>t</w:t>
                  </w:r>
                </w:p>
              </w:tc>
              <w:tc>
                <w:tcPr>
                  <w:tcW w:w="1090" w:type="pct"/>
                  <w:tcBorders>
                    <w:tl2br w:val="nil"/>
                    <w:tr2bl w:val="nil"/>
                  </w:tcBorders>
                  <w:shd w:val="clear" w:color="auto" w:fill="auto"/>
                  <w:noWrap w:val="0"/>
                  <w:vAlign w:val="center"/>
                </w:tcPr>
                <w:p w14:paraId="1C5C6A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2"/>
                      <w:highlight w:val="none"/>
                      <w:lang w:val="en-US" w:eastAsia="zh-CN" w:bidi="ar-SA"/>
                    </w:rPr>
                  </w:pPr>
                  <w:r>
                    <w:rPr>
                      <w:rFonts w:hint="eastAsia" w:cs="Times New Roman"/>
                      <w:color w:val="auto"/>
                      <w:kern w:val="0"/>
                      <w:sz w:val="21"/>
                      <w:szCs w:val="21"/>
                      <w:highlight w:val="none"/>
                      <w:lang w:val="en-US" w:eastAsia="zh-CN"/>
                    </w:rPr>
                    <w:t>100kg/袋</w:t>
                  </w:r>
                </w:p>
              </w:tc>
              <w:tc>
                <w:tcPr>
                  <w:tcW w:w="549" w:type="pct"/>
                  <w:tcBorders>
                    <w:tl2br w:val="nil"/>
                    <w:tr2bl w:val="nil"/>
                  </w:tcBorders>
                  <w:shd w:val="clear" w:color="auto" w:fill="auto"/>
                  <w:noWrap w:val="0"/>
                  <w:vAlign w:val="center"/>
                </w:tcPr>
                <w:p w14:paraId="6CA912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半个月</w:t>
                  </w:r>
                </w:p>
              </w:tc>
              <w:tc>
                <w:tcPr>
                  <w:tcW w:w="540" w:type="pct"/>
                  <w:vMerge w:val="continue"/>
                  <w:tcBorders>
                    <w:tl2br w:val="nil"/>
                    <w:tr2bl w:val="nil"/>
                  </w:tcBorders>
                  <w:noWrap w:val="0"/>
                  <w:vAlign w:val="center"/>
                </w:tcPr>
                <w:p w14:paraId="3384E9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3061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shd w:val="clear" w:color="auto" w:fill="auto"/>
                  <w:noWrap w:val="0"/>
                  <w:vAlign w:val="center"/>
                </w:tcPr>
                <w:p w14:paraId="400D73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p>
              </w:tc>
              <w:tc>
                <w:tcPr>
                  <w:tcW w:w="1011" w:type="pct"/>
                  <w:tcBorders>
                    <w:tl2br w:val="nil"/>
                    <w:tr2bl w:val="nil"/>
                  </w:tcBorders>
                  <w:shd w:val="clear" w:color="auto" w:fill="auto"/>
                  <w:noWrap w:val="0"/>
                  <w:vAlign w:val="center"/>
                </w:tcPr>
                <w:p w14:paraId="15D7C7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拉链</w:t>
                  </w:r>
                </w:p>
              </w:tc>
              <w:tc>
                <w:tcPr>
                  <w:tcW w:w="635" w:type="pct"/>
                  <w:tcBorders>
                    <w:tl2br w:val="nil"/>
                    <w:tr2bl w:val="nil"/>
                  </w:tcBorders>
                  <w:shd w:val="clear" w:color="auto" w:fill="auto"/>
                  <w:noWrap w:val="0"/>
                  <w:vAlign w:val="center"/>
                </w:tcPr>
                <w:p w14:paraId="5636292E">
                  <w:pPr>
                    <w:pStyle w:val="203"/>
                    <w:keepNext w:val="0"/>
                    <w:keepLines w:val="0"/>
                    <w:pageBreakBefore w:val="0"/>
                    <w:suppressLineNumbers w:val="0"/>
                    <w:tabs>
                      <w:tab w:val="left" w:pos="1061"/>
                    </w:tabs>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25万个/a</w:t>
                  </w:r>
                </w:p>
              </w:tc>
              <w:tc>
                <w:tcPr>
                  <w:tcW w:w="803" w:type="pct"/>
                  <w:tcBorders>
                    <w:tl2br w:val="nil"/>
                    <w:tr2bl w:val="nil"/>
                  </w:tcBorders>
                  <w:noWrap w:val="0"/>
                  <w:vAlign w:val="center"/>
                </w:tcPr>
                <w:p w14:paraId="7EE730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10417</w:t>
                  </w:r>
                </w:p>
              </w:tc>
              <w:tc>
                <w:tcPr>
                  <w:tcW w:w="1090" w:type="pct"/>
                  <w:tcBorders>
                    <w:tl2br w:val="nil"/>
                    <w:tr2bl w:val="nil"/>
                  </w:tcBorders>
                  <w:noWrap w:val="0"/>
                  <w:vAlign w:val="center"/>
                </w:tcPr>
                <w:p w14:paraId="5FFDCA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549" w:type="pct"/>
                  <w:tcBorders>
                    <w:tl2br w:val="nil"/>
                    <w:tr2bl w:val="nil"/>
                  </w:tcBorders>
                  <w:shd w:val="clear" w:color="auto" w:fill="auto"/>
                  <w:noWrap w:val="0"/>
                  <w:vAlign w:val="center"/>
                </w:tcPr>
                <w:p w14:paraId="000893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半个月</w:t>
                  </w:r>
                </w:p>
              </w:tc>
              <w:tc>
                <w:tcPr>
                  <w:tcW w:w="540" w:type="pct"/>
                  <w:vMerge w:val="continue"/>
                  <w:tcBorders>
                    <w:tl2br w:val="nil"/>
                    <w:tr2bl w:val="nil"/>
                  </w:tcBorders>
                  <w:noWrap w:val="0"/>
                  <w:vAlign w:val="center"/>
                </w:tcPr>
                <w:p w14:paraId="2394E9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03D7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shd w:val="clear" w:color="auto" w:fill="auto"/>
                  <w:noWrap w:val="0"/>
                  <w:vAlign w:val="center"/>
                </w:tcPr>
                <w:p w14:paraId="1C4BFF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11</w:t>
                  </w:r>
                </w:p>
              </w:tc>
              <w:tc>
                <w:tcPr>
                  <w:tcW w:w="1011" w:type="pct"/>
                  <w:tcBorders>
                    <w:tl2br w:val="nil"/>
                    <w:tr2bl w:val="nil"/>
                  </w:tcBorders>
                  <w:shd w:val="clear" w:color="auto" w:fill="auto"/>
                  <w:noWrap w:val="0"/>
                  <w:vAlign w:val="center"/>
                </w:tcPr>
                <w:p w14:paraId="75164C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纽扣</w:t>
                  </w:r>
                </w:p>
              </w:tc>
              <w:tc>
                <w:tcPr>
                  <w:tcW w:w="635" w:type="pct"/>
                  <w:tcBorders>
                    <w:tl2br w:val="nil"/>
                    <w:tr2bl w:val="nil"/>
                  </w:tcBorders>
                  <w:shd w:val="clear" w:color="auto" w:fill="auto"/>
                  <w:noWrap w:val="0"/>
                  <w:vAlign w:val="center"/>
                </w:tcPr>
                <w:p w14:paraId="623021BB">
                  <w:pPr>
                    <w:pStyle w:val="203"/>
                    <w:keepNext w:val="0"/>
                    <w:keepLines w:val="0"/>
                    <w:pageBreakBefore w:val="0"/>
                    <w:suppressLineNumbers w:val="0"/>
                    <w:tabs>
                      <w:tab w:val="left" w:pos="1061"/>
                    </w:tabs>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150万个/a</w:t>
                  </w:r>
                </w:p>
              </w:tc>
              <w:tc>
                <w:tcPr>
                  <w:tcW w:w="803" w:type="pct"/>
                  <w:tcBorders>
                    <w:tl2br w:val="nil"/>
                    <w:tr2bl w:val="nil"/>
                  </w:tcBorders>
                  <w:noWrap w:val="0"/>
                  <w:vAlign w:val="center"/>
                </w:tcPr>
                <w:p w14:paraId="6B45AD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62500</w:t>
                  </w:r>
                </w:p>
              </w:tc>
              <w:tc>
                <w:tcPr>
                  <w:tcW w:w="1090" w:type="pct"/>
                  <w:tcBorders>
                    <w:tl2br w:val="nil"/>
                    <w:tr2bl w:val="nil"/>
                  </w:tcBorders>
                  <w:noWrap w:val="0"/>
                  <w:vAlign w:val="center"/>
                </w:tcPr>
                <w:p w14:paraId="70CDC8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549" w:type="pct"/>
                  <w:tcBorders>
                    <w:tl2br w:val="nil"/>
                    <w:tr2bl w:val="nil"/>
                  </w:tcBorders>
                  <w:shd w:val="clear" w:color="auto" w:fill="auto"/>
                  <w:noWrap w:val="0"/>
                  <w:vAlign w:val="center"/>
                </w:tcPr>
                <w:p w14:paraId="1A2897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半个月</w:t>
                  </w:r>
                </w:p>
              </w:tc>
              <w:tc>
                <w:tcPr>
                  <w:tcW w:w="540" w:type="pct"/>
                  <w:vMerge w:val="continue"/>
                  <w:tcBorders>
                    <w:tl2br w:val="nil"/>
                    <w:tr2bl w:val="nil"/>
                  </w:tcBorders>
                  <w:noWrap w:val="0"/>
                  <w:vAlign w:val="center"/>
                </w:tcPr>
                <w:p w14:paraId="3A562B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6DFE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shd w:val="clear" w:color="auto" w:fill="auto"/>
                  <w:noWrap w:val="0"/>
                  <w:vAlign w:val="center"/>
                </w:tcPr>
                <w:p w14:paraId="3DD6E3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12</w:t>
                  </w:r>
                </w:p>
              </w:tc>
              <w:tc>
                <w:tcPr>
                  <w:tcW w:w="1011" w:type="pct"/>
                  <w:tcBorders>
                    <w:tl2br w:val="nil"/>
                    <w:tr2bl w:val="nil"/>
                  </w:tcBorders>
                  <w:shd w:val="clear" w:color="auto" w:fill="auto"/>
                  <w:noWrap w:val="0"/>
                  <w:vAlign w:val="center"/>
                </w:tcPr>
                <w:p w14:paraId="237DEE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DOP</w:t>
                  </w:r>
                </w:p>
              </w:tc>
              <w:tc>
                <w:tcPr>
                  <w:tcW w:w="635" w:type="pct"/>
                  <w:tcBorders>
                    <w:tl2br w:val="nil"/>
                    <w:tr2bl w:val="nil"/>
                  </w:tcBorders>
                  <w:shd w:val="clear" w:color="auto" w:fill="auto"/>
                  <w:noWrap w:val="0"/>
                  <w:vAlign w:val="center"/>
                </w:tcPr>
                <w:p w14:paraId="131E0B84">
                  <w:pPr>
                    <w:pStyle w:val="203"/>
                    <w:keepNext w:val="0"/>
                    <w:keepLines w:val="0"/>
                    <w:pageBreakBefore w:val="0"/>
                    <w:suppressLineNumbers w:val="0"/>
                    <w:tabs>
                      <w:tab w:val="left" w:pos="1061"/>
                    </w:tabs>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75</w:t>
                  </w:r>
                  <w:r>
                    <w:rPr>
                      <w:rFonts w:hint="eastAsia" w:cs="Times New Roman"/>
                      <w:color w:val="auto"/>
                      <w:kern w:val="0"/>
                      <w:sz w:val="21"/>
                      <w:szCs w:val="21"/>
                      <w:highlight w:val="none"/>
                      <w:lang w:val="en-US" w:eastAsia="zh-CN"/>
                    </w:rPr>
                    <w:t>t/a</w:t>
                  </w:r>
                </w:p>
              </w:tc>
              <w:tc>
                <w:tcPr>
                  <w:tcW w:w="803" w:type="pct"/>
                  <w:tcBorders>
                    <w:tl2br w:val="nil"/>
                    <w:tr2bl w:val="nil"/>
                  </w:tcBorders>
                  <w:noWrap w:val="0"/>
                  <w:vAlign w:val="center"/>
                </w:tcPr>
                <w:p w14:paraId="027F7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w:t>
                  </w:r>
                  <w:r>
                    <w:rPr>
                      <w:rFonts w:hint="eastAsia"/>
                      <w:color w:val="auto"/>
                      <w:szCs w:val="22"/>
                      <w:highlight w:val="none"/>
                      <w:lang w:val="en-US" w:eastAsia="zh-CN"/>
                    </w:rPr>
                    <w:t>t</w:t>
                  </w:r>
                </w:p>
              </w:tc>
              <w:tc>
                <w:tcPr>
                  <w:tcW w:w="1090" w:type="pct"/>
                  <w:tcBorders>
                    <w:tl2br w:val="nil"/>
                    <w:tr2bl w:val="nil"/>
                  </w:tcBorders>
                  <w:noWrap w:val="0"/>
                  <w:vAlign w:val="center"/>
                </w:tcPr>
                <w:p w14:paraId="4161F8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200kg/桶</w:t>
                  </w:r>
                </w:p>
              </w:tc>
              <w:tc>
                <w:tcPr>
                  <w:tcW w:w="549" w:type="pct"/>
                  <w:tcBorders>
                    <w:tl2br w:val="nil"/>
                    <w:tr2bl w:val="nil"/>
                  </w:tcBorders>
                  <w:noWrap w:val="0"/>
                  <w:vAlign w:val="center"/>
                </w:tcPr>
                <w:p w14:paraId="730382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半个月</w:t>
                  </w:r>
                </w:p>
              </w:tc>
              <w:tc>
                <w:tcPr>
                  <w:tcW w:w="540" w:type="pct"/>
                  <w:vMerge w:val="restart"/>
                  <w:tcBorders>
                    <w:tl2br w:val="nil"/>
                    <w:tr2bl w:val="nil"/>
                  </w:tcBorders>
                  <w:noWrap w:val="0"/>
                  <w:vAlign w:val="center"/>
                </w:tcPr>
                <w:p w14:paraId="7D9231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化学品库</w:t>
                  </w:r>
                </w:p>
              </w:tc>
            </w:tr>
            <w:tr w14:paraId="100D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shd w:val="clear" w:color="auto" w:fill="auto"/>
                  <w:noWrap w:val="0"/>
                  <w:vAlign w:val="center"/>
                </w:tcPr>
                <w:p w14:paraId="76D937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13</w:t>
                  </w:r>
                </w:p>
              </w:tc>
              <w:tc>
                <w:tcPr>
                  <w:tcW w:w="1011" w:type="pct"/>
                  <w:tcBorders>
                    <w:tl2br w:val="nil"/>
                    <w:tr2bl w:val="nil"/>
                  </w:tcBorders>
                  <w:shd w:val="clear" w:color="auto" w:fill="auto"/>
                  <w:noWrap w:val="0"/>
                  <w:vAlign w:val="center"/>
                </w:tcPr>
                <w:p w14:paraId="6A113A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聚氨酯原液A组分</w:t>
                  </w:r>
                </w:p>
              </w:tc>
              <w:tc>
                <w:tcPr>
                  <w:tcW w:w="635" w:type="pct"/>
                  <w:tcBorders>
                    <w:tl2br w:val="nil"/>
                    <w:tr2bl w:val="nil"/>
                  </w:tcBorders>
                  <w:shd w:val="clear" w:color="auto" w:fill="auto"/>
                  <w:noWrap w:val="0"/>
                  <w:vAlign w:val="center"/>
                </w:tcPr>
                <w:p w14:paraId="4A059C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86.4</w:t>
                  </w:r>
                  <w:r>
                    <w:rPr>
                      <w:rFonts w:hint="eastAsia" w:cs="Times New Roman"/>
                      <w:color w:val="auto"/>
                      <w:kern w:val="0"/>
                      <w:sz w:val="21"/>
                      <w:szCs w:val="21"/>
                      <w:highlight w:val="none"/>
                      <w:lang w:val="en-US" w:eastAsia="zh-CN"/>
                    </w:rPr>
                    <w:t>t/a</w:t>
                  </w:r>
                </w:p>
              </w:tc>
              <w:tc>
                <w:tcPr>
                  <w:tcW w:w="803" w:type="pct"/>
                  <w:tcBorders>
                    <w:tl2br w:val="nil"/>
                    <w:tr2bl w:val="nil"/>
                  </w:tcBorders>
                  <w:noWrap w:val="0"/>
                  <w:vAlign w:val="center"/>
                </w:tcPr>
                <w:p w14:paraId="4A69A7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3.6</w:t>
                  </w:r>
                  <w:r>
                    <w:rPr>
                      <w:rFonts w:hint="eastAsia"/>
                      <w:color w:val="auto"/>
                      <w:szCs w:val="22"/>
                      <w:highlight w:val="none"/>
                      <w:lang w:val="en-US" w:eastAsia="zh-CN"/>
                    </w:rPr>
                    <w:t>t</w:t>
                  </w:r>
                </w:p>
              </w:tc>
              <w:tc>
                <w:tcPr>
                  <w:tcW w:w="1090" w:type="pct"/>
                  <w:tcBorders>
                    <w:tl2br w:val="nil"/>
                    <w:tr2bl w:val="nil"/>
                  </w:tcBorders>
                  <w:noWrap w:val="0"/>
                  <w:vAlign w:val="center"/>
                </w:tcPr>
                <w:p w14:paraId="24563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kern w:val="0"/>
                      <w:sz w:val="21"/>
                      <w:szCs w:val="21"/>
                      <w:highlight w:val="none"/>
                      <w:lang w:val="en-US" w:eastAsia="zh-CN"/>
                    </w:rPr>
                    <w:t>18kg/桶</w:t>
                  </w:r>
                </w:p>
              </w:tc>
              <w:tc>
                <w:tcPr>
                  <w:tcW w:w="549" w:type="pct"/>
                  <w:tcBorders>
                    <w:tl2br w:val="nil"/>
                    <w:tr2bl w:val="nil"/>
                  </w:tcBorders>
                  <w:noWrap w:val="0"/>
                  <w:vAlign w:val="center"/>
                </w:tcPr>
                <w:p w14:paraId="3AE2D5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半个月</w:t>
                  </w:r>
                </w:p>
              </w:tc>
              <w:tc>
                <w:tcPr>
                  <w:tcW w:w="540" w:type="pct"/>
                  <w:vMerge w:val="continue"/>
                  <w:tcBorders>
                    <w:tl2br w:val="nil"/>
                    <w:tr2bl w:val="nil"/>
                  </w:tcBorders>
                  <w:noWrap w:val="0"/>
                  <w:vAlign w:val="center"/>
                </w:tcPr>
                <w:p w14:paraId="730092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654E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shd w:val="clear" w:color="auto" w:fill="auto"/>
                  <w:noWrap w:val="0"/>
                  <w:vAlign w:val="center"/>
                </w:tcPr>
                <w:p w14:paraId="734614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14</w:t>
                  </w:r>
                </w:p>
              </w:tc>
              <w:tc>
                <w:tcPr>
                  <w:tcW w:w="1011" w:type="pct"/>
                  <w:tcBorders>
                    <w:tl2br w:val="nil"/>
                    <w:tr2bl w:val="nil"/>
                  </w:tcBorders>
                  <w:shd w:val="clear" w:color="auto" w:fill="auto"/>
                  <w:noWrap w:val="0"/>
                  <w:vAlign w:val="center"/>
                </w:tcPr>
                <w:p w14:paraId="60F22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聚氨酯原液B组分</w:t>
                  </w:r>
                </w:p>
              </w:tc>
              <w:tc>
                <w:tcPr>
                  <w:tcW w:w="635" w:type="pct"/>
                  <w:tcBorders>
                    <w:tl2br w:val="nil"/>
                    <w:tr2bl w:val="nil"/>
                  </w:tcBorders>
                  <w:shd w:val="clear" w:color="auto" w:fill="auto"/>
                  <w:noWrap w:val="0"/>
                  <w:vAlign w:val="center"/>
                </w:tcPr>
                <w:p w14:paraId="0CFC2B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86.4</w:t>
                  </w:r>
                  <w:r>
                    <w:rPr>
                      <w:rFonts w:hint="eastAsia" w:cs="Times New Roman"/>
                      <w:color w:val="auto"/>
                      <w:kern w:val="0"/>
                      <w:sz w:val="21"/>
                      <w:szCs w:val="21"/>
                      <w:highlight w:val="none"/>
                      <w:lang w:val="en-US" w:eastAsia="zh-CN"/>
                    </w:rPr>
                    <w:t>t/a</w:t>
                  </w:r>
                </w:p>
              </w:tc>
              <w:tc>
                <w:tcPr>
                  <w:tcW w:w="803" w:type="pct"/>
                  <w:tcBorders>
                    <w:tl2br w:val="nil"/>
                    <w:tr2bl w:val="nil"/>
                  </w:tcBorders>
                  <w:noWrap w:val="0"/>
                  <w:vAlign w:val="center"/>
                </w:tcPr>
                <w:p w14:paraId="4EF5E2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3.6t</w:t>
                  </w:r>
                </w:p>
              </w:tc>
              <w:tc>
                <w:tcPr>
                  <w:tcW w:w="1090" w:type="pct"/>
                  <w:tcBorders>
                    <w:tl2br w:val="nil"/>
                    <w:tr2bl w:val="nil"/>
                  </w:tcBorders>
                  <w:noWrap w:val="0"/>
                  <w:vAlign w:val="center"/>
                </w:tcPr>
                <w:p w14:paraId="5F549A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20kg/桶</w:t>
                  </w:r>
                </w:p>
              </w:tc>
              <w:tc>
                <w:tcPr>
                  <w:tcW w:w="549" w:type="pct"/>
                  <w:tcBorders>
                    <w:tl2br w:val="nil"/>
                    <w:tr2bl w:val="nil"/>
                  </w:tcBorders>
                  <w:noWrap w:val="0"/>
                  <w:vAlign w:val="center"/>
                </w:tcPr>
                <w:p w14:paraId="502403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半个月</w:t>
                  </w:r>
                </w:p>
              </w:tc>
              <w:tc>
                <w:tcPr>
                  <w:tcW w:w="540" w:type="pct"/>
                  <w:vMerge w:val="continue"/>
                  <w:tcBorders>
                    <w:tl2br w:val="nil"/>
                    <w:tr2bl w:val="nil"/>
                  </w:tcBorders>
                  <w:noWrap w:val="0"/>
                  <w:vAlign w:val="center"/>
                </w:tcPr>
                <w:p w14:paraId="1FB54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7DDF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noWrap w:val="0"/>
                  <w:vAlign w:val="center"/>
                </w:tcPr>
                <w:p w14:paraId="53125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1011" w:type="pct"/>
                  <w:tcBorders>
                    <w:tl2br w:val="nil"/>
                    <w:tr2bl w:val="nil"/>
                  </w:tcBorders>
                  <w:shd w:val="clear" w:color="auto" w:fill="auto"/>
                  <w:noWrap w:val="0"/>
                  <w:vAlign w:val="center"/>
                </w:tcPr>
                <w:p w14:paraId="7E72C9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聚氨酯原液C组分</w:t>
                  </w:r>
                </w:p>
              </w:tc>
              <w:tc>
                <w:tcPr>
                  <w:tcW w:w="635" w:type="pct"/>
                  <w:tcBorders>
                    <w:tl2br w:val="nil"/>
                    <w:tr2bl w:val="nil"/>
                  </w:tcBorders>
                  <w:shd w:val="clear" w:color="auto" w:fill="auto"/>
                  <w:noWrap w:val="0"/>
                  <w:vAlign w:val="center"/>
                </w:tcPr>
                <w:p w14:paraId="797ADC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8.6</w:t>
                  </w:r>
                  <w:r>
                    <w:rPr>
                      <w:rFonts w:hint="eastAsia" w:cs="Times New Roman"/>
                      <w:color w:val="auto"/>
                      <w:kern w:val="0"/>
                      <w:sz w:val="21"/>
                      <w:szCs w:val="21"/>
                      <w:highlight w:val="none"/>
                      <w:lang w:val="en-US" w:eastAsia="zh-CN"/>
                    </w:rPr>
                    <w:t>t/a</w:t>
                  </w:r>
                </w:p>
              </w:tc>
              <w:tc>
                <w:tcPr>
                  <w:tcW w:w="803" w:type="pct"/>
                  <w:tcBorders>
                    <w:tl2br w:val="nil"/>
                    <w:tr2bl w:val="nil"/>
                  </w:tcBorders>
                  <w:noWrap w:val="0"/>
                  <w:vAlign w:val="center"/>
                </w:tcPr>
                <w:p w14:paraId="2656E2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0.36</w:t>
                  </w:r>
                  <w:r>
                    <w:rPr>
                      <w:rFonts w:hint="eastAsia"/>
                      <w:color w:val="auto"/>
                      <w:szCs w:val="22"/>
                      <w:highlight w:val="none"/>
                      <w:lang w:val="en-US" w:eastAsia="zh-CN"/>
                    </w:rPr>
                    <w:t>t</w:t>
                  </w:r>
                </w:p>
              </w:tc>
              <w:tc>
                <w:tcPr>
                  <w:tcW w:w="1090" w:type="pct"/>
                  <w:tcBorders>
                    <w:tl2br w:val="nil"/>
                    <w:tr2bl w:val="nil"/>
                  </w:tcBorders>
                  <w:noWrap w:val="0"/>
                  <w:vAlign w:val="center"/>
                </w:tcPr>
                <w:p w14:paraId="618601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kern w:val="0"/>
                      <w:sz w:val="21"/>
                      <w:szCs w:val="21"/>
                      <w:highlight w:val="none"/>
                      <w:lang w:val="en-US" w:eastAsia="zh-CN"/>
                    </w:rPr>
                    <w:t>10kg/桶</w:t>
                  </w:r>
                </w:p>
              </w:tc>
              <w:tc>
                <w:tcPr>
                  <w:tcW w:w="549" w:type="pct"/>
                  <w:tcBorders>
                    <w:tl2br w:val="nil"/>
                    <w:tr2bl w:val="nil"/>
                  </w:tcBorders>
                  <w:noWrap w:val="0"/>
                  <w:vAlign w:val="center"/>
                </w:tcPr>
                <w:p w14:paraId="1AC3D6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半个月</w:t>
                  </w:r>
                </w:p>
              </w:tc>
              <w:tc>
                <w:tcPr>
                  <w:tcW w:w="540" w:type="pct"/>
                  <w:vMerge w:val="continue"/>
                  <w:tcBorders>
                    <w:tl2br w:val="nil"/>
                    <w:tr2bl w:val="nil"/>
                  </w:tcBorders>
                  <w:noWrap w:val="0"/>
                  <w:vAlign w:val="center"/>
                </w:tcPr>
                <w:p w14:paraId="52326C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226F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tcBorders>
                    <w:tl2br w:val="nil"/>
                    <w:tr2bl w:val="nil"/>
                  </w:tcBorders>
                  <w:noWrap w:val="0"/>
                  <w:vAlign w:val="center"/>
                </w:tcPr>
                <w:p w14:paraId="3C8779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1011" w:type="pct"/>
                  <w:tcBorders>
                    <w:tl2br w:val="nil"/>
                    <w:tr2bl w:val="nil"/>
                  </w:tcBorders>
                  <w:shd w:val="clear" w:color="auto" w:fill="auto"/>
                  <w:noWrap w:val="0"/>
                  <w:vAlign w:val="center"/>
                </w:tcPr>
                <w:p w14:paraId="12AF54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聚氨酯原液硬化剂</w:t>
                  </w:r>
                </w:p>
              </w:tc>
              <w:tc>
                <w:tcPr>
                  <w:tcW w:w="635" w:type="pct"/>
                  <w:tcBorders>
                    <w:tl2br w:val="nil"/>
                    <w:tr2bl w:val="nil"/>
                  </w:tcBorders>
                  <w:shd w:val="clear" w:color="auto" w:fill="auto"/>
                  <w:noWrap w:val="0"/>
                  <w:vAlign w:val="center"/>
                </w:tcPr>
                <w:p w14:paraId="00C9BD13">
                  <w:pPr>
                    <w:pStyle w:val="203"/>
                    <w:keepNext w:val="0"/>
                    <w:keepLines w:val="0"/>
                    <w:pageBreakBefore w:val="0"/>
                    <w:suppressLineNumbers w:val="0"/>
                    <w:tabs>
                      <w:tab w:val="left" w:pos="1061"/>
                    </w:tabs>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8.6</w:t>
                  </w:r>
                  <w:r>
                    <w:rPr>
                      <w:rFonts w:hint="eastAsia" w:cs="Times New Roman"/>
                      <w:color w:val="auto"/>
                      <w:kern w:val="0"/>
                      <w:sz w:val="21"/>
                      <w:szCs w:val="21"/>
                      <w:highlight w:val="none"/>
                      <w:lang w:val="en-US" w:eastAsia="zh-CN"/>
                    </w:rPr>
                    <w:t>t/a</w:t>
                  </w:r>
                </w:p>
              </w:tc>
              <w:tc>
                <w:tcPr>
                  <w:tcW w:w="803" w:type="pct"/>
                  <w:tcBorders>
                    <w:tl2br w:val="nil"/>
                    <w:tr2bl w:val="nil"/>
                  </w:tcBorders>
                  <w:noWrap w:val="0"/>
                  <w:vAlign w:val="center"/>
                </w:tcPr>
                <w:p w14:paraId="3C25A9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0.375</w:t>
                  </w:r>
                  <w:r>
                    <w:rPr>
                      <w:rFonts w:hint="eastAsia"/>
                      <w:color w:val="auto"/>
                      <w:szCs w:val="22"/>
                      <w:highlight w:val="none"/>
                      <w:lang w:val="en-US" w:eastAsia="zh-CN"/>
                    </w:rPr>
                    <w:t>t</w:t>
                  </w:r>
                </w:p>
              </w:tc>
              <w:tc>
                <w:tcPr>
                  <w:tcW w:w="1090" w:type="pct"/>
                  <w:tcBorders>
                    <w:tl2br w:val="nil"/>
                    <w:tr2bl w:val="nil"/>
                  </w:tcBorders>
                  <w:noWrap w:val="0"/>
                  <w:vAlign w:val="center"/>
                </w:tcPr>
                <w:p w14:paraId="23A5B1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kern w:val="0"/>
                      <w:sz w:val="21"/>
                      <w:szCs w:val="21"/>
                      <w:highlight w:val="none"/>
                      <w:lang w:val="en-US" w:eastAsia="zh-CN"/>
                    </w:rPr>
                    <w:t>25kg/桶</w:t>
                  </w:r>
                </w:p>
              </w:tc>
              <w:tc>
                <w:tcPr>
                  <w:tcW w:w="549" w:type="pct"/>
                  <w:tcBorders>
                    <w:tl2br w:val="nil"/>
                    <w:tr2bl w:val="nil"/>
                  </w:tcBorders>
                  <w:noWrap w:val="0"/>
                  <w:vAlign w:val="center"/>
                </w:tcPr>
                <w:p w14:paraId="4E5C7D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半个月</w:t>
                  </w:r>
                </w:p>
              </w:tc>
              <w:tc>
                <w:tcPr>
                  <w:tcW w:w="540" w:type="pct"/>
                  <w:vMerge w:val="continue"/>
                  <w:tcBorders>
                    <w:tl2br w:val="nil"/>
                    <w:tr2bl w:val="nil"/>
                  </w:tcBorders>
                  <w:noWrap w:val="0"/>
                  <w:vAlign w:val="center"/>
                </w:tcPr>
                <w:p w14:paraId="5614E6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71FA6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noWrap w:val="0"/>
                  <w:vAlign w:val="center"/>
                </w:tcPr>
                <w:p w14:paraId="08698D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1011" w:type="pct"/>
                  <w:tcBorders>
                    <w:tl2br w:val="nil"/>
                    <w:tr2bl w:val="nil"/>
                  </w:tcBorders>
                  <w:noWrap w:val="0"/>
                  <w:vAlign w:val="center"/>
                </w:tcPr>
                <w:p w14:paraId="23D082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脱模剂</w:t>
                  </w:r>
                </w:p>
              </w:tc>
              <w:tc>
                <w:tcPr>
                  <w:tcW w:w="635" w:type="pct"/>
                  <w:tcBorders>
                    <w:tl2br w:val="nil"/>
                    <w:tr2bl w:val="nil"/>
                  </w:tcBorders>
                  <w:noWrap w:val="0"/>
                  <w:vAlign w:val="center"/>
                </w:tcPr>
                <w:p w14:paraId="598B07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0.5</w:t>
                  </w:r>
                  <w:r>
                    <w:rPr>
                      <w:rFonts w:hint="eastAsia" w:cs="Times New Roman"/>
                      <w:color w:val="auto"/>
                      <w:kern w:val="0"/>
                      <w:sz w:val="21"/>
                      <w:szCs w:val="21"/>
                      <w:highlight w:val="none"/>
                      <w:lang w:val="en-US" w:eastAsia="zh-CN"/>
                    </w:rPr>
                    <w:t>t/a</w:t>
                  </w:r>
                </w:p>
              </w:tc>
              <w:tc>
                <w:tcPr>
                  <w:tcW w:w="803" w:type="pct"/>
                  <w:tcBorders>
                    <w:tl2br w:val="nil"/>
                    <w:tr2bl w:val="nil"/>
                  </w:tcBorders>
                  <w:noWrap w:val="0"/>
                  <w:vAlign w:val="center"/>
                </w:tcPr>
                <w:p w14:paraId="379920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0.05</w:t>
                  </w:r>
                  <w:r>
                    <w:rPr>
                      <w:rFonts w:hint="eastAsia"/>
                      <w:color w:val="auto"/>
                      <w:szCs w:val="22"/>
                      <w:highlight w:val="none"/>
                      <w:lang w:val="en-US" w:eastAsia="zh-CN"/>
                    </w:rPr>
                    <w:t>t</w:t>
                  </w:r>
                </w:p>
              </w:tc>
              <w:tc>
                <w:tcPr>
                  <w:tcW w:w="1090" w:type="pct"/>
                  <w:tcBorders>
                    <w:tl2br w:val="nil"/>
                    <w:tr2bl w:val="nil"/>
                  </w:tcBorders>
                  <w:noWrap w:val="0"/>
                  <w:vAlign w:val="center"/>
                </w:tcPr>
                <w:p w14:paraId="235D7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kern w:val="0"/>
                      <w:sz w:val="21"/>
                      <w:szCs w:val="21"/>
                      <w:highlight w:val="none"/>
                      <w:lang w:val="en-US" w:eastAsia="zh-CN"/>
                    </w:rPr>
                    <w:t>10kg/桶</w:t>
                  </w:r>
                </w:p>
              </w:tc>
              <w:tc>
                <w:tcPr>
                  <w:tcW w:w="549" w:type="pct"/>
                  <w:tcBorders>
                    <w:tl2br w:val="nil"/>
                    <w:tr2bl w:val="nil"/>
                  </w:tcBorders>
                  <w:noWrap w:val="0"/>
                  <w:vAlign w:val="center"/>
                </w:tcPr>
                <w:p w14:paraId="538D80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1个月</w:t>
                  </w:r>
                </w:p>
              </w:tc>
              <w:tc>
                <w:tcPr>
                  <w:tcW w:w="540" w:type="pct"/>
                  <w:vMerge w:val="continue"/>
                  <w:tcBorders>
                    <w:tl2br w:val="nil"/>
                    <w:tr2bl w:val="nil"/>
                  </w:tcBorders>
                  <w:noWrap w:val="0"/>
                  <w:vAlign w:val="center"/>
                </w:tcPr>
                <w:p w14:paraId="1DAEDE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78EF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69" w:type="pct"/>
                  <w:tcBorders>
                    <w:tl2br w:val="nil"/>
                    <w:tr2bl w:val="nil"/>
                  </w:tcBorders>
                  <w:shd w:val="clear" w:color="auto" w:fill="auto"/>
                  <w:noWrap w:val="0"/>
                  <w:vAlign w:val="center"/>
                </w:tcPr>
                <w:p w14:paraId="26E0EB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18</w:t>
                  </w:r>
                </w:p>
              </w:tc>
              <w:tc>
                <w:tcPr>
                  <w:tcW w:w="1011" w:type="pct"/>
                  <w:tcBorders>
                    <w:tl2br w:val="nil"/>
                    <w:tr2bl w:val="nil"/>
                  </w:tcBorders>
                  <w:noWrap w:val="0"/>
                  <w:vAlign w:val="center"/>
                </w:tcPr>
                <w:p w14:paraId="30B246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机油</w:t>
                  </w:r>
                </w:p>
              </w:tc>
              <w:tc>
                <w:tcPr>
                  <w:tcW w:w="635" w:type="pct"/>
                  <w:tcBorders>
                    <w:tl2br w:val="nil"/>
                    <w:tr2bl w:val="nil"/>
                  </w:tcBorders>
                  <w:noWrap w:val="0"/>
                  <w:vAlign w:val="center"/>
                </w:tcPr>
                <w:p w14:paraId="4761E1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w:t>
                  </w:r>
                  <w:r>
                    <w:rPr>
                      <w:rFonts w:hint="eastAsia" w:cs="Times New Roman"/>
                      <w:color w:val="auto"/>
                      <w:kern w:val="0"/>
                      <w:sz w:val="21"/>
                      <w:szCs w:val="21"/>
                      <w:highlight w:val="none"/>
                      <w:lang w:val="en-US" w:eastAsia="zh-CN"/>
                    </w:rPr>
                    <w:t>t/a</w:t>
                  </w:r>
                </w:p>
              </w:tc>
              <w:tc>
                <w:tcPr>
                  <w:tcW w:w="803" w:type="pct"/>
                  <w:tcBorders>
                    <w:tl2br w:val="nil"/>
                    <w:tr2bl w:val="nil"/>
                  </w:tcBorders>
                  <w:noWrap w:val="0"/>
                  <w:vAlign w:val="center"/>
                </w:tcPr>
                <w:p w14:paraId="3AAF29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0.05</w:t>
                  </w:r>
                  <w:r>
                    <w:rPr>
                      <w:rFonts w:hint="eastAsia" w:cs="Times New Roman"/>
                      <w:color w:val="auto"/>
                      <w:kern w:val="0"/>
                      <w:sz w:val="21"/>
                      <w:szCs w:val="21"/>
                      <w:highlight w:val="none"/>
                      <w:lang w:val="en-US" w:eastAsia="zh-CN"/>
                    </w:rPr>
                    <w:t>t</w:t>
                  </w:r>
                </w:p>
              </w:tc>
              <w:tc>
                <w:tcPr>
                  <w:tcW w:w="1090" w:type="pct"/>
                  <w:tcBorders>
                    <w:tl2br w:val="nil"/>
                    <w:tr2bl w:val="nil"/>
                  </w:tcBorders>
                  <w:noWrap w:val="0"/>
                  <w:vAlign w:val="center"/>
                </w:tcPr>
                <w:p w14:paraId="2FB745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50kg/桶</w:t>
                  </w:r>
                </w:p>
              </w:tc>
              <w:tc>
                <w:tcPr>
                  <w:tcW w:w="549" w:type="pct"/>
                  <w:tcBorders>
                    <w:tl2br w:val="nil"/>
                    <w:tr2bl w:val="nil"/>
                  </w:tcBorders>
                  <w:noWrap w:val="0"/>
                  <w:vAlign w:val="center"/>
                </w:tcPr>
                <w:p w14:paraId="103108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半年</w:t>
                  </w:r>
                </w:p>
              </w:tc>
              <w:tc>
                <w:tcPr>
                  <w:tcW w:w="540" w:type="pct"/>
                  <w:vMerge w:val="continue"/>
                  <w:tcBorders>
                    <w:tl2br w:val="nil"/>
                    <w:tr2bl w:val="nil"/>
                  </w:tcBorders>
                  <w:noWrap w:val="0"/>
                  <w:vAlign w:val="center"/>
                </w:tcPr>
                <w:p w14:paraId="7F834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79BF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shd w:val="clear" w:color="auto" w:fill="auto"/>
                  <w:noWrap w:val="0"/>
                  <w:vAlign w:val="center"/>
                </w:tcPr>
                <w:p w14:paraId="2D9ED0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19</w:t>
                  </w:r>
                </w:p>
              </w:tc>
              <w:tc>
                <w:tcPr>
                  <w:tcW w:w="1011" w:type="pct"/>
                  <w:tcBorders>
                    <w:tl2br w:val="nil"/>
                    <w:tr2bl w:val="nil"/>
                  </w:tcBorders>
                  <w:noWrap w:val="0"/>
                  <w:vAlign w:val="center"/>
                </w:tcPr>
                <w:p w14:paraId="6C5E5D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塑料包装袋</w:t>
                  </w:r>
                </w:p>
              </w:tc>
              <w:tc>
                <w:tcPr>
                  <w:tcW w:w="635" w:type="pct"/>
                  <w:tcBorders>
                    <w:tl2br w:val="nil"/>
                    <w:tr2bl w:val="nil"/>
                  </w:tcBorders>
                  <w:noWrap w:val="0"/>
                  <w:vAlign w:val="center"/>
                </w:tcPr>
                <w:p w14:paraId="09AF0B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350万个/a</w:t>
                  </w:r>
                </w:p>
              </w:tc>
              <w:tc>
                <w:tcPr>
                  <w:tcW w:w="803" w:type="pct"/>
                  <w:tcBorders>
                    <w:tl2br w:val="nil"/>
                    <w:tr2bl w:val="nil"/>
                  </w:tcBorders>
                  <w:noWrap w:val="0"/>
                  <w:vAlign w:val="center"/>
                </w:tcPr>
                <w:p w14:paraId="45E876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eastAsia="宋体"/>
                      <w:color w:val="auto"/>
                      <w:szCs w:val="22"/>
                      <w:highlight w:val="none"/>
                      <w:lang w:val="en-US" w:eastAsia="zh-CN"/>
                    </w:rPr>
                  </w:pPr>
                  <w:r>
                    <w:rPr>
                      <w:rFonts w:hint="eastAsia"/>
                      <w:color w:val="auto"/>
                      <w:szCs w:val="22"/>
                      <w:highlight w:val="none"/>
                      <w:lang w:val="en-US" w:eastAsia="zh-CN"/>
                    </w:rPr>
                    <w:t>14.6万个</w:t>
                  </w:r>
                </w:p>
              </w:tc>
              <w:tc>
                <w:tcPr>
                  <w:tcW w:w="1090" w:type="pct"/>
                  <w:tcBorders>
                    <w:tl2br w:val="nil"/>
                    <w:tr2bl w:val="nil"/>
                  </w:tcBorders>
                  <w:noWrap w:val="0"/>
                  <w:vAlign w:val="center"/>
                </w:tcPr>
                <w:p w14:paraId="63BA37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549" w:type="pct"/>
                  <w:tcBorders>
                    <w:tl2br w:val="nil"/>
                    <w:tr2bl w:val="nil"/>
                  </w:tcBorders>
                  <w:noWrap w:val="0"/>
                  <w:vAlign w:val="center"/>
                </w:tcPr>
                <w:p w14:paraId="675422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半个月</w:t>
                  </w:r>
                </w:p>
              </w:tc>
              <w:tc>
                <w:tcPr>
                  <w:tcW w:w="540" w:type="pct"/>
                  <w:tcBorders>
                    <w:tl2br w:val="nil"/>
                    <w:tr2bl w:val="nil"/>
                  </w:tcBorders>
                  <w:noWrap w:val="0"/>
                  <w:vAlign w:val="center"/>
                </w:tcPr>
                <w:p w14:paraId="759DFF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原料库</w:t>
                  </w:r>
                </w:p>
              </w:tc>
            </w:tr>
            <w:tr w14:paraId="72DB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shd w:val="clear" w:color="auto" w:fill="auto"/>
                  <w:noWrap w:val="0"/>
                  <w:vAlign w:val="center"/>
                </w:tcPr>
                <w:p w14:paraId="635B3B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20</w:t>
                  </w:r>
                </w:p>
              </w:tc>
              <w:tc>
                <w:tcPr>
                  <w:tcW w:w="1011" w:type="pct"/>
                  <w:tcBorders>
                    <w:tl2br w:val="nil"/>
                    <w:tr2bl w:val="nil"/>
                  </w:tcBorders>
                  <w:noWrap w:val="0"/>
                  <w:vAlign w:val="center"/>
                </w:tcPr>
                <w:p w14:paraId="1B7F4E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电</w:t>
                  </w:r>
                </w:p>
              </w:tc>
              <w:tc>
                <w:tcPr>
                  <w:tcW w:w="635" w:type="pct"/>
                  <w:tcBorders>
                    <w:tl2br w:val="nil"/>
                    <w:tr2bl w:val="nil"/>
                  </w:tcBorders>
                  <w:noWrap w:val="0"/>
                  <w:vAlign w:val="center"/>
                </w:tcPr>
                <w:p w14:paraId="0C99CE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Cs w:val="21"/>
                      <w:highlight w:val="none"/>
                      <w:lang w:val="en-US" w:eastAsia="zh-CN"/>
                    </w:rPr>
                    <w:t>50</w:t>
                  </w:r>
                  <w:r>
                    <w:rPr>
                      <w:rFonts w:hint="eastAsia"/>
                      <w:color w:val="auto"/>
                      <w:szCs w:val="21"/>
                      <w:highlight w:val="none"/>
                    </w:rPr>
                    <w:t>万kWh</w:t>
                  </w:r>
                </w:p>
              </w:tc>
              <w:tc>
                <w:tcPr>
                  <w:tcW w:w="803" w:type="pct"/>
                  <w:tcBorders>
                    <w:tl2br w:val="nil"/>
                    <w:tr2bl w:val="nil"/>
                  </w:tcBorders>
                  <w:noWrap w:val="0"/>
                  <w:vAlign w:val="center"/>
                </w:tcPr>
                <w:p w14:paraId="4496F0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90" w:type="pct"/>
                  <w:tcBorders>
                    <w:tl2br w:val="nil"/>
                    <w:tr2bl w:val="nil"/>
                  </w:tcBorders>
                  <w:noWrap w:val="0"/>
                  <w:vAlign w:val="center"/>
                </w:tcPr>
                <w:p w14:paraId="67F5AB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供电电网</w:t>
                  </w:r>
                </w:p>
              </w:tc>
              <w:tc>
                <w:tcPr>
                  <w:tcW w:w="549" w:type="pct"/>
                  <w:tcBorders>
                    <w:tl2br w:val="nil"/>
                    <w:tr2bl w:val="nil"/>
                  </w:tcBorders>
                  <w:noWrap w:val="0"/>
                  <w:vAlign w:val="center"/>
                </w:tcPr>
                <w:p w14:paraId="5A53EC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40" w:type="pct"/>
                  <w:tcBorders>
                    <w:tl2br w:val="nil"/>
                    <w:tr2bl w:val="nil"/>
                  </w:tcBorders>
                  <w:noWrap w:val="0"/>
                  <w:vAlign w:val="center"/>
                </w:tcPr>
                <w:p w14:paraId="33DBB8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01D1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shd w:val="clear" w:color="auto" w:fill="auto"/>
                  <w:noWrap w:val="0"/>
                  <w:vAlign w:val="center"/>
                </w:tcPr>
                <w:p w14:paraId="303562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21</w:t>
                  </w:r>
                </w:p>
              </w:tc>
              <w:tc>
                <w:tcPr>
                  <w:tcW w:w="1011" w:type="pct"/>
                  <w:tcBorders>
                    <w:tl2br w:val="nil"/>
                    <w:tr2bl w:val="nil"/>
                  </w:tcBorders>
                  <w:noWrap w:val="0"/>
                  <w:vAlign w:val="center"/>
                </w:tcPr>
                <w:p w14:paraId="24E97E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新鲜水</w:t>
                  </w:r>
                </w:p>
              </w:tc>
              <w:tc>
                <w:tcPr>
                  <w:tcW w:w="635" w:type="pct"/>
                  <w:tcBorders>
                    <w:tl2br w:val="nil"/>
                    <w:tr2bl w:val="nil"/>
                  </w:tcBorders>
                  <w:noWrap w:val="0"/>
                  <w:vAlign w:val="center"/>
                </w:tcPr>
                <w:p w14:paraId="4F499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rPr>
                    <w:t>1032.4t/a</w:t>
                  </w:r>
                </w:p>
              </w:tc>
              <w:tc>
                <w:tcPr>
                  <w:tcW w:w="803" w:type="pct"/>
                  <w:tcBorders>
                    <w:tl2br w:val="nil"/>
                    <w:tr2bl w:val="nil"/>
                  </w:tcBorders>
                  <w:noWrap w:val="0"/>
                  <w:vAlign w:val="center"/>
                </w:tcPr>
                <w:p w14:paraId="3EB8BF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90" w:type="pct"/>
                  <w:tcBorders>
                    <w:tl2br w:val="nil"/>
                    <w:tr2bl w:val="nil"/>
                  </w:tcBorders>
                  <w:noWrap w:val="0"/>
                  <w:vAlign w:val="center"/>
                </w:tcPr>
                <w:p w14:paraId="0B8062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市政供水</w:t>
                  </w:r>
                </w:p>
              </w:tc>
              <w:tc>
                <w:tcPr>
                  <w:tcW w:w="549" w:type="pct"/>
                  <w:tcBorders>
                    <w:tl2br w:val="nil"/>
                    <w:tr2bl w:val="nil"/>
                  </w:tcBorders>
                  <w:noWrap w:val="0"/>
                  <w:vAlign w:val="center"/>
                </w:tcPr>
                <w:p w14:paraId="2E226E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40" w:type="pct"/>
                  <w:tcBorders>
                    <w:tl2br w:val="nil"/>
                    <w:tr2bl w:val="nil"/>
                  </w:tcBorders>
                  <w:noWrap w:val="0"/>
                  <w:vAlign w:val="center"/>
                </w:tcPr>
                <w:p w14:paraId="63E76E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787C2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tcBorders>
                    <w:tl2br w:val="nil"/>
                    <w:tr2bl w:val="nil"/>
                  </w:tcBorders>
                  <w:noWrap w:val="0"/>
                  <w:vAlign w:val="center"/>
                </w:tcPr>
                <w:p w14:paraId="70C0C8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22</w:t>
                  </w:r>
                </w:p>
              </w:tc>
              <w:tc>
                <w:tcPr>
                  <w:tcW w:w="1011" w:type="pct"/>
                  <w:tcBorders>
                    <w:tl2br w:val="nil"/>
                    <w:tr2bl w:val="nil"/>
                  </w:tcBorders>
                  <w:noWrap w:val="0"/>
                  <w:vAlign w:val="center"/>
                </w:tcPr>
                <w:p w14:paraId="0DB141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天然气</w:t>
                  </w:r>
                  <w:r>
                    <w:rPr>
                      <w:rFonts w:hint="eastAsia" w:cs="Times New Roman"/>
                      <w:color w:val="auto"/>
                      <w:sz w:val="21"/>
                      <w:szCs w:val="21"/>
                      <w:highlight w:val="none"/>
                      <w:vertAlign w:val="superscript"/>
                      <w:lang w:val="en-US" w:eastAsia="zh-CN"/>
                    </w:rPr>
                    <w:t>（2）</w:t>
                  </w:r>
                </w:p>
              </w:tc>
              <w:tc>
                <w:tcPr>
                  <w:tcW w:w="635" w:type="pct"/>
                  <w:tcBorders>
                    <w:tl2br w:val="nil"/>
                    <w:tr2bl w:val="nil"/>
                  </w:tcBorders>
                  <w:noWrap w:val="0"/>
                  <w:vAlign w:val="center"/>
                </w:tcPr>
                <w:p w14:paraId="0B9A61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1300m</w:t>
                  </w:r>
                  <w:r>
                    <w:rPr>
                      <w:rFonts w:hint="eastAsia" w:cs="Times New Roman"/>
                      <w:color w:val="auto"/>
                      <w:kern w:val="0"/>
                      <w:sz w:val="21"/>
                      <w:szCs w:val="21"/>
                      <w:highlight w:val="none"/>
                      <w:vertAlign w:val="superscript"/>
                      <w:lang w:val="en-US" w:eastAsia="zh-CN"/>
                    </w:rPr>
                    <w:t>3</w:t>
                  </w:r>
                  <w:r>
                    <w:rPr>
                      <w:rFonts w:hint="eastAsia" w:cs="Times New Roman"/>
                      <w:color w:val="auto"/>
                      <w:kern w:val="0"/>
                      <w:sz w:val="21"/>
                      <w:szCs w:val="21"/>
                      <w:highlight w:val="none"/>
                      <w:lang w:val="en-US" w:eastAsia="zh-CN"/>
                    </w:rPr>
                    <w:t>/a</w:t>
                  </w:r>
                </w:p>
              </w:tc>
              <w:tc>
                <w:tcPr>
                  <w:tcW w:w="803" w:type="pct"/>
                  <w:tcBorders>
                    <w:tl2br w:val="nil"/>
                    <w:tr2bl w:val="nil"/>
                  </w:tcBorders>
                  <w:noWrap w:val="0"/>
                  <w:vAlign w:val="center"/>
                </w:tcPr>
                <w:p w14:paraId="236710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0.0157m</w:t>
                  </w:r>
                  <w:r>
                    <w:rPr>
                      <w:rFonts w:hint="eastAsia" w:cs="Times New Roman"/>
                      <w:color w:val="auto"/>
                      <w:sz w:val="21"/>
                      <w:szCs w:val="21"/>
                      <w:highlight w:val="none"/>
                      <w:vertAlign w:val="superscript"/>
                      <w:lang w:val="en-US" w:eastAsia="zh-CN"/>
                    </w:rPr>
                    <w:t>3</w:t>
                  </w:r>
                </w:p>
              </w:tc>
              <w:tc>
                <w:tcPr>
                  <w:tcW w:w="1090" w:type="pct"/>
                  <w:tcBorders>
                    <w:tl2br w:val="nil"/>
                    <w:tr2bl w:val="nil"/>
                  </w:tcBorders>
                  <w:noWrap w:val="0"/>
                  <w:vAlign w:val="center"/>
                </w:tcPr>
                <w:p w14:paraId="603B6D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市政燃气</w:t>
                  </w:r>
                </w:p>
              </w:tc>
              <w:tc>
                <w:tcPr>
                  <w:tcW w:w="549" w:type="pct"/>
                  <w:tcBorders>
                    <w:tl2br w:val="nil"/>
                    <w:tr2bl w:val="nil"/>
                  </w:tcBorders>
                  <w:noWrap w:val="0"/>
                  <w:vAlign w:val="center"/>
                </w:tcPr>
                <w:p w14:paraId="2CB0FA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40" w:type="pct"/>
                  <w:tcBorders>
                    <w:tl2br w:val="nil"/>
                    <w:tr2bl w:val="nil"/>
                  </w:tcBorders>
                  <w:noWrap w:val="0"/>
                  <w:vAlign w:val="center"/>
                </w:tcPr>
                <w:p w14:paraId="1371E3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bl>
          <w:p w14:paraId="74BF8A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szCs w:val="22"/>
                <w:highlight w:val="none"/>
                <w:lang w:val="en-US" w:eastAsia="zh-CN"/>
              </w:rPr>
            </w:pPr>
            <w:r>
              <w:rPr>
                <w:rFonts w:hint="default" w:ascii="Times New Roman" w:hAnsi="Times New Roman" w:cs="Times New Roman"/>
                <w:b w:val="0"/>
                <w:bCs/>
                <w:color w:val="auto"/>
                <w:sz w:val="21"/>
                <w:szCs w:val="21"/>
                <w:highlight w:val="none"/>
                <w:lang w:val="en-US" w:eastAsia="zh-CN"/>
              </w:rPr>
              <w:t>注：</w:t>
            </w:r>
            <w:r>
              <w:rPr>
                <w:rFonts w:hint="eastAsia" w:cs="Times New Roman"/>
                <w:b w:val="0"/>
                <w:bCs/>
                <w:color w:val="auto"/>
                <w:sz w:val="21"/>
                <w:szCs w:val="21"/>
                <w:highlight w:val="none"/>
                <w:lang w:val="en-US" w:eastAsia="zh-CN"/>
              </w:rPr>
              <w:t>（1）PVC树脂粉中含不同颜色的色母粒；（2）生活燃气管道内径50mm，厂区内燃气管道长度约170m，则厂区内食堂所用天然气在线量为0.334m</w:t>
            </w:r>
            <w:r>
              <w:rPr>
                <w:rFonts w:hint="eastAsia" w:cs="Times New Roman"/>
                <w:b w:val="0"/>
                <w:bCs/>
                <w:color w:val="auto"/>
                <w:sz w:val="21"/>
                <w:szCs w:val="21"/>
                <w:highlight w:val="none"/>
                <w:vertAlign w:val="superscript"/>
                <w:lang w:val="en-US" w:eastAsia="zh-CN"/>
              </w:rPr>
              <w:t>3</w:t>
            </w:r>
            <w:r>
              <w:rPr>
                <w:rFonts w:hint="eastAsia" w:cs="Times New Roman"/>
                <w:b w:val="0"/>
                <w:bCs/>
                <w:color w:val="auto"/>
                <w:sz w:val="21"/>
                <w:szCs w:val="21"/>
                <w:highlight w:val="none"/>
                <w:lang w:val="en-US" w:eastAsia="zh-CN"/>
              </w:rPr>
              <w:t>。</w:t>
            </w:r>
          </w:p>
          <w:p w14:paraId="053D63D3">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textAlignment w:val="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lang w:val="en-US" w:eastAsia="zh-CN"/>
              </w:rPr>
              <w:t>.1</w:t>
            </w:r>
            <w:r>
              <w:rPr>
                <w:rFonts w:hint="eastAsia" w:cs="Times New Roman"/>
                <w:b/>
                <w:color w:val="auto"/>
                <w:sz w:val="24"/>
                <w:szCs w:val="24"/>
                <w:highlight w:val="none"/>
                <w:lang w:val="en-US" w:eastAsia="zh-CN"/>
              </w:rPr>
              <w:t>聚氨酯原液等</w:t>
            </w:r>
            <w:r>
              <w:rPr>
                <w:rFonts w:hint="default" w:ascii="Times New Roman" w:hAnsi="Times New Roman" w:eastAsia="宋体" w:cs="Times New Roman"/>
                <w:b/>
                <w:color w:val="auto"/>
                <w:sz w:val="24"/>
                <w:szCs w:val="24"/>
                <w:highlight w:val="none"/>
                <w:lang w:val="en-US" w:eastAsia="zh-CN"/>
              </w:rPr>
              <w:t>组分汇总表</w:t>
            </w:r>
          </w:p>
          <w:p w14:paraId="37AEEE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表2-</w:t>
            </w:r>
            <w:r>
              <w:rPr>
                <w:rFonts w:hint="eastAsia" w:cs="Times New Roman"/>
                <w:b/>
                <w:color w:val="auto"/>
                <w:sz w:val="21"/>
                <w:szCs w:val="21"/>
                <w:highlight w:val="none"/>
                <w:lang w:val="en-US" w:eastAsia="zh-CN"/>
              </w:rPr>
              <w:t>6</w:t>
            </w:r>
            <w:r>
              <w:rPr>
                <w:rFonts w:hint="default" w:ascii="Times New Roman" w:hAnsi="Times New Roman" w:eastAsia="宋体" w:cs="Times New Roman"/>
                <w:b/>
                <w:color w:val="auto"/>
                <w:sz w:val="21"/>
                <w:szCs w:val="21"/>
                <w:highlight w:val="none"/>
                <w:lang w:val="en-US" w:eastAsia="zh-CN"/>
              </w:rPr>
              <w:t xml:space="preserve">  项目</w:t>
            </w:r>
            <w:r>
              <w:rPr>
                <w:rFonts w:hint="eastAsia" w:cs="Times New Roman"/>
                <w:b/>
                <w:color w:val="auto"/>
                <w:sz w:val="21"/>
                <w:szCs w:val="21"/>
                <w:highlight w:val="none"/>
                <w:lang w:val="en-US" w:eastAsia="zh-CN"/>
              </w:rPr>
              <w:t>聚氨酯原液等</w:t>
            </w:r>
            <w:r>
              <w:rPr>
                <w:rFonts w:hint="default" w:ascii="Times New Roman" w:hAnsi="Times New Roman" w:eastAsia="宋体" w:cs="Times New Roman"/>
                <w:b/>
                <w:color w:val="auto"/>
                <w:sz w:val="21"/>
                <w:szCs w:val="21"/>
                <w:highlight w:val="none"/>
                <w:lang w:val="en-US" w:eastAsia="zh-CN"/>
              </w:rPr>
              <w:t>组分一览表</w:t>
            </w:r>
          </w:p>
          <w:tbl>
            <w:tblPr>
              <w:tblStyle w:val="39"/>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2255"/>
              <w:gridCol w:w="1625"/>
              <w:gridCol w:w="2232"/>
            </w:tblGrid>
            <w:tr w14:paraId="30C5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5" w:type="pct"/>
                  <w:gridSpan w:val="2"/>
                  <w:tcBorders>
                    <w:tl2br w:val="nil"/>
                    <w:tr2bl w:val="nil"/>
                  </w:tcBorders>
                  <w:noWrap w:val="0"/>
                  <w:vAlign w:val="center"/>
                </w:tcPr>
                <w:p w14:paraId="6518171C">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bookmarkStart w:id="4" w:name="_Hlk44343046"/>
                  <w:r>
                    <w:rPr>
                      <w:rFonts w:hint="default" w:ascii="Times New Roman" w:hAnsi="Times New Roman" w:cs="Times New Roman"/>
                      <w:b/>
                      <w:color w:val="auto"/>
                      <w:sz w:val="21"/>
                      <w:szCs w:val="21"/>
                      <w:highlight w:val="none"/>
                      <w:lang w:val="en-US"/>
                    </w:rPr>
                    <w:t>主要组分名称</w:t>
                  </w:r>
                </w:p>
              </w:tc>
              <w:tc>
                <w:tcPr>
                  <w:tcW w:w="1038" w:type="pct"/>
                  <w:tcBorders>
                    <w:tl2br w:val="nil"/>
                    <w:tr2bl w:val="nil"/>
                  </w:tcBorders>
                  <w:noWrap w:val="0"/>
                  <w:vAlign w:val="center"/>
                </w:tcPr>
                <w:p w14:paraId="1037DE6D">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成分含量（%）</w:t>
                  </w:r>
                </w:p>
              </w:tc>
              <w:tc>
                <w:tcPr>
                  <w:tcW w:w="1426" w:type="pct"/>
                  <w:tcBorders>
                    <w:tl2br w:val="nil"/>
                    <w:tr2bl w:val="nil"/>
                  </w:tcBorders>
                  <w:noWrap w:val="0"/>
                  <w:vAlign w:val="center"/>
                </w:tcPr>
                <w:p w14:paraId="295A65EF">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备注</w:t>
                  </w:r>
                </w:p>
              </w:tc>
            </w:tr>
            <w:tr w14:paraId="7B73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pct"/>
                  <w:vMerge w:val="restart"/>
                  <w:tcBorders>
                    <w:tl2br w:val="nil"/>
                    <w:tr2bl w:val="nil"/>
                  </w:tcBorders>
                  <w:noWrap w:val="0"/>
                  <w:vAlign w:val="center"/>
                </w:tcPr>
                <w:p w14:paraId="116C828F">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聚氨酯原液A料</w:t>
                  </w:r>
                </w:p>
              </w:tc>
              <w:tc>
                <w:tcPr>
                  <w:tcW w:w="1440" w:type="pct"/>
                  <w:tcBorders>
                    <w:tl2br w:val="nil"/>
                    <w:tr2bl w:val="nil"/>
                  </w:tcBorders>
                  <w:noWrap w:val="0"/>
                  <w:vAlign w:val="center"/>
                </w:tcPr>
                <w:p w14:paraId="38F30460">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多元醇</w:t>
                  </w:r>
                </w:p>
              </w:tc>
              <w:tc>
                <w:tcPr>
                  <w:tcW w:w="1038" w:type="pct"/>
                  <w:tcBorders>
                    <w:tl2br w:val="nil"/>
                    <w:tr2bl w:val="nil"/>
                  </w:tcBorders>
                  <w:noWrap w:val="0"/>
                  <w:vAlign w:val="center"/>
                </w:tcPr>
                <w:p w14:paraId="07AB2F65">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85~95</w:t>
                  </w:r>
                </w:p>
              </w:tc>
              <w:tc>
                <w:tcPr>
                  <w:tcW w:w="1426" w:type="pct"/>
                  <w:tcBorders>
                    <w:tl2br w:val="nil"/>
                    <w:tr2bl w:val="nil"/>
                  </w:tcBorders>
                  <w:noWrap w:val="0"/>
                  <w:vAlign w:val="center"/>
                </w:tcPr>
                <w:p w14:paraId="42148757">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参与反应物质，不挥发</w:t>
                  </w:r>
                </w:p>
              </w:tc>
            </w:tr>
            <w:tr w14:paraId="0238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pct"/>
                  <w:vMerge w:val="continue"/>
                  <w:tcBorders>
                    <w:tl2br w:val="nil"/>
                    <w:tr2bl w:val="nil"/>
                  </w:tcBorders>
                  <w:noWrap w:val="0"/>
                  <w:vAlign w:val="center"/>
                </w:tcPr>
                <w:p w14:paraId="489907CE">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p>
              </w:tc>
              <w:tc>
                <w:tcPr>
                  <w:tcW w:w="1440" w:type="pct"/>
                  <w:tcBorders>
                    <w:tl2br w:val="nil"/>
                    <w:tr2bl w:val="nil"/>
                  </w:tcBorders>
                  <w:noWrap w:val="0"/>
                  <w:vAlign w:val="center"/>
                </w:tcPr>
                <w:p w14:paraId="0791E27C">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乙二醇</w:t>
                  </w:r>
                </w:p>
              </w:tc>
              <w:tc>
                <w:tcPr>
                  <w:tcW w:w="1038" w:type="pct"/>
                  <w:tcBorders>
                    <w:tl2br w:val="nil"/>
                    <w:tr2bl w:val="nil"/>
                  </w:tcBorders>
                  <w:noWrap w:val="0"/>
                  <w:vAlign w:val="center"/>
                </w:tcPr>
                <w:p w14:paraId="63E6CB77">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3~15</w:t>
                  </w:r>
                </w:p>
              </w:tc>
              <w:tc>
                <w:tcPr>
                  <w:tcW w:w="1426" w:type="pct"/>
                  <w:tcBorders>
                    <w:tl2br w:val="nil"/>
                    <w:tr2bl w:val="nil"/>
                  </w:tcBorders>
                  <w:noWrap w:val="0"/>
                  <w:vAlign w:val="center"/>
                </w:tcPr>
                <w:p w14:paraId="32941B47">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highlight w:val="none"/>
                      <w:lang w:val="en-US"/>
                    </w:rPr>
                  </w:pPr>
                  <w:r>
                    <w:rPr>
                      <w:rFonts w:hint="eastAsia" w:cs="Times New Roman"/>
                      <w:color w:val="auto"/>
                      <w:sz w:val="21"/>
                      <w:szCs w:val="21"/>
                      <w:highlight w:val="none"/>
                      <w:lang w:val="en-US" w:eastAsia="zh-CN"/>
                    </w:rPr>
                    <w:t>溶剂</w:t>
                  </w:r>
                  <w:r>
                    <w:rPr>
                      <w:rFonts w:hint="default" w:ascii="Times New Roman" w:hAnsi="Times New Roman" w:cs="Times New Roman"/>
                      <w:color w:val="auto"/>
                      <w:sz w:val="21"/>
                      <w:szCs w:val="21"/>
                      <w:highlight w:val="none"/>
                    </w:rPr>
                    <w:t>，</w:t>
                  </w:r>
                  <w:r>
                    <w:rPr>
                      <w:rFonts w:hint="eastAsia" w:cs="Times New Roman"/>
                      <w:bCs/>
                      <w:color w:val="auto"/>
                      <w:sz w:val="21"/>
                      <w:szCs w:val="21"/>
                      <w:highlight w:val="none"/>
                      <w:lang w:val="en-US" w:eastAsia="zh-CN"/>
                    </w:rPr>
                    <w:t>参与反应物质，微量挥发</w:t>
                  </w:r>
                </w:p>
              </w:tc>
            </w:tr>
            <w:tr w14:paraId="6C9CC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pct"/>
                  <w:vMerge w:val="continue"/>
                  <w:tcBorders>
                    <w:tl2br w:val="nil"/>
                    <w:tr2bl w:val="nil"/>
                  </w:tcBorders>
                  <w:noWrap w:val="0"/>
                  <w:vAlign w:val="center"/>
                </w:tcPr>
                <w:p w14:paraId="3D17AF73">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p>
              </w:tc>
              <w:tc>
                <w:tcPr>
                  <w:tcW w:w="1440" w:type="pct"/>
                  <w:tcBorders>
                    <w:tl2br w:val="nil"/>
                    <w:tr2bl w:val="nil"/>
                  </w:tcBorders>
                  <w:noWrap w:val="0"/>
                  <w:vAlign w:val="center"/>
                </w:tcPr>
                <w:p w14:paraId="71FE5FF0">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有机硅表面活性剂</w:t>
                  </w:r>
                </w:p>
              </w:tc>
              <w:tc>
                <w:tcPr>
                  <w:tcW w:w="1038" w:type="pct"/>
                  <w:tcBorders>
                    <w:tl2br w:val="nil"/>
                    <w:tr2bl w:val="nil"/>
                  </w:tcBorders>
                  <w:noWrap w:val="0"/>
                  <w:vAlign w:val="center"/>
                </w:tcPr>
                <w:p w14:paraId="603636BB">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w:t>
                  </w:r>
                </w:p>
              </w:tc>
              <w:tc>
                <w:tcPr>
                  <w:tcW w:w="1426" w:type="pct"/>
                  <w:tcBorders>
                    <w:tl2br w:val="nil"/>
                    <w:tr2bl w:val="nil"/>
                  </w:tcBorders>
                  <w:noWrap w:val="0"/>
                  <w:vAlign w:val="center"/>
                </w:tcPr>
                <w:p w14:paraId="1BB0BF05">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w:t>
                  </w:r>
                </w:p>
              </w:tc>
            </w:tr>
            <w:tr w14:paraId="2CA0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pct"/>
                  <w:vMerge w:val="restart"/>
                  <w:tcBorders>
                    <w:tl2br w:val="nil"/>
                    <w:tr2bl w:val="nil"/>
                  </w:tcBorders>
                  <w:noWrap w:val="0"/>
                  <w:vAlign w:val="center"/>
                </w:tcPr>
                <w:p w14:paraId="52C8DEF8">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聚氨酯原液B料</w:t>
                  </w:r>
                </w:p>
              </w:tc>
              <w:tc>
                <w:tcPr>
                  <w:tcW w:w="1440" w:type="pct"/>
                  <w:tcBorders>
                    <w:tl2br w:val="nil"/>
                    <w:tr2bl w:val="nil"/>
                  </w:tcBorders>
                  <w:noWrap w:val="0"/>
                  <w:vAlign w:val="center"/>
                </w:tcPr>
                <w:p w14:paraId="5BE7A57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二苯基甲烷二异氰酸酯</w:t>
                  </w:r>
                </w:p>
              </w:tc>
              <w:tc>
                <w:tcPr>
                  <w:tcW w:w="1038" w:type="pct"/>
                  <w:tcBorders>
                    <w:tl2br w:val="nil"/>
                    <w:tr2bl w:val="nil"/>
                  </w:tcBorders>
                  <w:noWrap w:val="0"/>
                  <w:vAlign w:val="center"/>
                </w:tcPr>
                <w:p w14:paraId="45A0229A">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45~60</w:t>
                  </w:r>
                </w:p>
              </w:tc>
              <w:tc>
                <w:tcPr>
                  <w:tcW w:w="1426" w:type="pct"/>
                  <w:vMerge w:val="restart"/>
                  <w:tcBorders>
                    <w:tl2br w:val="nil"/>
                    <w:tr2bl w:val="nil"/>
                  </w:tcBorders>
                  <w:noWrap w:val="0"/>
                  <w:vAlign w:val="center"/>
                </w:tcPr>
                <w:p w14:paraId="4B61A6C6">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参与反应物质，微量挥发</w:t>
                  </w:r>
                </w:p>
              </w:tc>
            </w:tr>
            <w:tr w14:paraId="0FE8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pct"/>
                  <w:vMerge w:val="continue"/>
                  <w:tcBorders>
                    <w:tl2br w:val="nil"/>
                    <w:tr2bl w:val="nil"/>
                  </w:tcBorders>
                  <w:noWrap w:val="0"/>
                  <w:vAlign w:val="center"/>
                </w:tcPr>
                <w:p w14:paraId="153F79C6">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p>
              </w:tc>
              <w:tc>
                <w:tcPr>
                  <w:tcW w:w="1440" w:type="pct"/>
                  <w:tcBorders>
                    <w:tl2br w:val="nil"/>
                    <w:tr2bl w:val="nil"/>
                  </w:tcBorders>
                  <w:noWrap w:val="0"/>
                  <w:vAlign w:val="center"/>
                </w:tcPr>
                <w:p w14:paraId="3591DC2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氨基甲酸酯改性二苯基甲烷二异氰酸酯</w:t>
                  </w:r>
                </w:p>
              </w:tc>
              <w:tc>
                <w:tcPr>
                  <w:tcW w:w="1038" w:type="pct"/>
                  <w:tcBorders>
                    <w:tl2br w:val="nil"/>
                    <w:tr2bl w:val="nil"/>
                  </w:tcBorders>
                  <w:noWrap w:val="0"/>
                  <w:vAlign w:val="center"/>
                </w:tcPr>
                <w:p w14:paraId="6BBB8DA1">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40~55</w:t>
                  </w:r>
                </w:p>
              </w:tc>
              <w:tc>
                <w:tcPr>
                  <w:tcW w:w="1426" w:type="pct"/>
                  <w:vMerge w:val="continue"/>
                  <w:tcBorders>
                    <w:tl2br w:val="nil"/>
                    <w:tr2bl w:val="nil"/>
                  </w:tcBorders>
                  <w:noWrap w:val="0"/>
                  <w:vAlign w:val="center"/>
                </w:tcPr>
                <w:p w14:paraId="57382052">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highlight w:val="none"/>
                      <w:lang w:val="en-US"/>
                    </w:rPr>
                  </w:pPr>
                </w:p>
              </w:tc>
            </w:tr>
            <w:tr w14:paraId="12F1C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pct"/>
                  <w:vMerge w:val="restart"/>
                  <w:tcBorders>
                    <w:tl2br w:val="nil"/>
                    <w:tr2bl w:val="nil"/>
                  </w:tcBorders>
                  <w:noWrap w:val="0"/>
                  <w:vAlign w:val="center"/>
                </w:tcPr>
                <w:p w14:paraId="6E88A98D">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聚氨酯原液C料</w:t>
                  </w:r>
                </w:p>
              </w:tc>
              <w:tc>
                <w:tcPr>
                  <w:tcW w:w="1440" w:type="pct"/>
                  <w:tcBorders>
                    <w:tl2br w:val="nil"/>
                    <w:tr2bl w:val="nil"/>
                  </w:tcBorders>
                  <w:noWrap w:val="0"/>
                  <w:vAlign w:val="center"/>
                </w:tcPr>
                <w:p w14:paraId="2B713116">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三乙烯二胺</w:t>
                  </w:r>
                </w:p>
              </w:tc>
              <w:tc>
                <w:tcPr>
                  <w:tcW w:w="1038" w:type="pct"/>
                  <w:tcBorders>
                    <w:tl2br w:val="nil"/>
                    <w:tr2bl w:val="nil"/>
                  </w:tcBorders>
                  <w:noWrap w:val="0"/>
                  <w:vAlign w:val="center"/>
                </w:tcPr>
                <w:p w14:paraId="46F5A90E">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30~35</w:t>
                  </w:r>
                </w:p>
              </w:tc>
              <w:tc>
                <w:tcPr>
                  <w:tcW w:w="1426" w:type="pct"/>
                  <w:tcBorders>
                    <w:tl2br w:val="nil"/>
                    <w:tr2bl w:val="nil"/>
                  </w:tcBorders>
                  <w:noWrap w:val="0"/>
                  <w:vAlign w:val="center"/>
                </w:tcPr>
                <w:p w14:paraId="7B95F5BC">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催化剂，微量挥发</w:t>
                  </w:r>
                </w:p>
              </w:tc>
            </w:tr>
            <w:tr w14:paraId="280C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pct"/>
                  <w:vMerge w:val="continue"/>
                  <w:tcBorders>
                    <w:tl2br w:val="nil"/>
                    <w:tr2bl w:val="nil"/>
                  </w:tcBorders>
                  <w:noWrap w:val="0"/>
                  <w:vAlign w:val="center"/>
                </w:tcPr>
                <w:p w14:paraId="33D589BD">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p>
              </w:tc>
              <w:tc>
                <w:tcPr>
                  <w:tcW w:w="1440" w:type="pct"/>
                  <w:tcBorders>
                    <w:tl2br w:val="nil"/>
                    <w:tr2bl w:val="nil"/>
                  </w:tcBorders>
                  <w:noWrap w:val="0"/>
                  <w:vAlign w:val="center"/>
                </w:tcPr>
                <w:p w14:paraId="5F033CDF">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乙二醇</w:t>
                  </w:r>
                </w:p>
              </w:tc>
              <w:tc>
                <w:tcPr>
                  <w:tcW w:w="1038" w:type="pct"/>
                  <w:tcBorders>
                    <w:tl2br w:val="nil"/>
                    <w:tr2bl w:val="nil"/>
                  </w:tcBorders>
                  <w:noWrap w:val="0"/>
                  <w:vAlign w:val="center"/>
                </w:tcPr>
                <w:p w14:paraId="39781BA2">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65~70</w:t>
                  </w:r>
                </w:p>
              </w:tc>
              <w:tc>
                <w:tcPr>
                  <w:tcW w:w="1426" w:type="pct"/>
                  <w:tcBorders>
                    <w:tl2br w:val="nil"/>
                    <w:tr2bl w:val="nil"/>
                  </w:tcBorders>
                  <w:noWrap w:val="0"/>
                  <w:vAlign w:val="center"/>
                </w:tcPr>
                <w:p w14:paraId="3E0CE2E3">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highlight w:val="none"/>
                      <w:lang w:val="en-US"/>
                    </w:rPr>
                  </w:pPr>
                  <w:r>
                    <w:rPr>
                      <w:rFonts w:hint="eastAsia" w:cs="Times New Roman"/>
                      <w:color w:val="auto"/>
                      <w:sz w:val="21"/>
                      <w:szCs w:val="21"/>
                      <w:highlight w:val="none"/>
                      <w:lang w:val="en-US" w:eastAsia="zh-CN"/>
                    </w:rPr>
                    <w:t>溶剂</w:t>
                  </w:r>
                  <w:r>
                    <w:rPr>
                      <w:rFonts w:hint="default" w:ascii="Times New Roman" w:hAnsi="Times New Roman" w:cs="Times New Roman"/>
                      <w:color w:val="auto"/>
                      <w:sz w:val="21"/>
                      <w:szCs w:val="21"/>
                      <w:highlight w:val="none"/>
                    </w:rPr>
                    <w:t>，</w:t>
                  </w:r>
                  <w:r>
                    <w:rPr>
                      <w:rFonts w:hint="eastAsia" w:cs="Times New Roman"/>
                      <w:bCs/>
                      <w:color w:val="auto"/>
                      <w:sz w:val="21"/>
                      <w:szCs w:val="21"/>
                      <w:highlight w:val="none"/>
                      <w:lang w:val="en-US" w:eastAsia="zh-CN"/>
                    </w:rPr>
                    <w:t>参与反应物质，微量挥发</w:t>
                  </w:r>
                </w:p>
              </w:tc>
            </w:tr>
            <w:tr w14:paraId="3A769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pct"/>
                  <w:tcBorders>
                    <w:tl2br w:val="nil"/>
                    <w:tr2bl w:val="nil"/>
                  </w:tcBorders>
                  <w:noWrap w:val="0"/>
                  <w:vAlign w:val="center"/>
                </w:tcPr>
                <w:p w14:paraId="7731C0CE">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聚氨酯原液硬化剂</w:t>
                  </w:r>
                </w:p>
              </w:tc>
              <w:tc>
                <w:tcPr>
                  <w:tcW w:w="1440" w:type="pct"/>
                  <w:tcBorders>
                    <w:tl2br w:val="nil"/>
                    <w:tr2bl w:val="nil"/>
                  </w:tcBorders>
                  <w:noWrap w:val="0"/>
                  <w:vAlign w:val="center"/>
                </w:tcPr>
                <w:p w14:paraId="64BA5693">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乙二醇</w:t>
                  </w:r>
                </w:p>
              </w:tc>
              <w:tc>
                <w:tcPr>
                  <w:tcW w:w="1038" w:type="pct"/>
                  <w:tcBorders>
                    <w:tl2br w:val="nil"/>
                    <w:tr2bl w:val="nil"/>
                  </w:tcBorders>
                  <w:noWrap w:val="0"/>
                  <w:vAlign w:val="center"/>
                </w:tcPr>
                <w:p w14:paraId="341E27D6">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426" w:type="pct"/>
                  <w:tcBorders>
                    <w:tl2br w:val="nil"/>
                    <w:tr2bl w:val="nil"/>
                  </w:tcBorders>
                  <w:noWrap w:val="0"/>
                  <w:vAlign w:val="center"/>
                </w:tcPr>
                <w:p w14:paraId="30306E9F">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highlight w:val="none"/>
                      <w:lang w:val="en-US"/>
                    </w:rPr>
                  </w:pPr>
                  <w:r>
                    <w:rPr>
                      <w:rFonts w:hint="eastAsia" w:cs="Times New Roman"/>
                      <w:bCs/>
                      <w:color w:val="auto"/>
                      <w:sz w:val="21"/>
                      <w:szCs w:val="21"/>
                      <w:highlight w:val="none"/>
                      <w:lang w:val="en-US" w:eastAsia="zh-CN"/>
                    </w:rPr>
                    <w:t>参与反应物质，微量挥发</w:t>
                  </w:r>
                </w:p>
              </w:tc>
            </w:tr>
            <w:tr w14:paraId="1F87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pct"/>
                  <w:vMerge w:val="restart"/>
                  <w:tcBorders>
                    <w:tl2br w:val="nil"/>
                    <w:tr2bl w:val="nil"/>
                  </w:tcBorders>
                  <w:noWrap w:val="0"/>
                  <w:vAlign w:val="center"/>
                </w:tcPr>
                <w:p w14:paraId="4699F4C7">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脱模剂</w:t>
                  </w:r>
                </w:p>
              </w:tc>
              <w:tc>
                <w:tcPr>
                  <w:tcW w:w="1440" w:type="pct"/>
                  <w:tcBorders>
                    <w:tl2br w:val="nil"/>
                    <w:tr2bl w:val="nil"/>
                  </w:tcBorders>
                  <w:noWrap w:val="0"/>
                  <w:vAlign w:val="center"/>
                </w:tcPr>
                <w:p w14:paraId="2C6244DE">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水</w:t>
                  </w:r>
                </w:p>
              </w:tc>
              <w:tc>
                <w:tcPr>
                  <w:tcW w:w="1038" w:type="pct"/>
                  <w:tcBorders>
                    <w:tl2br w:val="nil"/>
                    <w:tr2bl w:val="nil"/>
                  </w:tcBorders>
                  <w:noWrap w:val="0"/>
                  <w:vAlign w:val="center"/>
                </w:tcPr>
                <w:p w14:paraId="16FDA727">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55~65</w:t>
                  </w:r>
                </w:p>
              </w:tc>
              <w:tc>
                <w:tcPr>
                  <w:tcW w:w="1426" w:type="pct"/>
                  <w:tcBorders>
                    <w:tl2br w:val="nil"/>
                    <w:tr2bl w:val="nil"/>
                  </w:tcBorders>
                  <w:noWrap w:val="0"/>
                  <w:vAlign w:val="center"/>
                </w:tcPr>
                <w:p w14:paraId="4C467715">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3E18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pct"/>
                  <w:vMerge w:val="continue"/>
                  <w:tcBorders>
                    <w:tl2br w:val="nil"/>
                    <w:tr2bl w:val="nil"/>
                  </w:tcBorders>
                  <w:noWrap w:val="0"/>
                  <w:vAlign w:val="center"/>
                </w:tcPr>
                <w:p w14:paraId="79BFD130">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TW"/>
                    </w:rPr>
                  </w:pPr>
                </w:p>
              </w:tc>
              <w:tc>
                <w:tcPr>
                  <w:tcW w:w="1440" w:type="pct"/>
                  <w:tcBorders>
                    <w:tl2br w:val="nil"/>
                    <w:tr2bl w:val="nil"/>
                  </w:tcBorders>
                  <w:noWrap w:val="0"/>
                  <w:vAlign w:val="center"/>
                </w:tcPr>
                <w:p w14:paraId="2B366DFA">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硅乳液</w:t>
                  </w:r>
                </w:p>
              </w:tc>
              <w:tc>
                <w:tcPr>
                  <w:tcW w:w="1038" w:type="pct"/>
                  <w:tcBorders>
                    <w:tl2br w:val="nil"/>
                    <w:tr2bl w:val="nil"/>
                  </w:tcBorders>
                  <w:noWrap w:val="0"/>
                  <w:vAlign w:val="center"/>
                </w:tcPr>
                <w:p w14:paraId="4CFA9809">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20~40</w:t>
                  </w:r>
                </w:p>
              </w:tc>
              <w:tc>
                <w:tcPr>
                  <w:tcW w:w="1426" w:type="pct"/>
                  <w:tcBorders>
                    <w:tl2br w:val="nil"/>
                    <w:tr2bl w:val="nil"/>
                  </w:tcBorders>
                  <w:noWrap w:val="0"/>
                  <w:vAlign w:val="center"/>
                </w:tcPr>
                <w:p w14:paraId="7EE97EA4">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性状稳定，不挥发</w:t>
                  </w:r>
                </w:p>
              </w:tc>
            </w:tr>
            <w:tr w14:paraId="4DB2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pct"/>
                  <w:vMerge w:val="continue"/>
                  <w:tcBorders>
                    <w:tl2br w:val="nil"/>
                    <w:tr2bl w:val="nil"/>
                  </w:tcBorders>
                  <w:noWrap w:val="0"/>
                  <w:vAlign w:val="center"/>
                </w:tcPr>
                <w:p w14:paraId="74985E22">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TW"/>
                    </w:rPr>
                  </w:pPr>
                </w:p>
              </w:tc>
              <w:tc>
                <w:tcPr>
                  <w:tcW w:w="1440" w:type="pct"/>
                  <w:tcBorders>
                    <w:tl2br w:val="nil"/>
                    <w:tr2bl w:val="nil"/>
                  </w:tcBorders>
                  <w:noWrap w:val="0"/>
                  <w:vAlign w:val="center"/>
                </w:tcPr>
                <w:p w14:paraId="5F3E6169">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活性助剂</w:t>
                  </w:r>
                </w:p>
              </w:tc>
              <w:tc>
                <w:tcPr>
                  <w:tcW w:w="1038" w:type="pct"/>
                  <w:tcBorders>
                    <w:tl2br w:val="nil"/>
                    <w:tr2bl w:val="nil"/>
                  </w:tcBorders>
                  <w:noWrap w:val="0"/>
                  <w:vAlign w:val="center"/>
                </w:tcPr>
                <w:p w14:paraId="6F03B05D">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426" w:type="pct"/>
                  <w:tcBorders>
                    <w:tl2br w:val="nil"/>
                    <w:tr2bl w:val="nil"/>
                  </w:tcBorders>
                  <w:noWrap w:val="0"/>
                  <w:vAlign w:val="center"/>
                </w:tcPr>
                <w:p w14:paraId="51E2CE73">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微量挥发</w:t>
                  </w:r>
                </w:p>
              </w:tc>
            </w:tr>
            <w:tr w14:paraId="5492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pct"/>
                  <w:tcBorders>
                    <w:tl2br w:val="nil"/>
                    <w:tr2bl w:val="nil"/>
                  </w:tcBorders>
                  <w:noWrap w:val="0"/>
                  <w:vAlign w:val="center"/>
                </w:tcPr>
                <w:p w14:paraId="72555196">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DOP</w:t>
                  </w:r>
                </w:p>
              </w:tc>
              <w:tc>
                <w:tcPr>
                  <w:tcW w:w="1440" w:type="pct"/>
                  <w:tcBorders>
                    <w:tl2br w:val="nil"/>
                    <w:tr2bl w:val="nil"/>
                  </w:tcBorders>
                  <w:noWrap w:val="0"/>
                  <w:vAlign w:val="center"/>
                </w:tcPr>
                <w:p w14:paraId="2A64742B">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邻苯二甲酸二辛酯</w:t>
                  </w:r>
                </w:p>
              </w:tc>
              <w:tc>
                <w:tcPr>
                  <w:tcW w:w="1038" w:type="pct"/>
                  <w:tcBorders>
                    <w:tl2br w:val="nil"/>
                    <w:tr2bl w:val="nil"/>
                  </w:tcBorders>
                  <w:noWrap w:val="0"/>
                  <w:vAlign w:val="center"/>
                </w:tcPr>
                <w:p w14:paraId="7DD2A212">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426" w:type="pct"/>
                  <w:tcBorders>
                    <w:tl2br w:val="nil"/>
                    <w:tr2bl w:val="nil"/>
                  </w:tcBorders>
                  <w:noWrap w:val="0"/>
                  <w:vAlign w:val="center"/>
                </w:tcPr>
                <w:p w14:paraId="6DC5F6BC">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不挥发</w:t>
                  </w:r>
                </w:p>
              </w:tc>
            </w:tr>
            <w:bookmarkEnd w:id="4"/>
          </w:tbl>
          <w:p w14:paraId="27248697">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textAlignment w:val="auto"/>
              <w:rPr>
                <w:rFonts w:hint="default" w:ascii="Times New Roman" w:hAnsi="Times New Roman" w:eastAsia="宋体" w:cs="Times New Roman"/>
                <w:b/>
                <w:color w:val="auto"/>
                <w:sz w:val="24"/>
                <w:szCs w:val="22"/>
                <w:highlight w:val="none"/>
                <w:lang w:val="en-US" w:eastAsia="zh-CN"/>
              </w:rPr>
            </w:pPr>
            <w:r>
              <w:rPr>
                <w:rFonts w:hint="eastAsia" w:cs="Times New Roman"/>
                <w:b/>
                <w:color w:val="auto"/>
                <w:sz w:val="24"/>
                <w:szCs w:val="22"/>
                <w:highlight w:val="none"/>
                <w:lang w:val="en-US" w:eastAsia="zh-CN"/>
              </w:rPr>
              <w:t>4</w:t>
            </w:r>
            <w:r>
              <w:rPr>
                <w:rFonts w:hint="default" w:ascii="Times New Roman" w:hAnsi="Times New Roman" w:eastAsia="宋体" w:cs="Times New Roman"/>
                <w:b/>
                <w:color w:val="auto"/>
                <w:sz w:val="24"/>
                <w:szCs w:val="22"/>
                <w:highlight w:val="none"/>
                <w:lang w:val="en-US" w:eastAsia="zh-CN"/>
              </w:rPr>
              <w:t>.2主要原辅材料理化性质</w:t>
            </w:r>
          </w:p>
          <w:p w14:paraId="1B9BE58F">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项目涉及的主要原辅材料理化性质见</w:t>
            </w:r>
            <w:r>
              <w:rPr>
                <w:rFonts w:hint="default" w:ascii="Times New Roman" w:hAnsi="Times New Roman" w:cs="Times New Roman"/>
                <w:color w:val="auto"/>
                <w:sz w:val="24"/>
                <w:szCs w:val="24"/>
                <w:highlight w:val="none"/>
                <w:lang w:eastAsia="zh-CN"/>
              </w:rPr>
              <w:t>下</w:t>
            </w:r>
            <w:r>
              <w:rPr>
                <w:rFonts w:hint="default" w:ascii="Times New Roman" w:hAnsi="Times New Roman" w:eastAsia="宋体" w:cs="Times New Roman"/>
                <w:color w:val="auto"/>
                <w:sz w:val="24"/>
                <w:szCs w:val="24"/>
                <w:highlight w:val="none"/>
              </w:rPr>
              <w:t>表</w:t>
            </w:r>
            <w:r>
              <w:rPr>
                <w:rFonts w:hint="eastAsia" w:cs="Times New Roman"/>
                <w:color w:val="auto"/>
                <w:sz w:val="24"/>
                <w:szCs w:val="24"/>
                <w:highlight w:val="none"/>
                <w:lang w:eastAsia="zh-CN"/>
              </w:rPr>
              <w:t>：</w:t>
            </w:r>
          </w:p>
          <w:p w14:paraId="14C4BF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表2-</w:t>
            </w:r>
            <w:r>
              <w:rPr>
                <w:rFonts w:hint="eastAsia" w:cs="Times New Roman"/>
                <w:b/>
                <w:color w:val="auto"/>
                <w:sz w:val="21"/>
                <w:szCs w:val="21"/>
                <w:highlight w:val="none"/>
                <w:lang w:val="en-US" w:eastAsia="zh-CN"/>
              </w:rPr>
              <w:t>7</w:t>
            </w:r>
            <w:r>
              <w:rPr>
                <w:rFonts w:hint="default" w:ascii="Times New Roman" w:hAnsi="Times New Roman" w:eastAsia="宋体" w:cs="Times New Roman"/>
                <w:b/>
                <w:color w:val="auto"/>
                <w:sz w:val="21"/>
                <w:szCs w:val="21"/>
                <w:highlight w:val="none"/>
                <w:lang w:val="en-US" w:eastAsia="zh-CN"/>
              </w:rPr>
              <w:t xml:space="preserve">  原辅材料理化性质</w:t>
            </w:r>
          </w:p>
          <w:tbl>
            <w:tblPr>
              <w:tblStyle w:val="39"/>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45"/>
              <w:gridCol w:w="4243"/>
              <w:gridCol w:w="2150"/>
            </w:tblGrid>
            <w:tr w14:paraId="4068F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922" w:type="pct"/>
                  <w:tcBorders>
                    <w:tl2br w:val="nil"/>
                    <w:tr2bl w:val="nil"/>
                  </w:tcBorders>
                  <w:noWrap w:val="0"/>
                  <w:vAlign w:val="center"/>
                </w:tcPr>
                <w:p w14:paraId="1E31C8AE">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名称</w:t>
                  </w:r>
                </w:p>
              </w:tc>
              <w:tc>
                <w:tcPr>
                  <w:tcW w:w="2706" w:type="pct"/>
                  <w:tcBorders>
                    <w:right w:val="single" w:color="auto" w:sz="4" w:space="0"/>
                    <w:tl2br w:val="nil"/>
                    <w:tr2bl w:val="nil"/>
                  </w:tcBorders>
                  <w:noWrap w:val="0"/>
                  <w:vAlign w:val="center"/>
                </w:tcPr>
                <w:p w14:paraId="6715E09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z w:val="21"/>
                      <w:szCs w:val="21"/>
                      <w:highlight w:val="none"/>
                    </w:rPr>
                  </w:pPr>
                  <w:r>
                    <w:rPr>
                      <w:rFonts w:hint="eastAsia" w:cs="Times New Roman"/>
                      <w:b/>
                      <w:bCs w:val="0"/>
                      <w:color w:val="auto"/>
                      <w:sz w:val="21"/>
                      <w:szCs w:val="21"/>
                      <w:highlight w:val="none"/>
                      <w:lang w:val="en-US" w:eastAsia="zh-CN"/>
                    </w:rPr>
                    <w:t>理化</w:t>
                  </w:r>
                  <w:r>
                    <w:rPr>
                      <w:rFonts w:hint="default" w:ascii="Times New Roman" w:hAnsi="Times New Roman" w:eastAsia="宋体" w:cs="Times New Roman"/>
                      <w:b/>
                      <w:bCs w:val="0"/>
                      <w:color w:val="auto"/>
                      <w:sz w:val="21"/>
                      <w:szCs w:val="21"/>
                      <w:highlight w:val="none"/>
                    </w:rPr>
                    <w:t>性质</w:t>
                  </w:r>
                </w:p>
              </w:tc>
              <w:tc>
                <w:tcPr>
                  <w:tcW w:w="1371" w:type="pct"/>
                  <w:tcBorders>
                    <w:left w:val="single" w:color="auto" w:sz="4" w:space="0"/>
                    <w:tl2br w:val="nil"/>
                    <w:tr2bl w:val="nil"/>
                  </w:tcBorders>
                  <w:noWrap w:val="0"/>
                  <w:vAlign w:val="center"/>
                </w:tcPr>
                <w:p w14:paraId="54DE10D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outlineLvl w:val="9"/>
                    <w:rPr>
                      <w:rFonts w:hint="default"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毒理性质</w:t>
                  </w:r>
                </w:p>
              </w:tc>
            </w:tr>
            <w:tr w14:paraId="0E48A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22" w:type="pct"/>
                  <w:tcBorders>
                    <w:tl2br w:val="nil"/>
                    <w:tr2bl w:val="nil"/>
                  </w:tcBorders>
                  <w:noWrap w:val="0"/>
                  <w:vAlign w:val="center"/>
                </w:tcPr>
                <w:p w14:paraId="1A4D8C52">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多元醇</w:t>
                  </w:r>
                </w:p>
              </w:tc>
              <w:tc>
                <w:tcPr>
                  <w:tcW w:w="2706" w:type="pct"/>
                  <w:tcBorders>
                    <w:right w:val="single" w:color="auto" w:sz="4" w:space="0"/>
                    <w:tl2br w:val="nil"/>
                    <w:tr2bl w:val="nil"/>
                  </w:tcBorders>
                  <w:noWrap w:val="0"/>
                  <w:vAlign w:val="center"/>
                </w:tcPr>
                <w:p w14:paraId="2F1F4A3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常温下为粘稠液体，气味微小，溶解性：不溶于水，溶于普通溶剂，微溶或不溶于非极性溶剂。闪点：</w:t>
                  </w:r>
                  <w:r>
                    <w:rPr>
                      <w:rFonts w:hint="default" w:ascii="Times New Roman" w:hAnsi="Times New Roman" w:eastAsia="宋体" w:cs="Times New Roman"/>
                      <w:color w:val="auto"/>
                      <w:kern w:val="0"/>
                      <w:sz w:val="21"/>
                      <w:szCs w:val="21"/>
                      <w:highlight w:val="none"/>
                      <w:lang w:val="en-US" w:eastAsia="zh-CN" w:bidi="ar-SA"/>
                    </w:rPr>
                    <w:t>140</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260</w:t>
                  </w:r>
                  <w:r>
                    <w:rPr>
                      <w:rFonts w:hint="eastAsia" w:ascii="Times New Roman" w:hAnsi="Times New Roman" w:eastAsia="宋体" w:cs="Times New Roman"/>
                      <w:color w:val="auto"/>
                      <w:kern w:val="0"/>
                      <w:sz w:val="21"/>
                      <w:szCs w:val="21"/>
                      <w:highlight w:val="none"/>
                      <w:lang w:val="en-US" w:eastAsia="zh-CN" w:bidi="ar-SA"/>
                    </w:rPr>
                    <w:t>℃，沸点：</w:t>
                  </w:r>
                  <w:r>
                    <w:rPr>
                      <w:rFonts w:hint="default" w:ascii="Times New Roman" w:hAnsi="Times New Roman" w:eastAsia="宋体" w:cs="Times New Roman"/>
                      <w:color w:val="auto"/>
                      <w:kern w:val="0"/>
                      <w:sz w:val="21"/>
                      <w:szCs w:val="21"/>
                      <w:highlight w:val="none"/>
                      <w:lang w:val="en-US" w:eastAsia="zh-CN" w:bidi="ar-SA"/>
                    </w:rPr>
                    <w:t>320</w:t>
                  </w:r>
                  <w:r>
                    <w:rPr>
                      <w:rFonts w:hint="eastAsia" w:ascii="Times New Roman" w:hAnsi="Times New Roman" w:eastAsia="宋体" w:cs="Times New Roman"/>
                      <w:color w:val="auto"/>
                      <w:kern w:val="0"/>
                      <w:sz w:val="21"/>
                      <w:szCs w:val="21"/>
                      <w:highlight w:val="none"/>
                      <w:lang w:val="en-US" w:eastAsia="zh-CN" w:bidi="ar-SA"/>
                    </w:rPr>
                    <w:t>℃，密度：相对密度（水</w:t>
                  </w:r>
                  <w:r>
                    <w:rPr>
                      <w:rFonts w:hint="default"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1.1</w:t>
                  </w:r>
                  <w:r>
                    <w:rPr>
                      <w:rFonts w:hint="eastAsia" w:ascii="Times New Roman" w:hAnsi="Times New Roman" w:eastAsia="宋体" w:cs="Times New Roman"/>
                      <w:color w:val="auto"/>
                      <w:kern w:val="0"/>
                      <w:sz w:val="21"/>
                      <w:szCs w:val="21"/>
                      <w:highlight w:val="none"/>
                      <w:lang w:val="en-US" w:eastAsia="zh-CN" w:bidi="ar-SA"/>
                    </w:rPr>
                    <w:t>，熔点：约</w:t>
                  </w:r>
                  <w:r>
                    <w:rPr>
                      <w:rFonts w:hint="default" w:ascii="Times New Roman" w:hAnsi="Times New Roman" w:eastAsia="宋体" w:cs="Times New Roman"/>
                      <w:color w:val="auto"/>
                      <w:kern w:val="0"/>
                      <w:sz w:val="21"/>
                      <w:szCs w:val="21"/>
                      <w:highlight w:val="none"/>
                      <w:lang w:val="en-US" w:eastAsia="zh-CN" w:bidi="ar-SA"/>
                    </w:rPr>
                    <w:t>-30</w:t>
                  </w:r>
                  <w:r>
                    <w:rPr>
                      <w:rFonts w:hint="eastAsia" w:ascii="Times New Roman" w:hAnsi="Times New Roman" w:eastAsia="宋体" w:cs="Times New Roman"/>
                      <w:color w:val="auto"/>
                      <w:kern w:val="0"/>
                      <w:sz w:val="21"/>
                      <w:szCs w:val="21"/>
                      <w:highlight w:val="none"/>
                      <w:lang w:val="en-US" w:eastAsia="zh-CN" w:bidi="ar-SA"/>
                    </w:rPr>
                    <w:t>℃。</w:t>
                  </w:r>
                </w:p>
              </w:tc>
              <w:tc>
                <w:tcPr>
                  <w:tcW w:w="1371" w:type="pct"/>
                  <w:tcBorders>
                    <w:left w:val="single" w:color="auto" w:sz="4" w:space="0"/>
                    <w:tl2br w:val="nil"/>
                    <w:tr2bl w:val="nil"/>
                  </w:tcBorders>
                  <w:noWrap w:val="0"/>
                  <w:vAlign w:val="center"/>
                </w:tcPr>
                <w:p w14:paraId="4E323386">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0F8DB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22" w:type="pct"/>
                  <w:tcBorders>
                    <w:tl2br w:val="nil"/>
                    <w:tr2bl w:val="nil"/>
                  </w:tcBorders>
                  <w:noWrap w:val="0"/>
                  <w:vAlign w:val="center"/>
                </w:tcPr>
                <w:p w14:paraId="7CCACF7E">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乙二醇</w:t>
                  </w:r>
                </w:p>
              </w:tc>
              <w:tc>
                <w:tcPr>
                  <w:tcW w:w="2706" w:type="pct"/>
                  <w:tcBorders>
                    <w:right w:val="single" w:color="auto" w:sz="4" w:space="0"/>
                    <w:tl2br w:val="nil"/>
                    <w:tr2bl w:val="nil"/>
                  </w:tcBorders>
                  <w:noWrap w:val="0"/>
                  <w:vAlign w:val="center"/>
                </w:tcPr>
                <w:p w14:paraId="5897892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无色或淡黄色液体，可燃，易溶于水、多元醇类及大多数有机溶剂，闪点：</w:t>
                  </w:r>
                  <w:r>
                    <w:rPr>
                      <w:rFonts w:hint="default" w:ascii="Times New Roman" w:hAnsi="Times New Roman" w:eastAsia="宋体" w:cs="Times New Roman"/>
                      <w:color w:val="auto"/>
                      <w:kern w:val="0"/>
                      <w:sz w:val="21"/>
                      <w:szCs w:val="21"/>
                      <w:highlight w:val="none"/>
                      <w:lang w:val="en-US" w:eastAsia="zh-CN" w:bidi="ar-SA"/>
                    </w:rPr>
                    <w:t>62</w:t>
                  </w:r>
                  <w:r>
                    <w:rPr>
                      <w:rFonts w:hint="eastAsia" w:ascii="Times New Roman" w:hAnsi="Times New Roman" w:eastAsia="宋体" w:cs="Times New Roman"/>
                      <w:color w:val="auto"/>
                      <w:kern w:val="0"/>
                      <w:sz w:val="21"/>
                      <w:szCs w:val="21"/>
                      <w:highlight w:val="none"/>
                      <w:lang w:val="en-US" w:eastAsia="zh-CN" w:bidi="ar-SA"/>
                    </w:rPr>
                    <w:t>℃，沸点：</w:t>
                  </w:r>
                  <w:r>
                    <w:rPr>
                      <w:rFonts w:hint="default" w:ascii="Times New Roman" w:hAnsi="Times New Roman" w:eastAsia="宋体" w:cs="Times New Roman"/>
                      <w:color w:val="auto"/>
                      <w:kern w:val="0"/>
                      <w:sz w:val="21"/>
                      <w:szCs w:val="21"/>
                      <w:highlight w:val="none"/>
                      <w:lang w:val="en-US" w:eastAsia="zh-CN" w:bidi="ar-SA"/>
                    </w:rPr>
                    <w:t>174</w:t>
                  </w:r>
                  <w:r>
                    <w:rPr>
                      <w:rFonts w:hint="eastAsia" w:ascii="Times New Roman" w:hAnsi="Times New Roman" w:eastAsia="宋体" w:cs="Times New Roman"/>
                      <w:color w:val="auto"/>
                      <w:kern w:val="0"/>
                      <w:sz w:val="21"/>
                      <w:szCs w:val="21"/>
                      <w:highlight w:val="none"/>
                      <w:lang w:val="en-US" w:eastAsia="zh-CN" w:bidi="ar-SA"/>
                    </w:rPr>
                    <w:t>℃，</w:t>
                  </w:r>
                  <w:r>
                    <w:rPr>
                      <w:rFonts w:hint="eastAsia" w:cs="Times New Roman"/>
                      <w:color w:val="auto"/>
                      <w:sz w:val="21"/>
                      <w:szCs w:val="21"/>
                      <w:highlight w:val="none"/>
                      <w:lang w:val="en-US" w:eastAsia="zh-CN"/>
                    </w:rPr>
                    <w:t>相对密度</w:t>
                  </w:r>
                  <w:r>
                    <w:rPr>
                      <w:rFonts w:hint="eastAsia" w:ascii="Times New Roman" w:hAnsi="Times New Roman" w:eastAsia="宋体" w:cs="Times New Roman"/>
                      <w:color w:val="auto"/>
                      <w:kern w:val="0"/>
                      <w:sz w:val="21"/>
                      <w:szCs w:val="21"/>
                      <w:highlight w:val="none"/>
                      <w:lang w:val="en-US" w:eastAsia="zh-CN" w:bidi="ar-SA"/>
                    </w:rPr>
                    <w:t>（水</w:t>
                  </w:r>
                  <w:r>
                    <w:rPr>
                      <w:rFonts w:hint="default"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eastAsia="宋体" w:cs="Times New Roman"/>
                      <w:color w:val="auto"/>
                      <w:kern w:val="0"/>
                      <w:sz w:val="21"/>
                      <w:szCs w:val="21"/>
                      <w:highlight w:val="none"/>
                      <w:lang w:val="en-US" w:eastAsia="zh-CN" w:bidi="ar-SA"/>
                    </w:rPr>
                    <w:t>）</w:t>
                  </w:r>
                  <w:r>
                    <w:rPr>
                      <w:rFonts w:hint="eastAsia" w:cs="Times New Roman"/>
                      <w:color w:val="auto"/>
                      <w:sz w:val="21"/>
                      <w:szCs w:val="21"/>
                      <w:highlight w:val="none"/>
                      <w:lang w:val="en-US" w:eastAsia="zh-CN"/>
                    </w:rPr>
                    <w:t>：1.113</w:t>
                  </w:r>
                  <w:r>
                    <w:rPr>
                      <w:rFonts w:hint="eastAsia" w:ascii="Times New Roman" w:hAnsi="Times New Roman" w:eastAsia="宋体" w:cs="Times New Roman"/>
                      <w:color w:val="auto"/>
                      <w:kern w:val="0"/>
                      <w:sz w:val="21"/>
                      <w:szCs w:val="21"/>
                      <w:highlight w:val="none"/>
                      <w:lang w:val="en-US" w:eastAsia="zh-CN" w:bidi="ar-SA"/>
                    </w:rPr>
                    <w:t>。</w:t>
                  </w:r>
                </w:p>
              </w:tc>
              <w:tc>
                <w:tcPr>
                  <w:tcW w:w="1371" w:type="pct"/>
                  <w:tcBorders>
                    <w:left w:val="single" w:color="auto" w:sz="4" w:space="0"/>
                    <w:tl2br w:val="nil"/>
                    <w:tr2bl w:val="nil"/>
                  </w:tcBorders>
                  <w:noWrap w:val="0"/>
                  <w:vAlign w:val="center"/>
                </w:tcPr>
                <w:p w14:paraId="0CB8D5B9">
                  <w:pPr>
                    <w:keepNext w:val="0"/>
                    <w:keepLines w:val="0"/>
                    <w:widowControl/>
                    <w:suppressLineNumbers w:val="0"/>
                    <w:spacing w:before="0" w:beforeAutospacing="0" w:after="0" w:afterAutospacing="0"/>
                    <w:ind w:left="0" w:right="0"/>
                    <w:jc w:val="center"/>
                    <w:rPr>
                      <w:rFonts w:hint="default"/>
                      <w:color w:val="auto"/>
                      <w:szCs w:val="22"/>
                      <w:highlight w:val="none"/>
                      <w:lang w:val="en-US" w:eastAsia="zh-CN"/>
                    </w:rPr>
                  </w:pPr>
                  <w:r>
                    <w:rPr>
                      <w:rFonts w:hint="default" w:ascii="Times New Roman" w:hAnsi="Times New Roman" w:eastAsia="宋体" w:cs="Times New Roman"/>
                      <w:color w:val="auto"/>
                      <w:kern w:val="0"/>
                      <w:sz w:val="20"/>
                      <w:szCs w:val="20"/>
                      <w:highlight w:val="none"/>
                      <w:lang w:val="en-US" w:eastAsia="zh-CN" w:bidi="ar"/>
                    </w:rPr>
                    <w:t>LD</w:t>
                  </w:r>
                  <w:r>
                    <w:rPr>
                      <w:rFonts w:hint="default" w:ascii="Times New Roman" w:hAnsi="Times New Roman" w:eastAsia="宋体" w:cs="Times New Roman"/>
                      <w:color w:val="auto"/>
                      <w:kern w:val="0"/>
                      <w:sz w:val="20"/>
                      <w:szCs w:val="20"/>
                      <w:highlight w:val="none"/>
                      <w:vertAlign w:val="subscript"/>
                      <w:lang w:val="en-US" w:eastAsia="zh-CN" w:bidi="ar"/>
                    </w:rPr>
                    <w:t>50</w:t>
                  </w:r>
                  <w:r>
                    <w:rPr>
                      <w:rFonts w:hint="eastAsia" w:ascii="宋体" w:hAnsi="宋体" w:eastAsia="宋体" w:cs="宋体"/>
                      <w:color w:val="auto"/>
                      <w:kern w:val="0"/>
                      <w:sz w:val="20"/>
                      <w:szCs w:val="20"/>
                      <w:highlight w:val="none"/>
                      <w:lang w:val="en-US" w:eastAsia="zh-CN" w:bidi="ar"/>
                    </w:rPr>
                    <w:t>：</w:t>
                  </w:r>
                  <w:r>
                    <w:rPr>
                      <w:rFonts w:hint="eastAsia" w:cs="Times New Roman"/>
                      <w:color w:val="auto"/>
                      <w:kern w:val="0"/>
                      <w:sz w:val="20"/>
                      <w:szCs w:val="20"/>
                      <w:highlight w:val="none"/>
                      <w:lang w:val="en-US" w:eastAsia="zh-CN" w:bidi="ar"/>
                    </w:rPr>
                    <w:t>4</w:t>
                  </w:r>
                  <w:r>
                    <w:rPr>
                      <w:rFonts w:hint="default" w:ascii="Times New Roman" w:hAnsi="Times New Roman" w:eastAsia="宋体" w:cs="Times New Roman"/>
                      <w:color w:val="auto"/>
                      <w:kern w:val="0"/>
                      <w:sz w:val="20"/>
                      <w:szCs w:val="20"/>
                      <w:highlight w:val="none"/>
                      <w:lang w:val="en-US" w:eastAsia="zh-CN" w:bidi="ar"/>
                    </w:rPr>
                    <w:t>700mg/kg</w:t>
                  </w:r>
                  <w:r>
                    <w:rPr>
                      <w:rFonts w:hint="eastAsia" w:ascii="Times New Roman" w:hAnsi="Times New Roman" w:eastAsia="宋体" w:cs="Times New Roman"/>
                      <w:color w:val="auto"/>
                      <w:kern w:val="0"/>
                      <w:sz w:val="20"/>
                      <w:szCs w:val="20"/>
                      <w:highlight w:val="none"/>
                      <w:lang w:val="en-US" w:eastAsia="zh-CN" w:bidi="ar"/>
                    </w:rPr>
                    <w:t>（</w:t>
                  </w:r>
                  <w:r>
                    <w:rPr>
                      <w:rFonts w:hint="eastAsia" w:ascii="宋体" w:hAnsi="宋体" w:eastAsia="宋体" w:cs="宋体"/>
                      <w:color w:val="auto"/>
                      <w:kern w:val="0"/>
                      <w:sz w:val="20"/>
                      <w:szCs w:val="20"/>
                      <w:highlight w:val="none"/>
                      <w:lang w:val="en-US" w:eastAsia="zh-CN" w:bidi="ar"/>
                    </w:rPr>
                    <w:t>大鼠经口</w:t>
                  </w:r>
                  <w:r>
                    <w:rPr>
                      <w:rFonts w:hint="eastAsia" w:ascii="Times New Roman" w:hAnsi="Times New Roman" w:eastAsia="宋体" w:cs="Times New Roman"/>
                      <w:color w:val="auto"/>
                      <w:kern w:val="0"/>
                      <w:sz w:val="20"/>
                      <w:szCs w:val="20"/>
                      <w:highlight w:val="none"/>
                      <w:lang w:val="en-US" w:eastAsia="zh-CN" w:bidi="ar"/>
                    </w:rPr>
                    <w:t>）</w:t>
                  </w:r>
                  <w:r>
                    <w:rPr>
                      <w:rFonts w:hint="eastAsia" w:cs="Times New Roman"/>
                      <w:color w:val="auto"/>
                      <w:kern w:val="0"/>
                      <w:sz w:val="20"/>
                      <w:szCs w:val="20"/>
                      <w:highlight w:val="none"/>
                      <w:lang w:val="en-US" w:eastAsia="zh-CN" w:bidi="ar"/>
                    </w:rPr>
                    <w:t>、95</w:t>
                  </w:r>
                  <w:r>
                    <w:rPr>
                      <w:rFonts w:hint="default" w:ascii="Times New Roman" w:hAnsi="Times New Roman"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0μL/kg</w:t>
                  </w:r>
                  <w:r>
                    <w:rPr>
                      <w:rFonts w:hint="default" w:ascii="Times New Roman" w:hAnsi="Times New Roman" w:cs="Times New Roman"/>
                      <w:color w:val="auto"/>
                      <w:kern w:val="0"/>
                      <w:sz w:val="21"/>
                      <w:szCs w:val="21"/>
                      <w:highlight w:val="none"/>
                      <w:lang w:val="en-US" w:eastAsia="zh-CN" w:bidi="ar"/>
                    </w:rPr>
                    <w:t>；LC</w:t>
                  </w:r>
                  <w:r>
                    <w:rPr>
                      <w:rFonts w:hint="default" w:ascii="Times New Roman" w:hAnsi="Times New Roman" w:cs="Times New Roman"/>
                      <w:color w:val="auto"/>
                      <w:kern w:val="0"/>
                      <w:sz w:val="21"/>
                      <w:szCs w:val="21"/>
                      <w:highlight w:val="none"/>
                      <w:vertAlign w:val="subscript"/>
                      <w:lang w:val="en-US" w:eastAsia="zh-CN" w:bidi="ar"/>
                    </w:rPr>
                    <w:t>50</w:t>
                  </w:r>
                  <w:r>
                    <w:rPr>
                      <w:rFonts w:hint="default" w:ascii="Times New Roman" w:hAnsi="Times New Roman" w:cs="Times New Roman"/>
                      <w:color w:val="auto"/>
                      <w:kern w:val="0"/>
                      <w:sz w:val="21"/>
                      <w:szCs w:val="21"/>
                      <w:highlight w:val="none"/>
                      <w:lang w:val="en-US" w:eastAsia="zh-CN" w:bidi="ar"/>
                    </w:rPr>
                    <w:t>：10876</w:t>
                  </w:r>
                  <w:r>
                    <w:rPr>
                      <w:rFonts w:hint="default" w:ascii="Times New Roman" w:hAnsi="Times New Roman" w:eastAsia="宋体" w:cs="Times New Roman"/>
                      <w:color w:val="auto"/>
                      <w:kern w:val="0"/>
                      <w:sz w:val="21"/>
                      <w:szCs w:val="21"/>
                      <w:highlight w:val="none"/>
                      <w:lang w:val="en-US" w:eastAsia="zh-CN" w:bidi="ar"/>
                    </w:rPr>
                    <w:t>mg/k</w:t>
                  </w:r>
                  <w:r>
                    <w:rPr>
                      <w:rFonts w:hint="default" w:ascii="Times New Roman" w:hAnsi="Times New Roman" w:eastAsia="宋体" w:cs="Times New Roman"/>
                      <w:color w:val="auto"/>
                      <w:kern w:val="0"/>
                      <w:sz w:val="20"/>
                      <w:szCs w:val="20"/>
                      <w:highlight w:val="none"/>
                      <w:lang w:val="en-US" w:eastAsia="zh-CN" w:bidi="ar"/>
                    </w:rPr>
                    <w:t>g</w:t>
                  </w:r>
                  <w:r>
                    <w:rPr>
                      <w:rFonts w:hint="eastAsia" w:ascii="Times New Roman" w:hAnsi="Times New Roman" w:eastAsia="宋体" w:cs="Times New Roman"/>
                      <w:color w:val="auto"/>
                      <w:kern w:val="0"/>
                      <w:sz w:val="20"/>
                      <w:szCs w:val="20"/>
                      <w:highlight w:val="none"/>
                      <w:lang w:val="en-US" w:eastAsia="zh-CN" w:bidi="ar"/>
                    </w:rPr>
                    <w:t>（</w:t>
                  </w:r>
                  <w:r>
                    <w:rPr>
                      <w:rFonts w:hint="eastAsia" w:ascii="宋体" w:hAnsi="宋体" w:eastAsia="宋体" w:cs="宋体"/>
                      <w:color w:val="auto"/>
                      <w:kern w:val="0"/>
                      <w:sz w:val="20"/>
                      <w:szCs w:val="20"/>
                      <w:highlight w:val="none"/>
                      <w:lang w:val="en-US" w:eastAsia="zh-CN" w:bidi="ar"/>
                    </w:rPr>
                    <w:t>大鼠</w:t>
                  </w:r>
                  <w:r>
                    <w:rPr>
                      <w:rFonts w:hint="eastAsia" w:ascii="宋体" w:hAnsi="宋体" w:cs="宋体"/>
                      <w:color w:val="auto"/>
                      <w:kern w:val="0"/>
                      <w:sz w:val="20"/>
                      <w:szCs w:val="20"/>
                      <w:highlight w:val="none"/>
                      <w:lang w:val="en-US" w:eastAsia="zh-CN" w:bidi="ar"/>
                    </w:rPr>
                    <w:t>吸入</w:t>
                  </w:r>
                  <w:r>
                    <w:rPr>
                      <w:rFonts w:hint="eastAsia" w:ascii="Times New Roman" w:hAnsi="Times New Roman" w:eastAsia="宋体" w:cs="Times New Roman"/>
                      <w:color w:val="auto"/>
                      <w:kern w:val="0"/>
                      <w:sz w:val="20"/>
                      <w:szCs w:val="20"/>
                      <w:highlight w:val="none"/>
                      <w:lang w:val="en-US" w:eastAsia="zh-CN" w:bidi="ar"/>
                    </w:rPr>
                    <w:t>）</w:t>
                  </w:r>
                </w:p>
              </w:tc>
            </w:tr>
            <w:tr w14:paraId="44240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22" w:type="pct"/>
                  <w:tcBorders>
                    <w:tl2br w:val="nil"/>
                    <w:tr2bl w:val="nil"/>
                  </w:tcBorders>
                  <w:noWrap w:val="0"/>
                  <w:vAlign w:val="center"/>
                </w:tcPr>
                <w:p w14:paraId="3543B15B">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二苯基甲烷二异氰酸酯</w:t>
                  </w:r>
                </w:p>
              </w:tc>
              <w:tc>
                <w:tcPr>
                  <w:tcW w:w="2706" w:type="pct"/>
                  <w:tcBorders>
                    <w:right w:val="single" w:color="auto" w:sz="4" w:space="0"/>
                    <w:tl2br w:val="nil"/>
                    <w:tr2bl w:val="nil"/>
                  </w:tcBorders>
                  <w:noWrap w:val="0"/>
                  <w:vAlign w:val="center"/>
                </w:tcPr>
                <w:p w14:paraId="59BA2709">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白色或浅黄色固体，不溶于水，易溶于苯、甲苯和丙酮等有机溶剂，熔点：</w:t>
                  </w:r>
                  <w:r>
                    <w:rPr>
                      <w:rFonts w:hint="default" w:cs="Times New Roman"/>
                      <w:color w:val="auto"/>
                      <w:sz w:val="21"/>
                      <w:szCs w:val="21"/>
                      <w:highlight w:val="none"/>
                      <w:lang w:val="en-US" w:eastAsia="zh-CN"/>
                    </w:rPr>
                    <w:t>36</w:t>
                  </w:r>
                  <w:r>
                    <w:rPr>
                      <w:rFonts w:hint="eastAsia" w:cs="Times New Roman"/>
                      <w:color w:val="auto"/>
                      <w:sz w:val="21"/>
                      <w:szCs w:val="21"/>
                      <w:highlight w:val="none"/>
                      <w:lang w:val="en-US" w:eastAsia="zh-CN"/>
                    </w:rPr>
                    <w:t>～</w:t>
                  </w:r>
                  <w:r>
                    <w:rPr>
                      <w:rFonts w:hint="default" w:cs="Times New Roman"/>
                      <w:color w:val="auto"/>
                      <w:sz w:val="21"/>
                      <w:szCs w:val="21"/>
                      <w:highlight w:val="none"/>
                      <w:lang w:val="en-US" w:eastAsia="zh-CN"/>
                    </w:rPr>
                    <w:t>39</w:t>
                  </w:r>
                  <w:r>
                    <w:rPr>
                      <w:rFonts w:hint="eastAsia" w:cs="Times New Roman"/>
                      <w:color w:val="auto"/>
                      <w:sz w:val="21"/>
                      <w:szCs w:val="21"/>
                      <w:highlight w:val="none"/>
                      <w:lang w:val="en-US" w:eastAsia="zh-CN"/>
                    </w:rPr>
                    <w:t>℃，沸点：</w:t>
                  </w:r>
                  <w:r>
                    <w:rPr>
                      <w:rFonts w:hint="default" w:cs="Times New Roman"/>
                      <w:color w:val="auto"/>
                      <w:sz w:val="21"/>
                      <w:szCs w:val="21"/>
                      <w:highlight w:val="none"/>
                      <w:lang w:val="en-US" w:eastAsia="zh-CN"/>
                    </w:rPr>
                    <w:t>190</w:t>
                  </w:r>
                  <w:r>
                    <w:rPr>
                      <w:rFonts w:hint="eastAsia" w:cs="Times New Roman"/>
                      <w:color w:val="auto"/>
                      <w:sz w:val="21"/>
                      <w:szCs w:val="21"/>
                      <w:highlight w:val="none"/>
                      <w:lang w:val="en-US" w:eastAsia="zh-CN"/>
                    </w:rPr>
                    <w:t>℃（</w:t>
                  </w:r>
                  <w:r>
                    <w:rPr>
                      <w:rFonts w:hint="default" w:cs="Times New Roman"/>
                      <w:color w:val="auto"/>
                      <w:sz w:val="21"/>
                      <w:szCs w:val="21"/>
                      <w:highlight w:val="none"/>
                      <w:lang w:val="en-US" w:eastAsia="zh-CN"/>
                    </w:rPr>
                    <w:t>667</w:t>
                  </w:r>
                  <w:r>
                    <w:rPr>
                      <w:rFonts w:hint="eastAsia" w:cs="Times New Roman"/>
                      <w:color w:val="auto"/>
                      <w:sz w:val="21"/>
                      <w:szCs w:val="21"/>
                      <w:highlight w:val="none"/>
                      <w:lang w:val="en-US" w:eastAsia="zh-CN"/>
                    </w:rPr>
                    <w:t>帕），相对密度</w:t>
                  </w:r>
                  <w:r>
                    <w:rPr>
                      <w:rFonts w:hint="eastAsia" w:ascii="Times New Roman" w:hAnsi="Times New Roman" w:eastAsia="宋体" w:cs="Times New Roman"/>
                      <w:color w:val="auto"/>
                      <w:kern w:val="0"/>
                      <w:sz w:val="21"/>
                      <w:szCs w:val="21"/>
                      <w:highlight w:val="none"/>
                      <w:lang w:val="en-US" w:eastAsia="zh-CN" w:bidi="ar-SA"/>
                    </w:rPr>
                    <w:t>（水</w:t>
                  </w:r>
                  <w:r>
                    <w:rPr>
                      <w:rFonts w:hint="default"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eastAsia="宋体" w:cs="Times New Roman"/>
                      <w:color w:val="auto"/>
                      <w:kern w:val="0"/>
                      <w:sz w:val="21"/>
                      <w:szCs w:val="21"/>
                      <w:highlight w:val="none"/>
                      <w:lang w:val="en-US" w:eastAsia="zh-CN" w:bidi="ar-SA"/>
                    </w:rPr>
                    <w:t>）</w:t>
                  </w:r>
                  <w:r>
                    <w:rPr>
                      <w:rFonts w:hint="eastAsia" w:cs="Times New Roman"/>
                      <w:color w:val="auto"/>
                      <w:sz w:val="21"/>
                      <w:szCs w:val="21"/>
                      <w:highlight w:val="none"/>
                      <w:lang w:val="en-US" w:eastAsia="zh-CN"/>
                    </w:rPr>
                    <w:t>：1.19</w:t>
                  </w:r>
                </w:p>
              </w:tc>
              <w:tc>
                <w:tcPr>
                  <w:tcW w:w="1371" w:type="pct"/>
                  <w:tcBorders>
                    <w:left w:val="single" w:color="auto" w:sz="4" w:space="0"/>
                    <w:tl2br w:val="nil"/>
                    <w:tr2bl w:val="nil"/>
                  </w:tcBorders>
                  <w:noWrap w:val="0"/>
                  <w:vAlign w:val="center"/>
                </w:tcPr>
                <w:p w14:paraId="1CB42A97">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L</w:t>
                  </w:r>
                  <w:r>
                    <w:rPr>
                      <w:rFonts w:hint="eastAsia" w:cs="Times New Roman"/>
                      <w:color w:val="auto"/>
                      <w:sz w:val="21"/>
                      <w:szCs w:val="21"/>
                      <w:highlight w:val="none"/>
                      <w:lang w:val="en-US" w:eastAsia="zh-CN"/>
                    </w:rPr>
                    <w:t>C</w:t>
                  </w:r>
                  <w:r>
                    <w:rPr>
                      <w:rFonts w:hint="default" w:cs="Times New Roman"/>
                      <w:color w:val="auto"/>
                      <w:sz w:val="21"/>
                      <w:szCs w:val="21"/>
                      <w:highlight w:val="none"/>
                      <w:vertAlign w:val="subscript"/>
                      <w:lang w:val="en-US" w:eastAsia="zh-CN"/>
                    </w:rPr>
                    <w:t>50</w:t>
                  </w:r>
                  <w:r>
                    <w:rPr>
                      <w:rFonts w:hint="eastAsia" w:cs="Times New Roman"/>
                      <w:color w:val="auto"/>
                      <w:sz w:val="21"/>
                      <w:szCs w:val="21"/>
                      <w:highlight w:val="none"/>
                      <w:lang w:val="en-US" w:eastAsia="zh-CN"/>
                    </w:rPr>
                    <w:t>：92</w:t>
                  </w:r>
                  <w:r>
                    <w:rPr>
                      <w:rFonts w:hint="default" w:cs="Times New Roman"/>
                      <w:color w:val="auto"/>
                      <w:sz w:val="21"/>
                      <w:szCs w:val="21"/>
                      <w:highlight w:val="none"/>
                      <w:lang w:val="en-US" w:eastAsia="zh-CN"/>
                    </w:rPr>
                    <w:t>00mg/kg</w:t>
                  </w:r>
                  <w:r>
                    <w:rPr>
                      <w:rFonts w:hint="eastAsia" w:cs="Times New Roman"/>
                      <w:color w:val="auto"/>
                      <w:sz w:val="21"/>
                      <w:szCs w:val="21"/>
                      <w:highlight w:val="none"/>
                      <w:lang w:val="en-US" w:eastAsia="zh-CN"/>
                    </w:rPr>
                    <w:t>（大鼠经口），</w:t>
                  </w:r>
                  <w:r>
                    <w:rPr>
                      <w:rFonts w:hint="default" w:cs="Times New Roman"/>
                      <w:color w:val="auto"/>
                      <w:sz w:val="21"/>
                      <w:szCs w:val="21"/>
                      <w:highlight w:val="none"/>
                      <w:lang w:val="en-US" w:eastAsia="zh-CN"/>
                    </w:rPr>
                    <w:t>L</w:t>
                  </w:r>
                  <w:r>
                    <w:rPr>
                      <w:rFonts w:hint="eastAsia" w:cs="Times New Roman"/>
                      <w:color w:val="auto"/>
                      <w:sz w:val="21"/>
                      <w:szCs w:val="21"/>
                      <w:highlight w:val="none"/>
                      <w:lang w:val="en-US" w:eastAsia="zh-CN"/>
                    </w:rPr>
                    <w:t>C</w:t>
                  </w:r>
                  <w:r>
                    <w:rPr>
                      <w:rFonts w:hint="default" w:cs="Times New Roman"/>
                      <w:color w:val="auto"/>
                      <w:sz w:val="21"/>
                      <w:szCs w:val="21"/>
                      <w:highlight w:val="none"/>
                      <w:vertAlign w:val="subscript"/>
                      <w:lang w:val="en-US" w:eastAsia="zh-CN"/>
                    </w:rPr>
                    <w:t>50</w:t>
                  </w:r>
                  <w:r>
                    <w:rPr>
                      <w:rFonts w:hint="eastAsia" w:cs="Times New Roman"/>
                      <w:color w:val="auto"/>
                      <w:sz w:val="21"/>
                      <w:szCs w:val="21"/>
                      <w:highlight w:val="none"/>
                      <w:lang w:val="en-US" w:eastAsia="zh-CN"/>
                    </w:rPr>
                    <w:t>：178</w:t>
                  </w:r>
                  <w:r>
                    <w:rPr>
                      <w:rFonts w:hint="default" w:cs="Times New Roman"/>
                      <w:color w:val="auto"/>
                      <w:sz w:val="21"/>
                      <w:szCs w:val="21"/>
                      <w:highlight w:val="none"/>
                      <w:lang w:val="en-US" w:eastAsia="zh-CN"/>
                    </w:rPr>
                    <w:t>mg/</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（大鼠吸入）</w:t>
                  </w:r>
                </w:p>
              </w:tc>
            </w:tr>
            <w:tr w14:paraId="69F39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22" w:type="pct"/>
                  <w:tcBorders>
                    <w:tl2br w:val="nil"/>
                    <w:tr2bl w:val="nil"/>
                  </w:tcBorders>
                  <w:noWrap w:val="0"/>
                  <w:vAlign w:val="center"/>
                </w:tcPr>
                <w:p w14:paraId="48A4DF4E">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三乙烯二胺</w:t>
                  </w:r>
                </w:p>
              </w:tc>
              <w:tc>
                <w:tcPr>
                  <w:tcW w:w="2706" w:type="pct"/>
                  <w:tcBorders>
                    <w:right w:val="single" w:color="auto" w:sz="4" w:space="0"/>
                    <w:tl2br w:val="nil"/>
                    <w:tr2bl w:val="nil"/>
                  </w:tcBorders>
                  <w:noWrap w:val="0"/>
                  <w:vAlign w:val="center"/>
                </w:tcPr>
                <w:p w14:paraId="743E2CC0">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白色或淡黄色晶体，易溶于水、丙酮、苯及乙醇，熔点：</w:t>
                  </w:r>
                  <w:r>
                    <w:rPr>
                      <w:rFonts w:hint="default" w:cs="Times New Roman"/>
                      <w:color w:val="auto"/>
                      <w:sz w:val="21"/>
                      <w:szCs w:val="21"/>
                      <w:highlight w:val="none"/>
                      <w:lang w:val="en-US" w:eastAsia="zh-CN"/>
                    </w:rPr>
                    <w:t>158</w:t>
                  </w:r>
                  <w:r>
                    <w:rPr>
                      <w:rFonts w:hint="eastAsia" w:cs="Times New Roman"/>
                      <w:color w:val="auto"/>
                      <w:sz w:val="21"/>
                      <w:szCs w:val="21"/>
                      <w:highlight w:val="none"/>
                      <w:lang w:val="en-US" w:eastAsia="zh-CN"/>
                    </w:rPr>
                    <w:t>℃，沸点：</w:t>
                  </w:r>
                  <w:r>
                    <w:rPr>
                      <w:rFonts w:hint="default" w:cs="Times New Roman"/>
                      <w:color w:val="auto"/>
                      <w:sz w:val="21"/>
                      <w:szCs w:val="21"/>
                      <w:highlight w:val="none"/>
                      <w:lang w:val="en-US" w:eastAsia="zh-CN"/>
                    </w:rPr>
                    <w:t>173.4</w:t>
                  </w:r>
                  <w:r>
                    <w:rPr>
                      <w:rFonts w:hint="eastAsia" w:cs="Times New Roman"/>
                      <w:color w:val="auto"/>
                      <w:sz w:val="21"/>
                      <w:szCs w:val="21"/>
                      <w:highlight w:val="none"/>
                      <w:lang w:val="en-US" w:eastAsia="zh-CN"/>
                    </w:rPr>
                    <w:t>℃，相对密度</w:t>
                  </w:r>
                  <w:r>
                    <w:rPr>
                      <w:rFonts w:hint="eastAsia" w:ascii="Times New Roman" w:hAnsi="Times New Roman" w:eastAsia="宋体" w:cs="Times New Roman"/>
                      <w:color w:val="auto"/>
                      <w:kern w:val="0"/>
                      <w:sz w:val="21"/>
                      <w:szCs w:val="21"/>
                      <w:highlight w:val="none"/>
                      <w:lang w:val="en-US" w:eastAsia="zh-CN" w:bidi="ar-SA"/>
                    </w:rPr>
                    <w:t>（水</w:t>
                  </w:r>
                  <w:r>
                    <w:rPr>
                      <w:rFonts w:hint="default"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eastAsia="宋体" w:cs="Times New Roman"/>
                      <w:color w:val="auto"/>
                      <w:kern w:val="0"/>
                      <w:sz w:val="21"/>
                      <w:szCs w:val="21"/>
                      <w:highlight w:val="none"/>
                      <w:lang w:val="en-US" w:eastAsia="zh-CN" w:bidi="ar-SA"/>
                    </w:rPr>
                    <w:t>）</w:t>
                  </w:r>
                  <w:r>
                    <w:rPr>
                      <w:rFonts w:hint="eastAsia" w:cs="Times New Roman"/>
                      <w:color w:val="auto"/>
                      <w:sz w:val="21"/>
                      <w:szCs w:val="21"/>
                      <w:highlight w:val="none"/>
                      <w:lang w:val="en-US" w:eastAsia="zh-CN"/>
                    </w:rPr>
                    <w:t>：</w:t>
                  </w:r>
                  <w:r>
                    <w:rPr>
                      <w:rFonts w:hint="default" w:cs="Times New Roman"/>
                      <w:color w:val="auto"/>
                      <w:sz w:val="21"/>
                      <w:szCs w:val="21"/>
                      <w:highlight w:val="none"/>
                      <w:lang w:val="en-US" w:eastAsia="zh-CN"/>
                    </w:rPr>
                    <w:t>0.9</w:t>
                  </w:r>
                  <w:r>
                    <w:rPr>
                      <w:rFonts w:hint="eastAsia" w:cs="Times New Roman"/>
                      <w:color w:val="auto"/>
                      <w:sz w:val="21"/>
                      <w:szCs w:val="21"/>
                      <w:highlight w:val="none"/>
                      <w:lang w:val="en-US" w:eastAsia="zh-CN"/>
                    </w:rPr>
                    <w:t>6</w:t>
                  </w:r>
                </w:p>
              </w:tc>
              <w:tc>
                <w:tcPr>
                  <w:tcW w:w="1371" w:type="pct"/>
                  <w:tcBorders>
                    <w:left w:val="single" w:color="auto" w:sz="4" w:space="0"/>
                    <w:tl2br w:val="nil"/>
                    <w:tr2bl w:val="nil"/>
                  </w:tcBorders>
                  <w:noWrap w:val="0"/>
                  <w:vAlign w:val="center"/>
                </w:tcPr>
                <w:p w14:paraId="34AC4EDE">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LD</w:t>
                  </w:r>
                  <w:r>
                    <w:rPr>
                      <w:rFonts w:hint="default" w:cs="Times New Roman"/>
                      <w:color w:val="auto"/>
                      <w:sz w:val="21"/>
                      <w:szCs w:val="21"/>
                      <w:highlight w:val="none"/>
                      <w:vertAlign w:val="subscript"/>
                      <w:lang w:val="en-US" w:eastAsia="zh-CN"/>
                    </w:rPr>
                    <w:t>50</w:t>
                  </w:r>
                  <w:r>
                    <w:rPr>
                      <w:rFonts w:hint="eastAsia" w:cs="Times New Roman"/>
                      <w:color w:val="auto"/>
                      <w:sz w:val="21"/>
                      <w:szCs w:val="21"/>
                      <w:highlight w:val="none"/>
                      <w:lang w:val="en-US" w:eastAsia="zh-CN"/>
                    </w:rPr>
                    <w:t>：1</w:t>
                  </w:r>
                  <w:r>
                    <w:rPr>
                      <w:rFonts w:hint="default" w:cs="Times New Roman"/>
                      <w:color w:val="auto"/>
                      <w:sz w:val="21"/>
                      <w:szCs w:val="21"/>
                      <w:highlight w:val="none"/>
                      <w:lang w:val="en-US" w:eastAsia="zh-CN"/>
                    </w:rPr>
                    <w:t>700mg/kg</w:t>
                  </w:r>
                  <w:r>
                    <w:rPr>
                      <w:rFonts w:hint="eastAsia" w:cs="Times New Roman"/>
                      <w:color w:val="auto"/>
                      <w:sz w:val="21"/>
                      <w:szCs w:val="21"/>
                      <w:highlight w:val="none"/>
                      <w:lang w:val="en-US" w:eastAsia="zh-CN"/>
                    </w:rPr>
                    <w:t>（大鼠经口）</w:t>
                  </w:r>
                </w:p>
              </w:tc>
            </w:tr>
            <w:tr w14:paraId="0AC5F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22" w:type="pct"/>
                  <w:tcBorders>
                    <w:tl2br w:val="nil"/>
                    <w:tr2bl w:val="nil"/>
                  </w:tcBorders>
                  <w:noWrap w:val="0"/>
                  <w:vAlign w:val="center"/>
                </w:tcPr>
                <w:p w14:paraId="6357B98F">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邻苯二甲酸二辛酯</w:t>
                  </w:r>
                </w:p>
              </w:tc>
              <w:tc>
                <w:tcPr>
                  <w:tcW w:w="2706" w:type="pct"/>
                  <w:tcBorders>
                    <w:right w:val="single" w:color="auto" w:sz="4" w:space="0"/>
                    <w:tl2br w:val="nil"/>
                    <w:tr2bl w:val="nil"/>
                  </w:tcBorders>
                  <w:noWrap w:val="0"/>
                  <w:vAlign w:val="center"/>
                </w:tcPr>
                <w:p w14:paraId="3325A4BB">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无色透明液体，</w:t>
                  </w:r>
                  <w:r>
                    <w:rPr>
                      <w:rFonts w:hint="eastAsia" w:ascii="Times New Roman" w:hAnsi="Times New Roman" w:eastAsia="宋体" w:cs="Times New Roman"/>
                      <w:color w:val="auto"/>
                      <w:sz w:val="21"/>
                      <w:szCs w:val="21"/>
                      <w:highlight w:val="none"/>
                      <w:lang w:val="en-US" w:eastAsia="zh-CN"/>
                    </w:rPr>
                    <w:t>不溶于水，可混溶于多数有机溶剂，熔点</w:t>
                  </w:r>
                  <w:r>
                    <w:rPr>
                      <w:rFonts w:hint="eastAsia" w:cs="Times New Roman"/>
                      <w:color w:val="auto"/>
                      <w:sz w:val="21"/>
                      <w:szCs w:val="21"/>
                      <w:highlight w:val="none"/>
                      <w:lang w:val="en-US" w:eastAsia="zh-CN"/>
                    </w:rPr>
                    <w:t>：</w:t>
                  </w:r>
                  <w:r>
                    <w:rPr>
                      <w:rFonts w:hint="default" w:cs="Times New Roman"/>
                      <w:color w:val="auto"/>
                      <w:sz w:val="21"/>
                      <w:szCs w:val="21"/>
                      <w:highlight w:val="none"/>
                      <w:lang w:val="en-US" w:eastAsia="zh-CN"/>
                    </w:rPr>
                    <w:t>-</w:t>
                  </w:r>
                  <w:r>
                    <w:rPr>
                      <w:rFonts w:hint="eastAsia" w:cs="Times New Roman"/>
                      <w:color w:val="auto"/>
                      <w:sz w:val="21"/>
                      <w:szCs w:val="21"/>
                      <w:highlight w:val="none"/>
                      <w:lang w:val="en-US" w:eastAsia="zh-CN"/>
                    </w:rPr>
                    <w:t>25℃，沸点：416℃，相对密度</w:t>
                  </w:r>
                  <w:r>
                    <w:rPr>
                      <w:rFonts w:hint="eastAsia" w:ascii="Times New Roman" w:hAnsi="Times New Roman" w:eastAsia="宋体" w:cs="Times New Roman"/>
                      <w:color w:val="auto"/>
                      <w:kern w:val="0"/>
                      <w:sz w:val="21"/>
                      <w:szCs w:val="21"/>
                      <w:highlight w:val="none"/>
                      <w:lang w:val="en-US" w:eastAsia="zh-CN" w:bidi="ar-SA"/>
                    </w:rPr>
                    <w:t>（水</w:t>
                  </w:r>
                  <w:r>
                    <w:rPr>
                      <w:rFonts w:hint="default"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eastAsia="宋体" w:cs="Times New Roman"/>
                      <w:color w:val="auto"/>
                      <w:kern w:val="0"/>
                      <w:sz w:val="21"/>
                      <w:szCs w:val="21"/>
                      <w:highlight w:val="none"/>
                      <w:lang w:val="en-US" w:eastAsia="zh-CN" w:bidi="ar-SA"/>
                    </w:rPr>
                    <w:t>）</w:t>
                  </w:r>
                  <w:r>
                    <w:rPr>
                      <w:rFonts w:hint="eastAsia" w:cs="Times New Roman"/>
                      <w:color w:val="auto"/>
                      <w:sz w:val="21"/>
                      <w:szCs w:val="21"/>
                      <w:highlight w:val="none"/>
                      <w:lang w:val="en-US" w:eastAsia="zh-CN"/>
                    </w:rPr>
                    <w:t>：</w:t>
                  </w:r>
                  <w:r>
                    <w:rPr>
                      <w:rFonts w:hint="default" w:cs="Times New Roman"/>
                      <w:color w:val="auto"/>
                      <w:sz w:val="21"/>
                      <w:szCs w:val="21"/>
                      <w:highlight w:val="none"/>
                      <w:lang w:val="en-US" w:eastAsia="zh-CN"/>
                    </w:rPr>
                    <w:t>0.986</w:t>
                  </w:r>
                </w:p>
              </w:tc>
              <w:tc>
                <w:tcPr>
                  <w:tcW w:w="1371" w:type="pct"/>
                  <w:tcBorders>
                    <w:left w:val="single" w:color="auto" w:sz="4" w:space="0"/>
                    <w:tl2br w:val="nil"/>
                    <w:tr2bl w:val="nil"/>
                  </w:tcBorders>
                  <w:noWrap w:val="0"/>
                  <w:vAlign w:val="center"/>
                </w:tcPr>
                <w:p w14:paraId="20E73B82">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eastAsia="宋体" w:cs="Times New Roman"/>
                      <w:color w:val="auto"/>
                      <w:sz w:val="21"/>
                      <w:szCs w:val="21"/>
                      <w:highlight w:val="none"/>
                      <w:lang w:val="en-US" w:eastAsia="zh-CN"/>
                    </w:rPr>
                  </w:pPr>
                  <w:r>
                    <w:rPr>
                      <w:rFonts w:hint="eastAsia"/>
                      <w:color w:val="auto"/>
                      <w:szCs w:val="22"/>
                      <w:highlight w:val="none"/>
                      <w:lang w:val="en-US" w:eastAsia="zh-CN"/>
                    </w:rPr>
                    <w:t>LD</w:t>
                  </w:r>
                  <w:r>
                    <w:rPr>
                      <w:rFonts w:hint="eastAsia"/>
                      <w:color w:val="auto"/>
                      <w:szCs w:val="22"/>
                      <w:highlight w:val="none"/>
                      <w:vertAlign w:val="subscript"/>
                      <w:lang w:val="en-US" w:eastAsia="zh-CN"/>
                    </w:rPr>
                    <w:t>50</w:t>
                  </w:r>
                  <w:r>
                    <w:rPr>
                      <w:rFonts w:hint="eastAsia"/>
                      <w:color w:val="auto"/>
                      <w:szCs w:val="22"/>
                      <w:highlight w:val="none"/>
                      <w:lang w:val="en-US" w:eastAsia="zh-CN"/>
                    </w:rPr>
                    <w:t>：30600mg/kg（小鼠经口）、25000mg/kg（兔经皮）</w:t>
                  </w:r>
                </w:p>
              </w:tc>
            </w:tr>
            <w:tr w14:paraId="6419C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22" w:type="pct"/>
                  <w:tcBorders>
                    <w:tl2br w:val="nil"/>
                    <w:tr2bl w:val="nil"/>
                  </w:tcBorders>
                  <w:noWrap w:val="0"/>
                  <w:vAlign w:val="center"/>
                </w:tcPr>
                <w:p w14:paraId="6D2872B0">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天然气</w:t>
                  </w:r>
                </w:p>
              </w:tc>
              <w:tc>
                <w:tcPr>
                  <w:tcW w:w="2706" w:type="pct"/>
                  <w:tcBorders>
                    <w:right w:val="single" w:color="auto" w:sz="4" w:space="0"/>
                    <w:tl2br w:val="nil"/>
                    <w:tr2bl w:val="nil"/>
                  </w:tcBorders>
                  <w:noWrap w:val="0"/>
                  <w:vAlign w:val="center"/>
                </w:tcPr>
                <w:p w14:paraId="096E7F25">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主要由气态</w:t>
                  </w:r>
                  <w:r>
                    <w:rPr>
                      <w:rFonts w:hint="eastAsia" w:cs="Times New Roman"/>
                      <w:color w:val="auto"/>
                      <w:sz w:val="21"/>
                      <w:szCs w:val="21"/>
                      <w:highlight w:val="none"/>
                      <w:lang w:val="en-US" w:eastAsia="zh-CN"/>
                    </w:rPr>
                    <w:fldChar w:fldCharType="begin"/>
                  </w:r>
                  <w:r>
                    <w:rPr>
                      <w:rFonts w:hint="eastAsia" w:cs="Times New Roman"/>
                      <w:color w:val="auto"/>
                      <w:sz w:val="21"/>
                      <w:szCs w:val="21"/>
                      <w:highlight w:val="none"/>
                      <w:lang w:val="en-US" w:eastAsia="zh-CN"/>
                    </w:rPr>
                    <w:instrText xml:space="preserve"> HYPERLINK "https://baike.baidu.com/item/%E4%BD%8E%E5%88%86%E5%AD%90%E7%83%83" \t "_blank" </w:instrText>
                  </w:r>
                  <w:r>
                    <w:rPr>
                      <w:rFonts w:hint="eastAsia" w:cs="Times New Roman"/>
                      <w:color w:val="auto"/>
                      <w:sz w:val="21"/>
                      <w:szCs w:val="21"/>
                      <w:highlight w:val="none"/>
                      <w:lang w:val="en-US" w:eastAsia="zh-CN"/>
                    </w:rPr>
                    <w:fldChar w:fldCharType="separate"/>
                  </w:r>
                  <w:r>
                    <w:rPr>
                      <w:rFonts w:hint="eastAsia" w:cs="Times New Roman"/>
                      <w:color w:val="auto"/>
                      <w:sz w:val="21"/>
                      <w:szCs w:val="21"/>
                      <w:highlight w:val="none"/>
                      <w:lang w:val="en-US" w:eastAsia="zh-CN"/>
                    </w:rPr>
                    <w:t>低分子烃</w:t>
                  </w:r>
                  <w:r>
                    <w:rPr>
                      <w:rFonts w:hint="eastAsia" w:cs="Times New Roman"/>
                      <w:color w:val="auto"/>
                      <w:sz w:val="21"/>
                      <w:szCs w:val="21"/>
                      <w:highlight w:val="none"/>
                      <w:lang w:val="en-US" w:eastAsia="zh-CN"/>
                    </w:rPr>
                    <w:fldChar w:fldCharType="end"/>
                  </w:r>
                  <w:r>
                    <w:rPr>
                      <w:rFonts w:hint="eastAsia" w:cs="Times New Roman"/>
                      <w:color w:val="auto"/>
                      <w:sz w:val="21"/>
                      <w:szCs w:val="21"/>
                      <w:highlight w:val="none"/>
                      <w:lang w:val="en-US" w:eastAsia="zh-CN"/>
                    </w:rPr>
                    <w:t>和非烃气体混合组成，主要成分烷烃，其中甲烷占绝大多数，另有少量的乙烷、丙烷和丁烷等，不溶于</w:t>
                  </w:r>
                  <w:r>
                    <w:rPr>
                      <w:rFonts w:hint="eastAsia" w:cs="Times New Roman"/>
                      <w:color w:val="auto"/>
                      <w:sz w:val="21"/>
                      <w:szCs w:val="21"/>
                      <w:highlight w:val="none"/>
                      <w:lang w:val="en-US" w:eastAsia="zh-CN"/>
                    </w:rPr>
                    <w:fldChar w:fldCharType="begin"/>
                  </w:r>
                  <w:r>
                    <w:rPr>
                      <w:rFonts w:hint="eastAsia" w:cs="Times New Roman"/>
                      <w:color w:val="auto"/>
                      <w:sz w:val="21"/>
                      <w:szCs w:val="21"/>
                      <w:highlight w:val="none"/>
                      <w:lang w:val="en-US" w:eastAsia="zh-CN"/>
                    </w:rPr>
                    <w:instrText xml:space="preserve"> HYPERLINK "https://baike.baidu.com/item/%E6%B0%B4/34133" \t "_blank" </w:instrText>
                  </w:r>
                  <w:r>
                    <w:rPr>
                      <w:rFonts w:hint="eastAsia" w:cs="Times New Roman"/>
                      <w:color w:val="auto"/>
                      <w:sz w:val="21"/>
                      <w:szCs w:val="21"/>
                      <w:highlight w:val="none"/>
                      <w:lang w:val="en-US" w:eastAsia="zh-CN"/>
                    </w:rPr>
                    <w:fldChar w:fldCharType="separate"/>
                  </w:r>
                  <w:r>
                    <w:rPr>
                      <w:rFonts w:hint="eastAsia" w:cs="Times New Roman"/>
                      <w:color w:val="auto"/>
                      <w:sz w:val="21"/>
                      <w:szCs w:val="21"/>
                      <w:highlight w:val="none"/>
                      <w:lang w:val="en-US" w:eastAsia="zh-CN"/>
                    </w:rPr>
                    <w:t>水</w:t>
                  </w:r>
                  <w:r>
                    <w:rPr>
                      <w:rFonts w:hint="eastAsia" w:cs="Times New Roman"/>
                      <w:color w:val="auto"/>
                      <w:sz w:val="21"/>
                      <w:szCs w:val="21"/>
                      <w:highlight w:val="none"/>
                      <w:lang w:val="en-US" w:eastAsia="zh-CN"/>
                    </w:rPr>
                    <w:fldChar w:fldCharType="end"/>
                  </w:r>
                  <w:r>
                    <w:rPr>
                      <w:rFonts w:hint="eastAsia" w:cs="Times New Roman"/>
                      <w:color w:val="auto"/>
                      <w:sz w:val="21"/>
                      <w:szCs w:val="21"/>
                      <w:highlight w:val="none"/>
                      <w:lang w:val="en-US" w:eastAsia="zh-CN"/>
                    </w:rPr>
                    <w:t>，密度为0.7174kg/Nm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，相对密度（水）为0.45，（液化）燃点（℃）为650，</w:t>
                  </w:r>
                  <w:r>
                    <w:rPr>
                      <w:rFonts w:hint="eastAsia" w:cs="Times New Roman"/>
                      <w:color w:val="auto"/>
                      <w:sz w:val="21"/>
                      <w:szCs w:val="21"/>
                      <w:highlight w:val="none"/>
                      <w:lang w:val="en-US" w:eastAsia="zh-CN"/>
                    </w:rPr>
                    <w:fldChar w:fldCharType="begin"/>
                  </w:r>
                  <w:r>
                    <w:rPr>
                      <w:rFonts w:hint="eastAsia" w:cs="Times New Roman"/>
                      <w:color w:val="auto"/>
                      <w:sz w:val="21"/>
                      <w:szCs w:val="21"/>
                      <w:highlight w:val="none"/>
                      <w:lang w:val="en-US" w:eastAsia="zh-CN"/>
                    </w:rPr>
                    <w:instrText xml:space="preserve"> HYPERLINK "https://baike.baidu.com/item/%E7%88%86%E7%82%B8%E6%9E%81%E9%99%90" \t "_blank" </w:instrText>
                  </w:r>
                  <w:r>
                    <w:rPr>
                      <w:rFonts w:hint="eastAsia" w:cs="Times New Roman"/>
                      <w:color w:val="auto"/>
                      <w:sz w:val="21"/>
                      <w:szCs w:val="21"/>
                      <w:highlight w:val="none"/>
                      <w:lang w:val="en-US" w:eastAsia="zh-CN"/>
                    </w:rPr>
                    <w:fldChar w:fldCharType="separate"/>
                  </w:r>
                  <w:r>
                    <w:rPr>
                      <w:rFonts w:hint="eastAsia" w:cs="Times New Roman"/>
                      <w:color w:val="auto"/>
                      <w:sz w:val="21"/>
                      <w:szCs w:val="21"/>
                      <w:highlight w:val="none"/>
                      <w:lang w:val="en-US" w:eastAsia="zh-CN"/>
                    </w:rPr>
                    <w:t>爆炸极限</w:t>
                  </w:r>
                  <w:r>
                    <w:rPr>
                      <w:rFonts w:hint="eastAsia" w:cs="Times New Roman"/>
                      <w:color w:val="auto"/>
                      <w:sz w:val="21"/>
                      <w:szCs w:val="21"/>
                      <w:highlight w:val="none"/>
                      <w:lang w:val="en-US" w:eastAsia="zh-CN"/>
                    </w:rPr>
                    <w:fldChar w:fldCharType="end"/>
                  </w:r>
                  <w:r>
                    <w:rPr>
                      <w:rFonts w:hint="eastAsia" w:cs="Times New Roman"/>
                      <w:color w:val="auto"/>
                      <w:sz w:val="21"/>
                      <w:szCs w:val="21"/>
                      <w:highlight w:val="none"/>
                      <w:lang w:val="en-US" w:eastAsia="zh-CN"/>
                    </w:rPr>
                    <w:t>（V%）为5-15</w:t>
                  </w:r>
                </w:p>
              </w:tc>
              <w:tc>
                <w:tcPr>
                  <w:tcW w:w="1371" w:type="pct"/>
                  <w:tcBorders>
                    <w:left w:val="single" w:color="auto" w:sz="4" w:space="0"/>
                    <w:tl2br w:val="nil"/>
                    <w:tr2bl w:val="nil"/>
                  </w:tcBorders>
                  <w:noWrap w:val="0"/>
                  <w:vAlign w:val="center"/>
                </w:tcPr>
                <w:p w14:paraId="06174371">
                  <w:pPr>
                    <w:pStyle w:val="349"/>
                    <w:keepNext w:val="0"/>
                    <w:keepLines w:val="0"/>
                    <w:suppressLineNumbers w:val="0"/>
                    <w:tabs>
                      <w:tab w:val="left" w:pos="1785"/>
                      <w:tab w:val="center" w:pos="4156"/>
                    </w:tabs>
                    <w:spacing w:before="0" w:beforeLines="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14:paraId="3E75909D">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jc w:val="left"/>
              <w:textAlignment w:val="auto"/>
              <w:rPr>
                <w:color w:val="auto"/>
                <w:szCs w:val="22"/>
                <w:highlight w:val="none"/>
              </w:rPr>
            </w:pPr>
            <w:bookmarkStart w:id="5" w:name="3.1.6主要设备"/>
            <w:bookmarkEnd w:id="5"/>
            <w:r>
              <w:rPr>
                <w:rFonts w:hint="eastAsia" w:cs="Times New Roman"/>
                <w:b/>
                <w:color w:val="auto"/>
                <w:sz w:val="24"/>
                <w:szCs w:val="22"/>
                <w:highlight w:val="none"/>
                <w:lang w:val="en-US" w:eastAsia="zh-CN"/>
              </w:rPr>
              <w:t>4</w:t>
            </w:r>
            <w:r>
              <w:rPr>
                <w:rFonts w:hint="default" w:ascii="Times New Roman" w:hAnsi="Times New Roman" w:eastAsia="宋体" w:cs="Times New Roman"/>
                <w:b/>
                <w:color w:val="auto"/>
                <w:sz w:val="24"/>
                <w:szCs w:val="22"/>
                <w:highlight w:val="none"/>
                <w:lang w:val="en-US" w:eastAsia="zh-CN"/>
              </w:rPr>
              <w:t>.3</w:t>
            </w:r>
            <w:r>
              <w:rPr>
                <w:rFonts w:hint="eastAsia" w:ascii="宋体" w:hAnsi="宋体" w:eastAsia="宋体" w:cs="宋体"/>
                <w:b/>
                <w:bCs/>
                <w:color w:val="auto"/>
                <w:kern w:val="0"/>
                <w:sz w:val="24"/>
                <w:szCs w:val="24"/>
                <w:highlight w:val="none"/>
                <w:lang w:val="en-US" w:eastAsia="zh-CN" w:bidi="ar"/>
              </w:rPr>
              <w:t>与《清洗剂挥发性有机化合物含量限值》（</w:t>
            </w:r>
            <w:r>
              <w:rPr>
                <w:rFonts w:hint="default" w:ascii="Times New Roman" w:hAnsi="Times New Roman" w:eastAsia="宋体" w:cs="Times New Roman"/>
                <w:b/>
                <w:bCs/>
                <w:color w:val="auto"/>
                <w:kern w:val="0"/>
                <w:sz w:val="24"/>
                <w:szCs w:val="24"/>
                <w:highlight w:val="none"/>
                <w:lang w:val="en-US" w:eastAsia="zh-CN" w:bidi="ar"/>
              </w:rPr>
              <w:t>GB38508-2020</w:t>
            </w:r>
            <w:r>
              <w:rPr>
                <w:rFonts w:hint="eastAsia" w:ascii="宋体" w:hAnsi="宋体" w:eastAsia="宋体" w:cs="宋体"/>
                <w:b/>
                <w:bCs/>
                <w:color w:val="auto"/>
                <w:kern w:val="0"/>
                <w:sz w:val="24"/>
                <w:szCs w:val="24"/>
                <w:highlight w:val="none"/>
                <w:lang w:val="en-US" w:eastAsia="zh-CN" w:bidi="ar"/>
              </w:rPr>
              <w:t>）的符合性分析</w:t>
            </w:r>
            <w:r>
              <w:rPr>
                <w:rFonts w:hint="eastAsia" w:ascii="宋体" w:hAnsi="宋体" w:eastAsia="宋体" w:cs="宋体"/>
                <w:color w:val="auto"/>
                <w:kern w:val="0"/>
                <w:sz w:val="24"/>
                <w:szCs w:val="24"/>
                <w:highlight w:val="none"/>
                <w:lang w:val="en-US" w:eastAsia="zh-CN" w:bidi="ar"/>
              </w:rPr>
              <w:t xml:space="preserve"> </w:t>
            </w:r>
          </w:p>
          <w:p w14:paraId="622981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color w:val="auto"/>
                <w:szCs w:val="22"/>
                <w:highlight w:val="none"/>
              </w:rPr>
            </w:pPr>
            <w:r>
              <w:rPr>
                <w:rFonts w:hint="eastAsia" w:ascii="Times New Roman" w:hAnsi="Times New Roman" w:cs="Times New Roman"/>
                <w:color w:val="auto"/>
                <w:sz w:val="24"/>
                <w:szCs w:val="24"/>
                <w:highlight w:val="none"/>
                <w:lang w:val="en-US" w:eastAsia="zh-CN"/>
              </w:rPr>
              <w:t>为了保证产品质量，浇注机定期需自动将清洗灌中的脱模剂作为清洗剂送入浇注机混合头，清洗混合头及管路</w:t>
            </w:r>
            <w:r>
              <w:rPr>
                <w:rFonts w:hint="eastAsia" w:ascii="宋体" w:hAnsi="宋体" w:eastAsia="宋体" w:cs="宋体"/>
                <w:color w:val="auto"/>
                <w:kern w:val="0"/>
                <w:sz w:val="24"/>
                <w:szCs w:val="24"/>
                <w:highlight w:val="none"/>
                <w:lang w:val="en-US" w:eastAsia="zh-CN" w:bidi="ar"/>
              </w:rPr>
              <w:t>。根据企业提供的脱模剂的成分，</w:t>
            </w:r>
            <w:r>
              <w:rPr>
                <w:rFonts w:hint="eastAsia" w:ascii="宋体" w:hAnsi="宋体" w:cs="宋体"/>
                <w:color w:val="auto"/>
                <w:kern w:val="0"/>
                <w:sz w:val="24"/>
                <w:szCs w:val="24"/>
                <w:highlight w:val="none"/>
                <w:lang w:val="en-US" w:eastAsia="zh-CN" w:bidi="ar"/>
              </w:rPr>
              <w:t>含</w:t>
            </w:r>
            <w:r>
              <w:rPr>
                <w:rFonts w:hint="default" w:ascii="Times New Roman" w:hAnsi="Times New Roman" w:eastAsia="宋体" w:cs="Times New Roman"/>
                <w:color w:val="auto"/>
                <w:kern w:val="0"/>
                <w:sz w:val="24"/>
                <w:szCs w:val="24"/>
                <w:highlight w:val="none"/>
                <w:lang w:val="en-US" w:eastAsia="zh-CN" w:bidi="ar"/>
              </w:rPr>
              <w:t>VOC</w:t>
            </w:r>
            <w:r>
              <w:rPr>
                <w:rFonts w:hint="eastAsia" w:cs="Times New Roman"/>
                <w:color w:val="auto"/>
                <w:kern w:val="0"/>
                <w:sz w:val="24"/>
                <w:szCs w:val="24"/>
                <w:highlight w:val="none"/>
                <w:lang w:val="en-US" w:eastAsia="zh-CN" w:bidi="ar"/>
              </w:rPr>
              <w:t>成份</w:t>
            </w:r>
            <w:r>
              <w:rPr>
                <w:rFonts w:hint="eastAsia" w:ascii="Times New Roman" w:hAnsi="Times New Roman" w:eastAsia="宋体" w:cs="Times New Roman"/>
                <w:color w:val="auto"/>
                <w:kern w:val="0"/>
                <w:sz w:val="24"/>
                <w:szCs w:val="24"/>
                <w:highlight w:val="none"/>
                <w:lang w:val="en-US" w:eastAsia="zh-CN" w:bidi="ar"/>
              </w:rPr>
              <w:t>最大</w:t>
            </w:r>
            <w:r>
              <w:rPr>
                <w:rFonts w:hint="eastAsia" w:ascii="宋体" w:hAnsi="宋体" w:eastAsia="宋体" w:cs="宋体"/>
                <w:color w:val="auto"/>
                <w:kern w:val="0"/>
                <w:sz w:val="24"/>
                <w:szCs w:val="24"/>
                <w:highlight w:val="none"/>
                <w:lang w:val="en-US" w:eastAsia="zh-CN" w:bidi="ar"/>
              </w:rPr>
              <w:t>比例为</w:t>
            </w: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，密度最大值为</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98</w:t>
            </w:r>
            <w:r>
              <w:rPr>
                <w:rFonts w:hint="default" w:ascii="Times New Roman" w:hAnsi="Times New Roman" w:eastAsia="宋体" w:cs="Times New Roman"/>
                <w:color w:val="auto"/>
                <w:kern w:val="0"/>
                <w:sz w:val="24"/>
                <w:szCs w:val="24"/>
                <w:highlight w:val="none"/>
                <w:lang w:val="en-US" w:eastAsia="zh-CN" w:bidi="ar"/>
              </w:rPr>
              <w:t>g/cm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，换算后</w:t>
            </w:r>
            <w:r>
              <w:rPr>
                <w:rFonts w:hint="default" w:ascii="Times New Roman" w:hAnsi="Times New Roman" w:eastAsia="宋体" w:cs="Times New Roman"/>
                <w:color w:val="auto"/>
                <w:kern w:val="0"/>
                <w:sz w:val="24"/>
                <w:szCs w:val="24"/>
                <w:highlight w:val="none"/>
                <w:lang w:val="en-US" w:eastAsia="zh-CN" w:bidi="ar"/>
              </w:rPr>
              <w:t>VOC</w:t>
            </w:r>
            <w:r>
              <w:rPr>
                <w:rFonts w:hint="eastAsia" w:ascii="宋体" w:hAnsi="宋体" w:eastAsia="宋体" w:cs="宋体"/>
                <w:color w:val="auto"/>
                <w:kern w:val="0"/>
                <w:sz w:val="24"/>
                <w:szCs w:val="24"/>
                <w:highlight w:val="none"/>
                <w:lang w:val="en-US" w:eastAsia="zh-CN" w:bidi="ar"/>
              </w:rPr>
              <w:t>含量</w:t>
            </w:r>
            <w:r>
              <w:rPr>
                <w:rFonts w:hint="eastAsia" w:ascii="宋体" w:hAnsi="宋体" w:cs="宋体"/>
                <w:color w:val="auto"/>
                <w:kern w:val="0"/>
                <w:sz w:val="24"/>
                <w:szCs w:val="24"/>
                <w:highlight w:val="none"/>
                <w:lang w:val="en-US" w:eastAsia="zh-CN" w:bidi="ar"/>
              </w:rPr>
              <w:t>不超过</w:t>
            </w:r>
            <w:r>
              <w:rPr>
                <w:rFonts w:hint="eastAsia" w:ascii="Times New Roman" w:hAnsi="Times New Roman" w:eastAsia="宋体" w:cs="Times New Roman"/>
                <w:color w:val="auto"/>
                <w:kern w:val="0"/>
                <w:sz w:val="24"/>
                <w:szCs w:val="24"/>
                <w:highlight w:val="none"/>
                <w:lang w:val="en-US" w:eastAsia="zh-CN" w:bidi="ar"/>
              </w:rPr>
              <w:t>19.6</w:t>
            </w:r>
            <w:r>
              <w:rPr>
                <w:rFonts w:hint="default" w:ascii="Times New Roman" w:hAnsi="Times New Roman" w:eastAsia="宋体" w:cs="Times New Roman"/>
                <w:color w:val="auto"/>
                <w:kern w:val="0"/>
                <w:sz w:val="24"/>
                <w:szCs w:val="24"/>
                <w:highlight w:val="none"/>
                <w:lang w:val="en-US" w:eastAsia="zh-CN" w:bidi="ar"/>
              </w:rPr>
              <w:t>g/L</w:t>
            </w:r>
            <w:r>
              <w:rPr>
                <w:rFonts w:hint="eastAsia" w:ascii="宋体" w:hAnsi="宋体" w:eastAsia="宋体" w:cs="宋体"/>
                <w:color w:val="auto"/>
                <w:kern w:val="0"/>
                <w:sz w:val="24"/>
                <w:szCs w:val="24"/>
                <w:highlight w:val="none"/>
                <w:lang w:val="en-US" w:eastAsia="zh-CN" w:bidi="ar"/>
              </w:rPr>
              <w:t>，满足《清洗剂挥发性有机化合物含量限值》（</w:t>
            </w:r>
            <w:r>
              <w:rPr>
                <w:rFonts w:hint="default" w:ascii="Times New Roman" w:hAnsi="Times New Roman" w:eastAsia="宋体" w:cs="Times New Roman"/>
                <w:color w:val="auto"/>
                <w:kern w:val="0"/>
                <w:sz w:val="24"/>
                <w:szCs w:val="24"/>
                <w:highlight w:val="none"/>
                <w:lang w:val="en-US" w:eastAsia="zh-CN" w:bidi="ar"/>
              </w:rPr>
              <w:t>GB38508-2020</w:t>
            </w:r>
            <w:r>
              <w:rPr>
                <w:rFonts w:hint="eastAsia" w:ascii="宋体" w:hAnsi="宋体" w:eastAsia="宋体" w:cs="宋体"/>
                <w:color w:val="auto"/>
                <w:kern w:val="0"/>
                <w:sz w:val="24"/>
                <w:szCs w:val="24"/>
                <w:highlight w:val="none"/>
                <w:lang w:val="en-US" w:eastAsia="zh-CN" w:bidi="ar"/>
              </w:rPr>
              <w:t>）表</w:t>
            </w:r>
            <w:r>
              <w:rPr>
                <w:rFonts w:hint="eastAsia"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水基清洗剂限值要求，具体见下表：</w:t>
            </w:r>
          </w:p>
          <w:p w14:paraId="7AD63E85">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sz w:val="24"/>
                <w:szCs w:val="22"/>
                <w:highlight w:val="none"/>
              </w:rPr>
            </w:pPr>
            <w:r>
              <w:rPr>
                <w:rFonts w:hint="default" w:ascii="Times New Roman" w:hAnsi="Times New Roman" w:cs="Times New Roman"/>
                <w:b/>
                <w:color w:val="auto"/>
                <w:sz w:val="24"/>
                <w:szCs w:val="22"/>
                <w:highlight w:val="none"/>
              </w:rPr>
              <w:t>表</w:t>
            </w:r>
            <w:r>
              <w:rPr>
                <w:rFonts w:hint="default" w:ascii="Times New Roman" w:hAnsi="Times New Roman" w:eastAsia="宋体" w:cs="Times New Roman"/>
                <w:b/>
                <w:color w:val="auto"/>
                <w:sz w:val="24"/>
                <w:szCs w:val="22"/>
                <w:highlight w:val="none"/>
              </w:rPr>
              <w:t>2-</w:t>
            </w:r>
            <w:r>
              <w:rPr>
                <w:rFonts w:hint="eastAsia" w:ascii="Times New Roman" w:hAnsi="Times New Roman" w:eastAsia="宋体" w:cs="Times New Roman"/>
                <w:b/>
                <w:color w:val="auto"/>
                <w:sz w:val="24"/>
                <w:szCs w:val="22"/>
                <w:highlight w:val="none"/>
                <w:lang w:val="en-US" w:eastAsia="zh-CN"/>
              </w:rPr>
              <w:t>8</w:t>
            </w:r>
            <w:r>
              <w:rPr>
                <w:rFonts w:hint="default" w:ascii="Times New Roman" w:hAnsi="Times New Roman" w:eastAsia="宋体" w:cs="Times New Roman"/>
                <w:b/>
                <w:color w:val="auto"/>
                <w:sz w:val="24"/>
                <w:szCs w:val="22"/>
                <w:highlight w:val="none"/>
              </w:rPr>
              <w:t xml:space="preserve">  </w:t>
            </w:r>
            <w:r>
              <w:rPr>
                <w:rFonts w:hint="eastAsia" w:ascii="Times New Roman" w:hAnsi="Times New Roman" w:eastAsia="宋体" w:cs="Times New Roman"/>
                <w:b/>
                <w:color w:val="auto"/>
                <w:sz w:val="24"/>
                <w:szCs w:val="22"/>
                <w:highlight w:val="none"/>
                <w:lang w:val="en-US" w:eastAsia="zh-CN"/>
              </w:rPr>
              <w:t>与《清洗剂挥发性有机化合物含量限值》（</w:t>
            </w:r>
            <w:r>
              <w:rPr>
                <w:rFonts w:hint="default" w:ascii="Times New Roman" w:hAnsi="Times New Roman" w:eastAsia="宋体" w:cs="Times New Roman"/>
                <w:b/>
                <w:color w:val="auto"/>
                <w:sz w:val="24"/>
                <w:szCs w:val="22"/>
                <w:highlight w:val="none"/>
                <w:lang w:val="en-US" w:eastAsia="zh-CN"/>
              </w:rPr>
              <w:t>GB38508-2020</w:t>
            </w:r>
            <w:r>
              <w:rPr>
                <w:rFonts w:hint="eastAsia" w:ascii="Times New Roman" w:hAnsi="Times New Roman" w:eastAsia="宋体" w:cs="Times New Roman"/>
                <w:b/>
                <w:color w:val="auto"/>
                <w:sz w:val="24"/>
                <w:szCs w:val="22"/>
                <w:highlight w:val="none"/>
                <w:lang w:val="en-US" w:eastAsia="zh-CN"/>
              </w:rPr>
              <w:t>）相符性分析</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41"/>
              <w:gridCol w:w="2387"/>
              <w:gridCol w:w="1813"/>
            </w:tblGrid>
            <w:tr w14:paraId="4EE7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pct"/>
                  <w:noWrap w:val="0"/>
                  <w:vAlign w:val="center"/>
                </w:tcPr>
                <w:p w14:paraId="4148501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项目</w:t>
                  </w:r>
                </w:p>
              </w:tc>
              <w:tc>
                <w:tcPr>
                  <w:tcW w:w="1522" w:type="pct"/>
                  <w:noWrap w:val="0"/>
                  <w:vAlign w:val="center"/>
                </w:tcPr>
                <w:p w14:paraId="0E16A2C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限值（</w:t>
                  </w:r>
                  <w:r>
                    <w:rPr>
                      <w:rFonts w:hint="eastAsia" w:cs="Times New Roman"/>
                      <w:b/>
                      <w:bCs/>
                      <w:color w:val="auto"/>
                      <w:sz w:val="21"/>
                      <w:szCs w:val="21"/>
                      <w:highlight w:val="none"/>
                      <w:lang w:val="en-US" w:eastAsia="zh-CN"/>
                    </w:rPr>
                    <w:t>水基型</w:t>
                  </w:r>
                  <w:r>
                    <w:rPr>
                      <w:rFonts w:hint="eastAsia" w:ascii="Times New Roman" w:hAnsi="Times New Roman" w:eastAsia="宋体" w:cs="Times New Roman"/>
                      <w:b/>
                      <w:bCs/>
                      <w:color w:val="auto"/>
                      <w:sz w:val="21"/>
                      <w:szCs w:val="21"/>
                      <w:highlight w:val="none"/>
                      <w:lang w:val="en-US" w:eastAsia="zh-CN"/>
                    </w:rPr>
                    <w:t>清洗剂）</w:t>
                  </w:r>
                </w:p>
              </w:tc>
              <w:tc>
                <w:tcPr>
                  <w:tcW w:w="1156" w:type="pct"/>
                  <w:noWrap w:val="0"/>
                  <w:vAlign w:val="center"/>
                </w:tcPr>
                <w:p w14:paraId="50E30ED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本项目（脱模剂）</w:t>
                  </w:r>
                </w:p>
              </w:tc>
            </w:tr>
            <w:tr w14:paraId="117D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pct"/>
                  <w:noWrap w:val="0"/>
                  <w:vAlign w:val="center"/>
                </w:tcPr>
                <w:p w14:paraId="1C4EA22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VOC</w:t>
                  </w:r>
                  <w:r>
                    <w:rPr>
                      <w:rFonts w:hint="eastAsia" w:ascii="宋体" w:hAnsi="宋体" w:eastAsia="宋体" w:cs="宋体"/>
                      <w:color w:val="auto"/>
                      <w:kern w:val="0"/>
                      <w:sz w:val="21"/>
                      <w:szCs w:val="21"/>
                      <w:highlight w:val="none"/>
                      <w:lang w:val="en-US" w:eastAsia="zh-CN" w:bidi="ar"/>
                    </w:rPr>
                    <w:t>含量（</w:t>
                  </w:r>
                  <w:r>
                    <w:rPr>
                      <w:rFonts w:hint="default" w:ascii="Times New Roman" w:hAnsi="Times New Roman" w:eastAsia="宋体" w:cs="Times New Roman"/>
                      <w:color w:val="auto"/>
                      <w:kern w:val="0"/>
                      <w:sz w:val="21"/>
                      <w:szCs w:val="21"/>
                      <w:highlight w:val="none"/>
                      <w:lang w:val="en-US" w:eastAsia="zh-CN" w:bidi="ar"/>
                    </w:rPr>
                    <w:t>g/L</w:t>
                  </w:r>
                  <w:r>
                    <w:rPr>
                      <w:rFonts w:hint="eastAsia" w:ascii="宋体" w:hAnsi="宋体" w:eastAsia="宋体" w:cs="宋体"/>
                      <w:color w:val="auto"/>
                      <w:kern w:val="0"/>
                      <w:sz w:val="21"/>
                      <w:szCs w:val="21"/>
                      <w:highlight w:val="none"/>
                      <w:lang w:val="en-US" w:eastAsia="zh-CN" w:bidi="ar"/>
                    </w:rPr>
                    <w:t>）</w:t>
                  </w:r>
                </w:p>
              </w:tc>
              <w:tc>
                <w:tcPr>
                  <w:tcW w:w="1522" w:type="pct"/>
                  <w:noWrap w:val="0"/>
                  <w:vAlign w:val="center"/>
                </w:tcPr>
                <w:p w14:paraId="46940AF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5</w:t>
                  </w:r>
                  <w:r>
                    <w:rPr>
                      <w:rFonts w:hint="eastAsia" w:ascii="Times New Roman" w:hAnsi="Times New Roman" w:eastAsia="宋体" w:cs="Times New Roman"/>
                      <w:color w:val="auto"/>
                      <w:kern w:val="0"/>
                      <w:sz w:val="21"/>
                      <w:szCs w:val="21"/>
                      <w:highlight w:val="none"/>
                      <w:lang w:val="en-US" w:eastAsia="zh-CN" w:bidi="ar"/>
                    </w:rPr>
                    <w:t>0</w:t>
                  </w:r>
                </w:p>
              </w:tc>
              <w:tc>
                <w:tcPr>
                  <w:tcW w:w="1156" w:type="pct"/>
                  <w:noWrap w:val="0"/>
                  <w:vAlign w:val="center"/>
                </w:tcPr>
                <w:p w14:paraId="66E4A3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cs="Times New Roman"/>
                      <w:color w:val="auto"/>
                      <w:sz w:val="21"/>
                      <w:szCs w:val="21"/>
                      <w:highlight w:val="none"/>
                      <w:lang w:val="en-US" w:eastAsia="zh-CN"/>
                    </w:rPr>
                    <w:t>19.6</w:t>
                  </w:r>
                </w:p>
              </w:tc>
            </w:tr>
            <w:tr w14:paraId="2AA2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pct"/>
                  <w:noWrap w:val="0"/>
                  <w:vAlign w:val="center"/>
                </w:tcPr>
                <w:p w14:paraId="026B8FB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二氯甲烷、三氯甲烷、三氯乙烯、四氯乙烯总和</w:t>
                  </w:r>
                  <w:r>
                    <w:rPr>
                      <w:rFonts w:hint="default" w:ascii="Times New Roman" w:hAnsi="Times New Roman" w:eastAsia="宋体" w:cs="Times New Roman"/>
                      <w:color w:val="auto"/>
                      <w:kern w:val="0"/>
                      <w:sz w:val="21"/>
                      <w:szCs w:val="21"/>
                      <w:highlight w:val="none"/>
                      <w:lang w:val="en-US" w:eastAsia="zh-CN" w:bidi="ar"/>
                    </w:rPr>
                    <w:t>/ %</w:t>
                  </w:r>
                </w:p>
              </w:tc>
              <w:tc>
                <w:tcPr>
                  <w:tcW w:w="1522" w:type="pct"/>
                  <w:noWrap w:val="0"/>
                  <w:vAlign w:val="center"/>
                </w:tcPr>
                <w:p w14:paraId="01E3385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0.5</w:t>
                  </w:r>
                </w:p>
              </w:tc>
              <w:tc>
                <w:tcPr>
                  <w:tcW w:w="1156" w:type="pct"/>
                  <w:noWrap w:val="0"/>
                  <w:vAlign w:val="center"/>
                </w:tcPr>
                <w:p w14:paraId="10E885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r>
            <w:tr w14:paraId="3EC0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pct"/>
                  <w:noWrap w:val="0"/>
                  <w:vAlign w:val="center"/>
                </w:tcPr>
                <w:p w14:paraId="508ABAC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甲醛</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g/kg</w:t>
                  </w:r>
                  <w:r>
                    <w:rPr>
                      <w:rFonts w:hint="eastAsia" w:ascii="Times New Roman" w:hAnsi="Times New Roman" w:eastAsia="宋体" w:cs="Times New Roman"/>
                      <w:color w:val="auto"/>
                      <w:kern w:val="0"/>
                      <w:sz w:val="21"/>
                      <w:szCs w:val="21"/>
                      <w:highlight w:val="none"/>
                      <w:lang w:val="en-US" w:eastAsia="zh-CN" w:bidi="ar"/>
                    </w:rPr>
                    <w:t>）</w:t>
                  </w:r>
                </w:p>
              </w:tc>
              <w:tc>
                <w:tcPr>
                  <w:tcW w:w="1522" w:type="pct"/>
                  <w:noWrap w:val="0"/>
                  <w:vAlign w:val="center"/>
                </w:tcPr>
                <w:p w14:paraId="6C4290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0.5</w:t>
                  </w:r>
                </w:p>
              </w:tc>
              <w:tc>
                <w:tcPr>
                  <w:tcW w:w="1156" w:type="pct"/>
                  <w:noWrap w:val="0"/>
                  <w:vAlign w:val="center"/>
                </w:tcPr>
                <w:p w14:paraId="4048AE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r>
            <w:tr w14:paraId="2150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321" w:type="pct"/>
                  <w:noWrap w:val="0"/>
                  <w:vAlign w:val="center"/>
                </w:tcPr>
                <w:p w14:paraId="1162317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苯、甲苯、乙苯和二甲苯总和</w:t>
                  </w:r>
                  <w:r>
                    <w:rPr>
                      <w:rFonts w:hint="default" w:ascii="Times New Roman" w:hAnsi="Times New Roman" w:eastAsia="宋体" w:cs="Times New Roman"/>
                      <w:color w:val="auto"/>
                      <w:kern w:val="0"/>
                      <w:sz w:val="21"/>
                      <w:szCs w:val="21"/>
                      <w:highlight w:val="none"/>
                      <w:lang w:val="en-US" w:eastAsia="zh-CN" w:bidi="ar"/>
                    </w:rPr>
                    <w:t>/%</w:t>
                  </w:r>
                </w:p>
              </w:tc>
              <w:tc>
                <w:tcPr>
                  <w:tcW w:w="1522" w:type="pct"/>
                  <w:noWrap w:val="0"/>
                  <w:vAlign w:val="center"/>
                </w:tcPr>
                <w:p w14:paraId="052636F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0.5</w:t>
                  </w:r>
                </w:p>
              </w:tc>
              <w:tc>
                <w:tcPr>
                  <w:tcW w:w="1156" w:type="pct"/>
                  <w:noWrap w:val="0"/>
                  <w:vAlign w:val="center"/>
                </w:tcPr>
                <w:p w14:paraId="551B10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r>
          </w:tbl>
          <w:p w14:paraId="19763603">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textAlignment w:val="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、主要生产</w:t>
            </w:r>
            <w:r>
              <w:rPr>
                <w:rFonts w:hint="default" w:ascii="Times New Roman" w:hAnsi="Times New Roman" w:eastAsia="宋体" w:cs="Times New Roman"/>
                <w:b/>
                <w:color w:val="auto"/>
                <w:sz w:val="24"/>
                <w:szCs w:val="24"/>
                <w:highlight w:val="none"/>
                <w:lang w:eastAsia="zh-CN"/>
              </w:rPr>
              <w:t>设备</w:t>
            </w:r>
          </w:p>
          <w:p w14:paraId="25B0E486">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zh-CN"/>
              </w:rPr>
              <w:t>-</w:t>
            </w:r>
            <w:r>
              <w:rPr>
                <w:rFonts w:hint="eastAsia"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zh-CN"/>
              </w:rPr>
              <w:t xml:space="preserve">  项目主要</w:t>
            </w:r>
            <w:r>
              <w:rPr>
                <w:rFonts w:hint="eastAsia" w:cs="Times New Roman"/>
                <w:b/>
                <w:bCs/>
                <w:color w:val="auto"/>
                <w:sz w:val="21"/>
                <w:szCs w:val="21"/>
                <w:highlight w:val="none"/>
                <w:lang w:val="en-US" w:eastAsia="zh-CN"/>
              </w:rPr>
              <w:t>生产</w:t>
            </w:r>
            <w:r>
              <w:rPr>
                <w:rFonts w:hint="default" w:ascii="Times New Roman" w:hAnsi="Times New Roman" w:eastAsia="宋体" w:cs="Times New Roman"/>
                <w:b/>
                <w:bCs/>
                <w:color w:val="auto"/>
                <w:sz w:val="21"/>
                <w:szCs w:val="21"/>
                <w:highlight w:val="none"/>
                <w:lang w:val="zh-CN"/>
              </w:rPr>
              <w:t>设备一览表</w:t>
            </w:r>
          </w:p>
          <w:tbl>
            <w:tblPr>
              <w:tblStyle w:val="4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872"/>
              <w:gridCol w:w="2319"/>
              <w:gridCol w:w="1109"/>
              <w:gridCol w:w="1328"/>
              <w:gridCol w:w="1460"/>
            </w:tblGrid>
            <w:tr w14:paraId="401B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noWrap w:val="0"/>
                  <w:vAlign w:val="center"/>
                </w:tcPr>
                <w:p w14:paraId="2BF201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序号</w:t>
                  </w:r>
                </w:p>
              </w:tc>
              <w:tc>
                <w:tcPr>
                  <w:tcW w:w="556" w:type="pct"/>
                  <w:tcBorders>
                    <w:tl2br w:val="nil"/>
                    <w:tr2bl w:val="nil"/>
                  </w:tcBorders>
                  <w:noWrap w:val="0"/>
                  <w:vAlign w:val="center"/>
                </w:tcPr>
                <w:p w14:paraId="0B5A99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产品类型</w:t>
                  </w:r>
                </w:p>
              </w:tc>
              <w:tc>
                <w:tcPr>
                  <w:tcW w:w="1479" w:type="pct"/>
                  <w:tcBorders>
                    <w:tl2br w:val="nil"/>
                    <w:tr2bl w:val="nil"/>
                  </w:tcBorders>
                  <w:noWrap w:val="0"/>
                  <w:vAlign w:val="center"/>
                </w:tcPr>
                <w:p w14:paraId="0E155E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设备名称</w:t>
                  </w:r>
                </w:p>
              </w:tc>
              <w:tc>
                <w:tcPr>
                  <w:tcW w:w="707" w:type="pct"/>
                  <w:tcBorders>
                    <w:tl2br w:val="nil"/>
                    <w:tr2bl w:val="nil"/>
                  </w:tcBorders>
                  <w:noWrap w:val="0"/>
                  <w:vAlign w:val="center"/>
                </w:tcPr>
                <w:p w14:paraId="1BB272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设备参数</w:t>
                  </w:r>
                </w:p>
              </w:tc>
              <w:tc>
                <w:tcPr>
                  <w:tcW w:w="847" w:type="pct"/>
                  <w:tcBorders>
                    <w:tl2br w:val="nil"/>
                    <w:tr2bl w:val="nil"/>
                  </w:tcBorders>
                  <w:noWrap w:val="0"/>
                  <w:vAlign w:val="center"/>
                </w:tcPr>
                <w:p w14:paraId="092987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数量</w:t>
                  </w:r>
                  <w:r>
                    <w:rPr>
                      <w:rFonts w:hint="eastAsia" w:cs="Times New Roman"/>
                      <w:b/>
                      <w:bCs/>
                      <w:color w:val="auto"/>
                      <w:sz w:val="21"/>
                      <w:szCs w:val="21"/>
                      <w:highlight w:val="none"/>
                      <w:vertAlign w:val="baseline"/>
                      <w:lang w:val="en-US" w:eastAsia="zh-CN"/>
                    </w:rPr>
                    <w:t>（台/个）</w:t>
                  </w:r>
                </w:p>
              </w:tc>
              <w:tc>
                <w:tcPr>
                  <w:tcW w:w="931" w:type="pct"/>
                  <w:tcBorders>
                    <w:tl2br w:val="nil"/>
                    <w:tr2bl w:val="nil"/>
                  </w:tcBorders>
                  <w:noWrap w:val="0"/>
                  <w:vAlign w:val="center"/>
                </w:tcPr>
                <w:p w14:paraId="1A7922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所在工序</w:t>
                  </w:r>
                </w:p>
              </w:tc>
            </w:tr>
            <w:tr w14:paraId="4588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noWrap w:val="0"/>
                  <w:vAlign w:val="center"/>
                </w:tcPr>
                <w:p w14:paraId="2DE7F7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outlineLvl w:val="9"/>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w:t>
                  </w:r>
                </w:p>
              </w:tc>
              <w:tc>
                <w:tcPr>
                  <w:tcW w:w="556" w:type="pct"/>
                  <w:vMerge w:val="restart"/>
                  <w:tcBorders>
                    <w:tl2br w:val="nil"/>
                    <w:tr2bl w:val="nil"/>
                  </w:tcBorders>
                  <w:noWrap w:val="0"/>
                  <w:vAlign w:val="center"/>
                </w:tcPr>
                <w:p w14:paraId="7FC16E3E">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PVC连帮鞋底</w:t>
                  </w:r>
                </w:p>
              </w:tc>
              <w:tc>
                <w:tcPr>
                  <w:tcW w:w="1479" w:type="pct"/>
                  <w:tcBorders>
                    <w:tl2br w:val="nil"/>
                    <w:tr2bl w:val="nil"/>
                  </w:tcBorders>
                  <w:noWrap w:val="0"/>
                  <w:vAlign w:val="center"/>
                </w:tcPr>
                <w:p w14:paraId="57E357B3">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搅拌罐</w:t>
                  </w:r>
                </w:p>
              </w:tc>
              <w:tc>
                <w:tcPr>
                  <w:tcW w:w="707" w:type="pct"/>
                  <w:tcBorders>
                    <w:tl2br w:val="nil"/>
                    <w:tr2bl w:val="nil"/>
                  </w:tcBorders>
                  <w:noWrap w:val="0"/>
                  <w:vAlign w:val="center"/>
                </w:tcPr>
                <w:p w14:paraId="0FF97AD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1L</w:t>
                  </w:r>
                </w:p>
              </w:tc>
              <w:tc>
                <w:tcPr>
                  <w:tcW w:w="847" w:type="pct"/>
                  <w:tcBorders>
                    <w:tl2br w:val="nil"/>
                    <w:tr2bl w:val="nil"/>
                  </w:tcBorders>
                  <w:noWrap w:val="0"/>
                  <w:vAlign w:val="center"/>
                </w:tcPr>
                <w:p w14:paraId="18619C3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1</w:t>
                  </w:r>
                </w:p>
              </w:tc>
              <w:tc>
                <w:tcPr>
                  <w:tcW w:w="931" w:type="pct"/>
                  <w:tcBorders>
                    <w:tl2br w:val="nil"/>
                    <w:tr2bl w:val="nil"/>
                  </w:tcBorders>
                  <w:noWrap w:val="0"/>
                  <w:vAlign w:val="center"/>
                </w:tcPr>
                <w:p w14:paraId="5FEE3FBD">
                  <w:pPr>
                    <w:keepNext w:val="0"/>
                    <w:keepLines w:val="0"/>
                    <w:widowControl w:val="0"/>
                    <w:suppressLineNumbers w:val="0"/>
                    <w:adjustRightInd w:val="0"/>
                    <w:snapToGrid w:val="0"/>
                    <w:spacing w:before="0" w:beforeAutospacing="0" w:after="0" w:afterAutospacing="0"/>
                    <w:ind w:left="0" w:right="0"/>
                    <w:jc w:val="center"/>
                    <w:rPr>
                      <w:rFonts w:hint="default"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搅拌</w:t>
                  </w:r>
                </w:p>
              </w:tc>
            </w:tr>
            <w:tr w14:paraId="0711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shd w:val="clear" w:color="auto" w:fill="auto"/>
                  <w:noWrap w:val="0"/>
                  <w:vAlign w:val="center"/>
                </w:tcPr>
                <w:p w14:paraId="678813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w:t>
                  </w:r>
                </w:p>
              </w:tc>
              <w:tc>
                <w:tcPr>
                  <w:tcW w:w="556" w:type="pct"/>
                  <w:vMerge w:val="continue"/>
                  <w:tcBorders>
                    <w:tl2br w:val="nil"/>
                    <w:tr2bl w:val="nil"/>
                  </w:tcBorders>
                  <w:noWrap w:val="0"/>
                  <w:vAlign w:val="center"/>
                </w:tcPr>
                <w:p w14:paraId="0B72B855">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p>
              </w:tc>
              <w:tc>
                <w:tcPr>
                  <w:tcW w:w="1479" w:type="pct"/>
                  <w:tcBorders>
                    <w:tl2br w:val="nil"/>
                    <w:tr2bl w:val="nil"/>
                  </w:tcBorders>
                  <w:noWrap w:val="0"/>
                  <w:vAlign w:val="center"/>
                </w:tcPr>
                <w:p w14:paraId="4F1E74F4">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圆盘注塑机</w:t>
                  </w:r>
                </w:p>
              </w:tc>
              <w:tc>
                <w:tcPr>
                  <w:tcW w:w="707" w:type="pct"/>
                  <w:tcBorders>
                    <w:tl2br w:val="nil"/>
                    <w:tr2bl w:val="nil"/>
                  </w:tcBorders>
                  <w:noWrap w:val="0"/>
                  <w:vAlign w:val="center"/>
                </w:tcPr>
                <w:p w14:paraId="2029F89A">
                  <w:pPr>
                    <w:keepNext w:val="0"/>
                    <w:keepLines w:val="0"/>
                    <w:widowControl w:val="0"/>
                    <w:suppressLineNumbers w:val="0"/>
                    <w:adjustRightInd w:val="0"/>
                    <w:snapToGrid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47" w:type="pct"/>
                  <w:tcBorders>
                    <w:tl2br w:val="nil"/>
                    <w:tr2bl w:val="nil"/>
                  </w:tcBorders>
                  <w:noWrap w:val="0"/>
                  <w:vAlign w:val="center"/>
                </w:tcPr>
                <w:p w14:paraId="202F31D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3</w:t>
                  </w:r>
                </w:p>
              </w:tc>
              <w:tc>
                <w:tcPr>
                  <w:tcW w:w="931" w:type="pct"/>
                  <w:vMerge w:val="restart"/>
                  <w:tcBorders>
                    <w:tl2br w:val="nil"/>
                    <w:tr2bl w:val="nil"/>
                  </w:tcBorders>
                  <w:noWrap w:val="0"/>
                  <w:vAlign w:val="center"/>
                </w:tcPr>
                <w:p w14:paraId="22E691B6">
                  <w:pPr>
                    <w:keepNext w:val="0"/>
                    <w:keepLines w:val="0"/>
                    <w:widowControl w:val="0"/>
                    <w:suppressLineNumbers w:val="0"/>
                    <w:adjustRightInd w:val="0"/>
                    <w:snapToGrid w:val="0"/>
                    <w:spacing w:before="0" w:beforeAutospacing="0" w:after="0" w:afterAutospacing="0"/>
                    <w:ind w:left="0" w:right="0"/>
                    <w:jc w:val="center"/>
                    <w:rPr>
                      <w:rFonts w:hint="default"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连帮注塑</w:t>
                  </w:r>
                </w:p>
              </w:tc>
            </w:tr>
            <w:tr w14:paraId="7E35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shd w:val="clear" w:color="auto" w:fill="auto"/>
                  <w:noWrap w:val="0"/>
                  <w:vAlign w:val="center"/>
                </w:tcPr>
                <w:p w14:paraId="5AAF62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3</w:t>
                  </w:r>
                </w:p>
              </w:tc>
              <w:tc>
                <w:tcPr>
                  <w:tcW w:w="556" w:type="pct"/>
                  <w:vMerge w:val="continue"/>
                  <w:tcBorders>
                    <w:tl2br w:val="nil"/>
                    <w:tr2bl w:val="nil"/>
                  </w:tcBorders>
                  <w:noWrap w:val="0"/>
                  <w:vAlign w:val="center"/>
                </w:tcPr>
                <w:p w14:paraId="40E46228">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p>
              </w:tc>
              <w:tc>
                <w:tcPr>
                  <w:tcW w:w="1479" w:type="pct"/>
                  <w:tcBorders>
                    <w:tl2br w:val="nil"/>
                    <w:tr2bl w:val="nil"/>
                  </w:tcBorders>
                  <w:noWrap w:val="0"/>
                  <w:vAlign w:val="center"/>
                </w:tcPr>
                <w:p w14:paraId="5CBC384E">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空压机</w:t>
                  </w:r>
                </w:p>
              </w:tc>
              <w:tc>
                <w:tcPr>
                  <w:tcW w:w="707" w:type="pct"/>
                  <w:tcBorders>
                    <w:tl2br w:val="nil"/>
                    <w:tr2bl w:val="nil"/>
                  </w:tcBorders>
                  <w:shd w:val="clear" w:color="auto" w:fill="auto"/>
                  <w:noWrap w:val="0"/>
                  <w:vAlign w:val="center"/>
                </w:tcPr>
                <w:p w14:paraId="7B16897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847" w:type="pct"/>
                  <w:tcBorders>
                    <w:tl2br w:val="nil"/>
                    <w:tr2bl w:val="nil"/>
                  </w:tcBorders>
                  <w:shd w:val="clear" w:color="auto" w:fill="auto"/>
                  <w:noWrap w:val="0"/>
                  <w:vAlign w:val="center"/>
                </w:tcPr>
                <w:p w14:paraId="43CED72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w:t>
                  </w:r>
                </w:p>
              </w:tc>
              <w:tc>
                <w:tcPr>
                  <w:tcW w:w="931" w:type="pct"/>
                  <w:vMerge w:val="continue"/>
                  <w:tcBorders>
                    <w:tl2br w:val="nil"/>
                    <w:tr2bl w:val="nil"/>
                  </w:tcBorders>
                  <w:noWrap w:val="0"/>
                  <w:vAlign w:val="center"/>
                </w:tcPr>
                <w:p w14:paraId="6CB8EDEC">
                  <w:pPr>
                    <w:keepNext w:val="0"/>
                    <w:keepLines w:val="0"/>
                    <w:widowControl w:val="0"/>
                    <w:suppressLineNumbers w:val="0"/>
                    <w:adjustRightInd w:val="0"/>
                    <w:snapToGrid w:val="0"/>
                    <w:spacing w:before="0" w:beforeAutospacing="0" w:after="0" w:afterAutospacing="0"/>
                    <w:ind w:left="0" w:right="0"/>
                    <w:jc w:val="center"/>
                    <w:rPr>
                      <w:rFonts w:hint="eastAsia" w:cs="Times New Roman"/>
                      <w:b w:val="0"/>
                      <w:bCs/>
                      <w:color w:val="auto"/>
                      <w:kern w:val="2"/>
                      <w:sz w:val="21"/>
                      <w:szCs w:val="21"/>
                      <w:highlight w:val="none"/>
                      <w:lang w:val="en-US" w:eastAsia="zh-CN" w:bidi="ar-SA"/>
                    </w:rPr>
                  </w:pPr>
                </w:p>
              </w:tc>
            </w:tr>
            <w:tr w14:paraId="61F5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shd w:val="clear" w:color="auto" w:fill="auto"/>
                  <w:noWrap w:val="0"/>
                  <w:vAlign w:val="center"/>
                </w:tcPr>
                <w:p w14:paraId="6F9E10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4</w:t>
                  </w:r>
                </w:p>
              </w:tc>
              <w:tc>
                <w:tcPr>
                  <w:tcW w:w="556" w:type="pct"/>
                  <w:vMerge w:val="continue"/>
                  <w:tcBorders>
                    <w:tl2br w:val="nil"/>
                    <w:tr2bl w:val="nil"/>
                  </w:tcBorders>
                  <w:noWrap w:val="0"/>
                  <w:vAlign w:val="center"/>
                </w:tcPr>
                <w:p w14:paraId="5F5D0C30">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p>
              </w:tc>
              <w:tc>
                <w:tcPr>
                  <w:tcW w:w="1479" w:type="pct"/>
                  <w:tcBorders>
                    <w:tl2br w:val="nil"/>
                    <w:tr2bl w:val="nil"/>
                  </w:tcBorders>
                  <w:noWrap w:val="0"/>
                  <w:vAlign w:val="center"/>
                </w:tcPr>
                <w:p w14:paraId="74A3C2A6">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连帮鞋底模具</w:t>
                  </w:r>
                </w:p>
              </w:tc>
              <w:tc>
                <w:tcPr>
                  <w:tcW w:w="707" w:type="pct"/>
                  <w:tcBorders>
                    <w:tl2br w:val="nil"/>
                    <w:tr2bl w:val="nil"/>
                  </w:tcBorders>
                  <w:noWrap w:val="0"/>
                  <w:vAlign w:val="center"/>
                </w:tcPr>
                <w:p w14:paraId="65E13852">
                  <w:pPr>
                    <w:keepNext w:val="0"/>
                    <w:keepLines w:val="0"/>
                    <w:widowControl w:val="0"/>
                    <w:suppressLineNumbers w:val="0"/>
                    <w:adjustRightInd w:val="0"/>
                    <w:snapToGrid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47" w:type="pct"/>
                  <w:tcBorders>
                    <w:tl2br w:val="nil"/>
                    <w:tr2bl w:val="nil"/>
                  </w:tcBorders>
                  <w:noWrap w:val="0"/>
                  <w:vAlign w:val="center"/>
                </w:tcPr>
                <w:p w14:paraId="3DB9811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30</w:t>
                  </w:r>
                </w:p>
              </w:tc>
              <w:tc>
                <w:tcPr>
                  <w:tcW w:w="931" w:type="pct"/>
                  <w:tcBorders>
                    <w:tl2br w:val="nil"/>
                    <w:tr2bl w:val="nil"/>
                  </w:tcBorders>
                  <w:noWrap w:val="0"/>
                  <w:vAlign w:val="center"/>
                </w:tcPr>
                <w:p w14:paraId="4736AD1F">
                  <w:pPr>
                    <w:keepNext w:val="0"/>
                    <w:keepLines w:val="0"/>
                    <w:widowControl w:val="0"/>
                    <w:suppressLineNumbers w:val="0"/>
                    <w:adjustRightInd w:val="0"/>
                    <w:snapToGrid w:val="0"/>
                    <w:spacing w:before="0" w:beforeAutospacing="0" w:after="0" w:afterAutospacing="0"/>
                    <w:ind w:left="0" w:right="0"/>
                    <w:jc w:val="center"/>
                    <w:rPr>
                      <w:rFonts w:hint="default"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上模具</w:t>
                  </w:r>
                </w:p>
              </w:tc>
            </w:tr>
            <w:tr w14:paraId="3120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shd w:val="clear" w:color="auto" w:fill="auto"/>
                  <w:noWrap w:val="0"/>
                  <w:vAlign w:val="center"/>
                </w:tcPr>
                <w:p w14:paraId="0ED24B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5</w:t>
                  </w:r>
                </w:p>
              </w:tc>
              <w:tc>
                <w:tcPr>
                  <w:tcW w:w="556" w:type="pct"/>
                  <w:vMerge w:val="continue"/>
                  <w:tcBorders>
                    <w:tl2br w:val="nil"/>
                    <w:tr2bl w:val="nil"/>
                  </w:tcBorders>
                  <w:noWrap w:val="0"/>
                  <w:vAlign w:val="center"/>
                </w:tcPr>
                <w:p w14:paraId="1DC7A478">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p>
              </w:tc>
              <w:tc>
                <w:tcPr>
                  <w:tcW w:w="1479" w:type="pct"/>
                  <w:tcBorders>
                    <w:tl2br w:val="nil"/>
                    <w:tr2bl w:val="nil"/>
                  </w:tcBorders>
                  <w:noWrap w:val="0"/>
                  <w:vAlign w:val="center"/>
                </w:tcPr>
                <w:p w14:paraId="18BE4288">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鞋底修边机</w:t>
                  </w:r>
                </w:p>
              </w:tc>
              <w:tc>
                <w:tcPr>
                  <w:tcW w:w="707" w:type="pct"/>
                  <w:tcBorders>
                    <w:tl2br w:val="nil"/>
                    <w:tr2bl w:val="nil"/>
                  </w:tcBorders>
                  <w:noWrap w:val="0"/>
                  <w:vAlign w:val="center"/>
                </w:tcPr>
                <w:p w14:paraId="4F2BAA7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847" w:type="pct"/>
                  <w:tcBorders>
                    <w:tl2br w:val="nil"/>
                    <w:tr2bl w:val="nil"/>
                  </w:tcBorders>
                  <w:noWrap w:val="0"/>
                  <w:vAlign w:val="center"/>
                </w:tcPr>
                <w:p w14:paraId="5A16D8C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w:t>
                  </w:r>
                </w:p>
              </w:tc>
              <w:tc>
                <w:tcPr>
                  <w:tcW w:w="931" w:type="pct"/>
                  <w:tcBorders>
                    <w:tl2br w:val="nil"/>
                    <w:tr2bl w:val="nil"/>
                  </w:tcBorders>
                  <w:noWrap w:val="0"/>
                  <w:vAlign w:val="center"/>
                </w:tcPr>
                <w:p w14:paraId="6D1D6879">
                  <w:pPr>
                    <w:keepNext w:val="0"/>
                    <w:keepLines w:val="0"/>
                    <w:widowControl w:val="0"/>
                    <w:suppressLineNumbers w:val="0"/>
                    <w:adjustRightInd w:val="0"/>
                    <w:snapToGrid w:val="0"/>
                    <w:spacing w:before="0" w:beforeAutospacing="0" w:after="0" w:afterAutospacing="0"/>
                    <w:ind w:left="0" w:right="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修边</w:t>
                  </w:r>
                </w:p>
              </w:tc>
            </w:tr>
            <w:tr w14:paraId="2681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shd w:val="clear" w:color="auto" w:fill="auto"/>
                  <w:noWrap w:val="0"/>
                  <w:vAlign w:val="center"/>
                </w:tcPr>
                <w:p w14:paraId="37D29A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6</w:t>
                  </w:r>
                </w:p>
              </w:tc>
              <w:tc>
                <w:tcPr>
                  <w:tcW w:w="556" w:type="pct"/>
                  <w:vMerge w:val="continue"/>
                  <w:tcBorders>
                    <w:tl2br w:val="nil"/>
                    <w:tr2bl w:val="nil"/>
                  </w:tcBorders>
                  <w:noWrap w:val="0"/>
                  <w:vAlign w:val="center"/>
                </w:tcPr>
                <w:p w14:paraId="594FD9A2">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p>
              </w:tc>
              <w:tc>
                <w:tcPr>
                  <w:tcW w:w="1479" w:type="pct"/>
                  <w:tcBorders>
                    <w:tl2br w:val="nil"/>
                    <w:tr2bl w:val="nil"/>
                  </w:tcBorders>
                  <w:shd w:val="clear" w:color="auto" w:fill="auto"/>
                  <w:noWrap w:val="0"/>
                  <w:vAlign w:val="center"/>
                </w:tcPr>
                <w:p w14:paraId="785F9235">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鞋底料粉碎机</w:t>
                  </w:r>
                </w:p>
              </w:tc>
              <w:tc>
                <w:tcPr>
                  <w:tcW w:w="707" w:type="pct"/>
                  <w:tcBorders>
                    <w:tl2br w:val="nil"/>
                    <w:tr2bl w:val="nil"/>
                  </w:tcBorders>
                  <w:shd w:val="clear" w:color="auto" w:fill="auto"/>
                  <w:noWrap w:val="0"/>
                  <w:vAlign w:val="center"/>
                </w:tcPr>
                <w:p w14:paraId="7B06F37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847" w:type="pct"/>
                  <w:tcBorders>
                    <w:tl2br w:val="nil"/>
                    <w:tr2bl w:val="nil"/>
                  </w:tcBorders>
                  <w:shd w:val="clear" w:color="auto" w:fill="auto"/>
                  <w:noWrap w:val="0"/>
                  <w:vAlign w:val="center"/>
                </w:tcPr>
                <w:p w14:paraId="190EF1C0">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w:t>
                  </w:r>
                </w:p>
              </w:tc>
              <w:tc>
                <w:tcPr>
                  <w:tcW w:w="931" w:type="pct"/>
                  <w:tcBorders>
                    <w:tl2br w:val="nil"/>
                    <w:tr2bl w:val="nil"/>
                  </w:tcBorders>
                  <w:shd w:val="clear" w:color="auto" w:fill="auto"/>
                  <w:noWrap w:val="0"/>
                  <w:vAlign w:val="center"/>
                </w:tcPr>
                <w:p w14:paraId="2A8EAC87">
                  <w:pPr>
                    <w:keepNext w:val="0"/>
                    <w:keepLines w:val="0"/>
                    <w:widowControl w:val="0"/>
                    <w:suppressLineNumbers w:val="0"/>
                    <w:adjustRightInd w:val="0"/>
                    <w:snapToGrid w:val="0"/>
                    <w:spacing w:before="0" w:beforeAutospacing="0" w:after="0" w:afterAutospacing="0"/>
                    <w:ind w:left="0" w:leftChars="0" w:right="0" w:rightChars="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破碎</w:t>
                  </w:r>
                </w:p>
              </w:tc>
            </w:tr>
            <w:tr w14:paraId="167A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shd w:val="clear" w:color="auto" w:fill="auto"/>
                  <w:noWrap w:val="0"/>
                  <w:vAlign w:val="center"/>
                </w:tcPr>
                <w:p w14:paraId="5CA8B4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7</w:t>
                  </w:r>
                </w:p>
              </w:tc>
              <w:tc>
                <w:tcPr>
                  <w:tcW w:w="556" w:type="pct"/>
                  <w:vMerge w:val="restart"/>
                  <w:tcBorders>
                    <w:tl2br w:val="nil"/>
                    <w:tr2bl w:val="nil"/>
                  </w:tcBorders>
                  <w:noWrap w:val="0"/>
                  <w:vAlign w:val="center"/>
                </w:tcPr>
                <w:p w14:paraId="49039F02">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PU连帮鞋底</w:t>
                  </w:r>
                </w:p>
              </w:tc>
              <w:tc>
                <w:tcPr>
                  <w:tcW w:w="1479" w:type="pct"/>
                  <w:tcBorders>
                    <w:tl2br w:val="nil"/>
                    <w:tr2bl w:val="nil"/>
                  </w:tcBorders>
                  <w:shd w:val="clear" w:color="auto" w:fill="auto"/>
                  <w:noWrap w:val="0"/>
                  <w:vAlign w:val="center"/>
                </w:tcPr>
                <w:p w14:paraId="695B398F">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全自动聚氨酯鞋底浇注机</w:t>
                  </w:r>
                </w:p>
              </w:tc>
              <w:tc>
                <w:tcPr>
                  <w:tcW w:w="707" w:type="pct"/>
                  <w:tcBorders>
                    <w:tl2br w:val="nil"/>
                    <w:tr2bl w:val="nil"/>
                  </w:tcBorders>
                  <w:shd w:val="clear" w:color="auto" w:fill="auto"/>
                  <w:noWrap w:val="0"/>
                  <w:vAlign w:val="center"/>
                </w:tcPr>
                <w:p w14:paraId="54C1E09D">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847" w:type="pct"/>
                  <w:tcBorders>
                    <w:tl2br w:val="nil"/>
                    <w:tr2bl w:val="nil"/>
                  </w:tcBorders>
                  <w:shd w:val="clear" w:color="auto" w:fill="auto"/>
                  <w:noWrap w:val="0"/>
                  <w:vAlign w:val="center"/>
                </w:tcPr>
                <w:p w14:paraId="25BCA862">
                  <w:pPr>
                    <w:keepNext w:val="0"/>
                    <w:keepLines w:val="0"/>
                    <w:widowControl w:val="0"/>
                    <w:suppressLineNumbers w:val="0"/>
                    <w:adjustRightInd w:val="0"/>
                    <w:snapToGrid w:val="0"/>
                    <w:spacing w:before="0" w:beforeAutospacing="0" w:after="0" w:afterAutospacing="0"/>
                    <w:ind w:left="0" w:leftChars="0" w:right="0" w:rightChars="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3</w:t>
                  </w:r>
                </w:p>
              </w:tc>
              <w:tc>
                <w:tcPr>
                  <w:tcW w:w="931" w:type="pct"/>
                  <w:vMerge w:val="restart"/>
                  <w:tcBorders>
                    <w:tl2br w:val="nil"/>
                    <w:tr2bl w:val="nil"/>
                  </w:tcBorders>
                  <w:shd w:val="clear" w:color="auto" w:fill="auto"/>
                  <w:noWrap w:val="0"/>
                  <w:vAlign w:val="center"/>
                </w:tcPr>
                <w:p w14:paraId="73B96FE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cs="Times New Roman"/>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连帮</w:t>
                  </w:r>
                  <w:r>
                    <w:rPr>
                      <w:rFonts w:hint="eastAsia" w:ascii="Times New Roman" w:hAnsi="Times New Roman" w:cs="Times New Roman"/>
                      <w:bCs/>
                      <w:color w:val="auto"/>
                      <w:kern w:val="2"/>
                      <w:sz w:val="21"/>
                      <w:szCs w:val="21"/>
                      <w:highlight w:val="none"/>
                      <w:lang w:val="en-US" w:eastAsia="zh-CN" w:bidi="ar-SA"/>
                    </w:rPr>
                    <w:t>浇注</w:t>
                  </w:r>
                </w:p>
              </w:tc>
            </w:tr>
            <w:tr w14:paraId="33E2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shd w:val="clear" w:color="auto" w:fill="auto"/>
                  <w:noWrap w:val="0"/>
                  <w:vAlign w:val="center"/>
                </w:tcPr>
                <w:p w14:paraId="2868CA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8</w:t>
                  </w:r>
                </w:p>
              </w:tc>
              <w:tc>
                <w:tcPr>
                  <w:tcW w:w="556" w:type="pct"/>
                  <w:vMerge w:val="continue"/>
                  <w:tcBorders>
                    <w:tl2br w:val="nil"/>
                    <w:tr2bl w:val="nil"/>
                  </w:tcBorders>
                  <w:noWrap w:val="0"/>
                  <w:vAlign w:val="center"/>
                </w:tcPr>
                <w:p w14:paraId="47759C70">
                  <w:pPr>
                    <w:pStyle w:val="350"/>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bCs/>
                      <w:color w:val="auto"/>
                      <w:kern w:val="2"/>
                      <w:sz w:val="21"/>
                      <w:szCs w:val="21"/>
                      <w:highlight w:val="none"/>
                      <w:lang w:val="en-US" w:eastAsia="zh-CN" w:bidi="ar-SA"/>
                    </w:rPr>
                  </w:pPr>
                </w:p>
              </w:tc>
              <w:tc>
                <w:tcPr>
                  <w:tcW w:w="1479" w:type="pct"/>
                  <w:tcBorders>
                    <w:tl2br w:val="nil"/>
                    <w:tr2bl w:val="nil"/>
                  </w:tcBorders>
                  <w:shd w:val="clear" w:color="auto" w:fill="auto"/>
                  <w:noWrap w:val="0"/>
                  <w:vAlign w:val="center"/>
                </w:tcPr>
                <w:p w14:paraId="1CEB7552">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空压机</w:t>
                  </w:r>
                </w:p>
              </w:tc>
              <w:tc>
                <w:tcPr>
                  <w:tcW w:w="707" w:type="pct"/>
                  <w:tcBorders>
                    <w:tl2br w:val="nil"/>
                    <w:tr2bl w:val="nil"/>
                  </w:tcBorders>
                  <w:shd w:val="clear" w:color="auto" w:fill="auto"/>
                  <w:noWrap w:val="0"/>
                  <w:vAlign w:val="center"/>
                </w:tcPr>
                <w:p w14:paraId="4FA9B7E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847" w:type="pct"/>
                  <w:tcBorders>
                    <w:tl2br w:val="nil"/>
                    <w:tr2bl w:val="nil"/>
                  </w:tcBorders>
                  <w:shd w:val="clear" w:color="auto" w:fill="auto"/>
                  <w:noWrap w:val="0"/>
                  <w:vAlign w:val="center"/>
                </w:tcPr>
                <w:p w14:paraId="2A6C0E1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w:t>
                  </w:r>
                </w:p>
              </w:tc>
              <w:tc>
                <w:tcPr>
                  <w:tcW w:w="931" w:type="pct"/>
                  <w:vMerge w:val="continue"/>
                  <w:tcBorders>
                    <w:tl2br w:val="nil"/>
                    <w:tr2bl w:val="nil"/>
                  </w:tcBorders>
                  <w:shd w:val="clear" w:color="auto" w:fill="auto"/>
                  <w:noWrap w:val="0"/>
                  <w:vAlign w:val="center"/>
                </w:tcPr>
                <w:p w14:paraId="49B6EDF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cs="Times New Roman"/>
                      <w:b w:val="0"/>
                      <w:bCs/>
                      <w:color w:val="auto"/>
                      <w:kern w:val="2"/>
                      <w:sz w:val="21"/>
                      <w:szCs w:val="21"/>
                      <w:highlight w:val="none"/>
                      <w:lang w:val="en-US" w:eastAsia="zh-CN" w:bidi="ar-SA"/>
                    </w:rPr>
                  </w:pPr>
                </w:p>
              </w:tc>
            </w:tr>
            <w:tr w14:paraId="6D14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shd w:val="clear" w:color="auto" w:fill="auto"/>
                  <w:noWrap w:val="0"/>
                  <w:vAlign w:val="center"/>
                </w:tcPr>
                <w:p w14:paraId="46575D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9</w:t>
                  </w:r>
                </w:p>
              </w:tc>
              <w:tc>
                <w:tcPr>
                  <w:tcW w:w="556" w:type="pct"/>
                  <w:vMerge w:val="continue"/>
                  <w:tcBorders>
                    <w:tl2br w:val="nil"/>
                    <w:tr2bl w:val="nil"/>
                  </w:tcBorders>
                  <w:noWrap w:val="0"/>
                  <w:vAlign w:val="center"/>
                </w:tcPr>
                <w:p w14:paraId="4F0AB824">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p>
              </w:tc>
              <w:tc>
                <w:tcPr>
                  <w:tcW w:w="1479" w:type="pct"/>
                  <w:tcBorders>
                    <w:tl2br w:val="nil"/>
                    <w:tr2bl w:val="nil"/>
                  </w:tcBorders>
                  <w:shd w:val="clear" w:color="auto" w:fill="auto"/>
                  <w:noWrap w:val="0"/>
                  <w:vAlign w:val="center"/>
                </w:tcPr>
                <w:p w14:paraId="7807AFAD">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连帮鞋底模具</w:t>
                  </w:r>
                </w:p>
              </w:tc>
              <w:tc>
                <w:tcPr>
                  <w:tcW w:w="707" w:type="pct"/>
                  <w:tcBorders>
                    <w:tl2br w:val="nil"/>
                    <w:tr2bl w:val="nil"/>
                  </w:tcBorders>
                  <w:shd w:val="clear" w:color="auto" w:fill="auto"/>
                  <w:noWrap w:val="0"/>
                  <w:vAlign w:val="center"/>
                </w:tcPr>
                <w:p w14:paraId="40860F9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847" w:type="pct"/>
                  <w:tcBorders>
                    <w:tl2br w:val="nil"/>
                    <w:tr2bl w:val="nil"/>
                  </w:tcBorders>
                  <w:shd w:val="clear" w:color="auto" w:fill="auto"/>
                  <w:noWrap w:val="0"/>
                  <w:vAlign w:val="center"/>
                </w:tcPr>
                <w:p w14:paraId="49DBA53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30</w:t>
                  </w:r>
                </w:p>
              </w:tc>
              <w:tc>
                <w:tcPr>
                  <w:tcW w:w="931" w:type="pct"/>
                  <w:tcBorders>
                    <w:tl2br w:val="nil"/>
                    <w:tr2bl w:val="nil"/>
                  </w:tcBorders>
                  <w:shd w:val="clear" w:color="auto" w:fill="auto"/>
                  <w:noWrap w:val="0"/>
                  <w:vAlign w:val="center"/>
                </w:tcPr>
                <w:p w14:paraId="21AD207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上模具</w:t>
                  </w:r>
                </w:p>
              </w:tc>
            </w:tr>
            <w:tr w14:paraId="1FC6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shd w:val="clear" w:color="auto" w:fill="auto"/>
                  <w:noWrap w:val="0"/>
                  <w:vAlign w:val="center"/>
                </w:tcPr>
                <w:p w14:paraId="2DE843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10</w:t>
                  </w:r>
                </w:p>
              </w:tc>
              <w:tc>
                <w:tcPr>
                  <w:tcW w:w="556" w:type="pct"/>
                  <w:vMerge w:val="continue"/>
                  <w:tcBorders>
                    <w:tl2br w:val="nil"/>
                    <w:tr2bl w:val="nil"/>
                  </w:tcBorders>
                  <w:noWrap w:val="0"/>
                  <w:vAlign w:val="center"/>
                </w:tcPr>
                <w:p w14:paraId="47C282C3">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p>
              </w:tc>
              <w:tc>
                <w:tcPr>
                  <w:tcW w:w="1479" w:type="pct"/>
                  <w:tcBorders>
                    <w:tl2br w:val="nil"/>
                    <w:tr2bl w:val="nil"/>
                  </w:tcBorders>
                  <w:shd w:val="clear" w:color="auto" w:fill="auto"/>
                  <w:noWrap w:val="0"/>
                  <w:vAlign w:val="center"/>
                </w:tcPr>
                <w:p w14:paraId="52DF54AC">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鞋底修边机</w:t>
                  </w:r>
                </w:p>
              </w:tc>
              <w:tc>
                <w:tcPr>
                  <w:tcW w:w="707" w:type="pct"/>
                  <w:tcBorders>
                    <w:tl2br w:val="nil"/>
                    <w:tr2bl w:val="nil"/>
                  </w:tcBorders>
                  <w:shd w:val="clear" w:color="auto" w:fill="auto"/>
                  <w:noWrap w:val="0"/>
                  <w:vAlign w:val="center"/>
                </w:tcPr>
                <w:p w14:paraId="15340CD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847" w:type="pct"/>
                  <w:tcBorders>
                    <w:tl2br w:val="nil"/>
                    <w:tr2bl w:val="nil"/>
                  </w:tcBorders>
                  <w:shd w:val="clear" w:color="auto" w:fill="auto"/>
                  <w:noWrap w:val="0"/>
                  <w:vAlign w:val="center"/>
                </w:tcPr>
                <w:p w14:paraId="6282A4E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w:t>
                  </w:r>
                </w:p>
              </w:tc>
              <w:tc>
                <w:tcPr>
                  <w:tcW w:w="931" w:type="pct"/>
                  <w:tcBorders>
                    <w:tl2br w:val="nil"/>
                    <w:tr2bl w:val="nil"/>
                  </w:tcBorders>
                  <w:shd w:val="clear" w:color="auto" w:fill="auto"/>
                  <w:noWrap w:val="0"/>
                  <w:vAlign w:val="center"/>
                </w:tcPr>
                <w:p w14:paraId="659382A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修边</w:t>
                  </w:r>
                </w:p>
              </w:tc>
            </w:tr>
            <w:tr w14:paraId="2705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shd w:val="clear" w:color="auto" w:fill="auto"/>
                  <w:noWrap w:val="0"/>
                  <w:vAlign w:val="center"/>
                </w:tcPr>
                <w:p w14:paraId="15C1E6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11</w:t>
                  </w:r>
                </w:p>
              </w:tc>
              <w:tc>
                <w:tcPr>
                  <w:tcW w:w="556" w:type="pct"/>
                  <w:vMerge w:val="restart"/>
                  <w:tcBorders>
                    <w:tl2br w:val="nil"/>
                    <w:tr2bl w:val="nil"/>
                  </w:tcBorders>
                  <w:noWrap w:val="0"/>
                  <w:vAlign w:val="center"/>
                </w:tcPr>
                <w:p w14:paraId="4A650972">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鞋帮面</w:t>
                  </w:r>
                </w:p>
              </w:tc>
              <w:tc>
                <w:tcPr>
                  <w:tcW w:w="1479" w:type="pct"/>
                  <w:tcBorders>
                    <w:tl2br w:val="nil"/>
                    <w:tr2bl w:val="nil"/>
                  </w:tcBorders>
                  <w:shd w:val="clear" w:color="auto" w:fill="auto"/>
                  <w:noWrap w:val="0"/>
                  <w:vAlign w:val="center"/>
                </w:tcPr>
                <w:p w14:paraId="42704614">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鞋帮面裁剪机</w:t>
                  </w:r>
                </w:p>
              </w:tc>
              <w:tc>
                <w:tcPr>
                  <w:tcW w:w="707" w:type="pct"/>
                  <w:tcBorders>
                    <w:tl2br w:val="nil"/>
                    <w:tr2bl w:val="nil"/>
                  </w:tcBorders>
                  <w:shd w:val="clear" w:color="auto" w:fill="auto"/>
                  <w:noWrap w:val="0"/>
                  <w:vAlign w:val="center"/>
                </w:tcPr>
                <w:p w14:paraId="06B7C92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847" w:type="pct"/>
                  <w:tcBorders>
                    <w:tl2br w:val="nil"/>
                    <w:tr2bl w:val="nil"/>
                  </w:tcBorders>
                  <w:shd w:val="clear" w:color="auto" w:fill="auto"/>
                  <w:noWrap w:val="0"/>
                  <w:vAlign w:val="center"/>
                </w:tcPr>
                <w:p w14:paraId="3DD3B97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2</w:t>
                  </w:r>
                </w:p>
              </w:tc>
              <w:tc>
                <w:tcPr>
                  <w:tcW w:w="931" w:type="pct"/>
                  <w:vMerge w:val="restart"/>
                  <w:tcBorders>
                    <w:tl2br w:val="nil"/>
                    <w:tr2bl w:val="nil"/>
                  </w:tcBorders>
                  <w:shd w:val="clear" w:color="auto" w:fill="auto"/>
                  <w:noWrap w:val="0"/>
                  <w:vAlign w:val="center"/>
                </w:tcPr>
                <w:p w14:paraId="481B38D8">
                  <w:pPr>
                    <w:keepNext w:val="0"/>
                    <w:keepLines w:val="0"/>
                    <w:widowControl w:val="0"/>
                    <w:suppressLineNumbers w:val="0"/>
                    <w:adjustRightInd w:val="0"/>
                    <w:snapToGrid w:val="0"/>
                    <w:spacing w:before="0" w:beforeAutospacing="0" w:after="0" w:afterAutospacing="0"/>
                    <w:ind w:left="0" w:leftChars="0" w:right="0" w:rightChars="0"/>
                    <w:jc w:val="center"/>
                    <w:rPr>
                      <w:rFonts w:hint="default"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裁剪缝制</w:t>
                  </w:r>
                </w:p>
              </w:tc>
            </w:tr>
            <w:tr w14:paraId="7A2C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shd w:val="clear" w:color="auto" w:fill="auto"/>
                  <w:noWrap w:val="0"/>
                  <w:vAlign w:val="center"/>
                </w:tcPr>
                <w:p w14:paraId="055997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12</w:t>
                  </w:r>
                </w:p>
              </w:tc>
              <w:tc>
                <w:tcPr>
                  <w:tcW w:w="556" w:type="pct"/>
                  <w:vMerge w:val="continue"/>
                  <w:tcBorders>
                    <w:tl2br w:val="nil"/>
                    <w:tr2bl w:val="nil"/>
                  </w:tcBorders>
                  <w:noWrap w:val="0"/>
                  <w:vAlign w:val="center"/>
                </w:tcPr>
                <w:p w14:paraId="129CA59D">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p>
              </w:tc>
              <w:tc>
                <w:tcPr>
                  <w:tcW w:w="1479" w:type="pct"/>
                  <w:tcBorders>
                    <w:tl2br w:val="nil"/>
                    <w:tr2bl w:val="nil"/>
                  </w:tcBorders>
                  <w:shd w:val="clear" w:color="auto" w:fill="auto"/>
                  <w:noWrap w:val="0"/>
                  <w:vAlign w:val="center"/>
                </w:tcPr>
                <w:p w14:paraId="27742D86">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鞋帮面缝纫机</w:t>
                  </w:r>
                </w:p>
              </w:tc>
              <w:tc>
                <w:tcPr>
                  <w:tcW w:w="707" w:type="pct"/>
                  <w:tcBorders>
                    <w:tl2br w:val="nil"/>
                    <w:tr2bl w:val="nil"/>
                  </w:tcBorders>
                  <w:shd w:val="clear" w:color="auto" w:fill="auto"/>
                  <w:noWrap w:val="0"/>
                  <w:vAlign w:val="center"/>
                </w:tcPr>
                <w:p w14:paraId="1A9264B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847" w:type="pct"/>
                  <w:tcBorders>
                    <w:tl2br w:val="nil"/>
                    <w:tr2bl w:val="nil"/>
                  </w:tcBorders>
                  <w:shd w:val="clear" w:color="auto" w:fill="auto"/>
                  <w:noWrap w:val="0"/>
                  <w:vAlign w:val="center"/>
                </w:tcPr>
                <w:p w14:paraId="0A0E8D60">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4</w:t>
                  </w:r>
                </w:p>
              </w:tc>
              <w:tc>
                <w:tcPr>
                  <w:tcW w:w="931" w:type="pct"/>
                  <w:vMerge w:val="continue"/>
                  <w:tcBorders>
                    <w:tl2br w:val="nil"/>
                    <w:tr2bl w:val="nil"/>
                  </w:tcBorders>
                  <w:shd w:val="clear" w:color="auto" w:fill="auto"/>
                  <w:noWrap w:val="0"/>
                  <w:vAlign w:val="center"/>
                </w:tcPr>
                <w:p w14:paraId="0BA9BFC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p>
              </w:tc>
            </w:tr>
            <w:tr w14:paraId="2AC3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78" w:type="pct"/>
                  <w:tcBorders>
                    <w:tl2br w:val="nil"/>
                    <w:tr2bl w:val="nil"/>
                  </w:tcBorders>
                  <w:shd w:val="clear" w:color="auto" w:fill="auto"/>
                  <w:noWrap w:val="0"/>
                  <w:vAlign w:val="center"/>
                </w:tcPr>
                <w:p w14:paraId="5C869E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13</w:t>
                  </w:r>
                </w:p>
              </w:tc>
              <w:tc>
                <w:tcPr>
                  <w:tcW w:w="556" w:type="pct"/>
                  <w:vMerge w:val="restart"/>
                  <w:tcBorders>
                    <w:tl2br w:val="nil"/>
                    <w:tr2bl w:val="nil"/>
                  </w:tcBorders>
                  <w:noWrap w:val="0"/>
                  <w:vAlign w:val="center"/>
                </w:tcPr>
                <w:p w14:paraId="58154BA2">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防静电无尘服、羽绒服、棉服</w:t>
                  </w:r>
                </w:p>
              </w:tc>
              <w:tc>
                <w:tcPr>
                  <w:tcW w:w="1479" w:type="pct"/>
                  <w:tcBorders>
                    <w:tl2br w:val="nil"/>
                    <w:tr2bl w:val="nil"/>
                  </w:tcBorders>
                  <w:shd w:val="clear" w:color="auto" w:fill="auto"/>
                  <w:noWrap w:val="0"/>
                  <w:vAlign w:val="center"/>
                </w:tcPr>
                <w:p w14:paraId="476DF77B">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自动拉布机</w:t>
                  </w:r>
                </w:p>
              </w:tc>
              <w:tc>
                <w:tcPr>
                  <w:tcW w:w="707" w:type="pct"/>
                  <w:tcBorders>
                    <w:tl2br w:val="nil"/>
                    <w:tr2bl w:val="nil"/>
                  </w:tcBorders>
                  <w:shd w:val="clear" w:color="auto" w:fill="auto"/>
                  <w:noWrap w:val="0"/>
                  <w:vAlign w:val="center"/>
                </w:tcPr>
                <w:p w14:paraId="077D27CB">
                  <w:pPr>
                    <w:keepNext w:val="0"/>
                    <w:keepLines w:val="0"/>
                    <w:widowControl w:val="0"/>
                    <w:suppressLineNumbers w:val="0"/>
                    <w:adjustRightInd w:val="0"/>
                    <w:snapToGrid w:val="0"/>
                    <w:spacing w:before="0" w:beforeAutospacing="0" w:after="0" w:afterAutospacing="0"/>
                    <w:ind w:left="0" w:leftChars="0" w:right="0" w:rightChars="0"/>
                    <w:jc w:val="center"/>
                    <w:rPr>
                      <w:color w:val="auto"/>
                      <w:szCs w:val="22"/>
                      <w:highlight w:val="none"/>
                      <w:lang w:bidi="ar"/>
                    </w:rPr>
                  </w:pPr>
                  <w:r>
                    <w:rPr>
                      <w:rFonts w:hint="eastAsia" w:cs="Times New Roman"/>
                      <w:color w:val="auto"/>
                      <w:sz w:val="21"/>
                      <w:szCs w:val="21"/>
                      <w:highlight w:val="none"/>
                      <w:lang w:val="en-US" w:eastAsia="zh-CN"/>
                    </w:rPr>
                    <w:t>/</w:t>
                  </w:r>
                </w:p>
              </w:tc>
              <w:tc>
                <w:tcPr>
                  <w:tcW w:w="847" w:type="pct"/>
                  <w:tcBorders>
                    <w:tl2br w:val="nil"/>
                    <w:tr2bl w:val="nil"/>
                  </w:tcBorders>
                  <w:shd w:val="clear" w:color="auto" w:fill="auto"/>
                  <w:noWrap w:val="0"/>
                  <w:vAlign w:val="center"/>
                </w:tcPr>
                <w:p w14:paraId="67C1049E">
                  <w:pPr>
                    <w:keepNext w:val="0"/>
                    <w:keepLines w:val="0"/>
                    <w:widowControl w:val="0"/>
                    <w:suppressLineNumbers w:val="0"/>
                    <w:adjustRightInd w:val="0"/>
                    <w:snapToGrid w:val="0"/>
                    <w:spacing w:before="0" w:beforeAutospacing="0" w:after="0" w:afterAutospacing="0"/>
                    <w:ind w:left="0" w:leftChars="0" w:right="0" w:rightChars="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4</w:t>
                  </w:r>
                </w:p>
              </w:tc>
              <w:tc>
                <w:tcPr>
                  <w:tcW w:w="931" w:type="pct"/>
                  <w:vMerge w:val="restart"/>
                  <w:tcBorders>
                    <w:tl2br w:val="nil"/>
                    <w:tr2bl w:val="nil"/>
                  </w:tcBorders>
                  <w:shd w:val="clear" w:color="auto" w:fill="auto"/>
                  <w:noWrap w:val="0"/>
                  <w:vAlign w:val="center"/>
                </w:tcPr>
                <w:p w14:paraId="133B398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裁剪缝制</w:t>
                  </w:r>
                </w:p>
              </w:tc>
            </w:tr>
            <w:tr w14:paraId="542B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shd w:val="clear" w:color="auto" w:fill="auto"/>
                  <w:noWrap w:val="0"/>
                  <w:vAlign w:val="center"/>
                </w:tcPr>
                <w:p w14:paraId="66E2C8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14</w:t>
                  </w:r>
                </w:p>
              </w:tc>
              <w:tc>
                <w:tcPr>
                  <w:tcW w:w="556" w:type="pct"/>
                  <w:vMerge w:val="continue"/>
                  <w:tcBorders>
                    <w:tl2br w:val="nil"/>
                    <w:tr2bl w:val="nil"/>
                  </w:tcBorders>
                  <w:noWrap w:val="0"/>
                  <w:vAlign w:val="center"/>
                </w:tcPr>
                <w:p w14:paraId="3AAD3BC0">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p>
              </w:tc>
              <w:tc>
                <w:tcPr>
                  <w:tcW w:w="1479" w:type="pct"/>
                  <w:tcBorders>
                    <w:tl2br w:val="nil"/>
                    <w:tr2bl w:val="nil"/>
                  </w:tcBorders>
                  <w:shd w:val="clear" w:color="auto" w:fill="auto"/>
                  <w:noWrap w:val="0"/>
                  <w:vAlign w:val="center"/>
                </w:tcPr>
                <w:p w14:paraId="5C60C742">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切割机</w:t>
                  </w:r>
                </w:p>
              </w:tc>
              <w:tc>
                <w:tcPr>
                  <w:tcW w:w="707" w:type="pct"/>
                  <w:tcBorders>
                    <w:tl2br w:val="nil"/>
                    <w:tr2bl w:val="nil"/>
                  </w:tcBorders>
                  <w:shd w:val="clear" w:color="auto" w:fill="auto"/>
                  <w:noWrap w:val="0"/>
                  <w:vAlign w:val="center"/>
                </w:tcPr>
                <w:p w14:paraId="22AA565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color w:val="auto"/>
                      <w:szCs w:val="22"/>
                      <w:highlight w:val="none"/>
                      <w:lang w:bidi="ar"/>
                    </w:rPr>
                    <w:t>CZ-20</w:t>
                  </w:r>
                </w:p>
              </w:tc>
              <w:tc>
                <w:tcPr>
                  <w:tcW w:w="847" w:type="pct"/>
                  <w:tcBorders>
                    <w:tl2br w:val="nil"/>
                    <w:tr2bl w:val="nil"/>
                  </w:tcBorders>
                  <w:shd w:val="clear" w:color="auto" w:fill="auto"/>
                  <w:noWrap w:val="0"/>
                  <w:vAlign w:val="center"/>
                </w:tcPr>
                <w:p w14:paraId="49406A46">
                  <w:pPr>
                    <w:keepNext w:val="0"/>
                    <w:keepLines w:val="0"/>
                    <w:widowControl w:val="0"/>
                    <w:suppressLineNumbers w:val="0"/>
                    <w:adjustRightInd w:val="0"/>
                    <w:snapToGrid w:val="0"/>
                    <w:spacing w:before="0" w:beforeAutospacing="0" w:after="0" w:afterAutospacing="0"/>
                    <w:ind w:left="0" w:leftChars="0" w:right="0" w:rightChars="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4</w:t>
                  </w:r>
                </w:p>
              </w:tc>
              <w:tc>
                <w:tcPr>
                  <w:tcW w:w="931" w:type="pct"/>
                  <w:vMerge w:val="continue"/>
                  <w:tcBorders>
                    <w:tl2br w:val="nil"/>
                    <w:tr2bl w:val="nil"/>
                  </w:tcBorders>
                  <w:shd w:val="clear" w:color="auto" w:fill="auto"/>
                  <w:noWrap w:val="0"/>
                  <w:vAlign w:val="center"/>
                </w:tcPr>
                <w:p w14:paraId="1D98A6F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cs="Times New Roman"/>
                      <w:bCs/>
                      <w:color w:val="auto"/>
                      <w:kern w:val="2"/>
                      <w:sz w:val="21"/>
                      <w:szCs w:val="21"/>
                      <w:highlight w:val="none"/>
                      <w:lang w:val="en-US" w:eastAsia="zh-CN" w:bidi="ar-SA"/>
                    </w:rPr>
                  </w:pPr>
                </w:p>
              </w:tc>
            </w:tr>
            <w:tr w14:paraId="4C86B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shd w:val="clear" w:color="auto" w:fill="auto"/>
                  <w:noWrap w:val="0"/>
                  <w:vAlign w:val="center"/>
                </w:tcPr>
                <w:p w14:paraId="2C9723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15</w:t>
                  </w:r>
                </w:p>
              </w:tc>
              <w:tc>
                <w:tcPr>
                  <w:tcW w:w="556" w:type="pct"/>
                  <w:vMerge w:val="continue"/>
                  <w:tcBorders>
                    <w:tl2br w:val="nil"/>
                    <w:tr2bl w:val="nil"/>
                  </w:tcBorders>
                  <w:noWrap w:val="0"/>
                  <w:vAlign w:val="center"/>
                </w:tcPr>
                <w:p w14:paraId="0C74721A">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p>
              </w:tc>
              <w:tc>
                <w:tcPr>
                  <w:tcW w:w="1479" w:type="pct"/>
                  <w:tcBorders>
                    <w:tl2br w:val="nil"/>
                    <w:tr2bl w:val="nil"/>
                  </w:tcBorders>
                  <w:shd w:val="clear" w:color="auto" w:fill="auto"/>
                  <w:noWrap w:val="0"/>
                  <w:vAlign w:val="center"/>
                </w:tcPr>
                <w:p w14:paraId="02E3123E">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服装缝纫机</w:t>
                  </w:r>
                </w:p>
              </w:tc>
              <w:tc>
                <w:tcPr>
                  <w:tcW w:w="707" w:type="pct"/>
                  <w:tcBorders>
                    <w:tl2br w:val="nil"/>
                    <w:tr2bl w:val="nil"/>
                  </w:tcBorders>
                  <w:shd w:val="clear" w:color="auto" w:fill="auto"/>
                  <w:noWrap w:val="0"/>
                  <w:vAlign w:val="center"/>
                </w:tcPr>
                <w:p w14:paraId="48C33AF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szCs w:val="22"/>
                      <w:highlight w:val="none"/>
                      <w:lang w:val="en-US" w:eastAsia="zh-CN" w:bidi="ar"/>
                    </w:rPr>
                    <w:t xml:space="preserve">星驰3020 </w:t>
                  </w:r>
                </w:p>
              </w:tc>
              <w:tc>
                <w:tcPr>
                  <w:tcW w:w="847" w:type="pct"/>
                  <w:tcBorders>
                    <w:tl2br w:val="nil"/>
                    <w:tr2bl w:val="nil"/>
                  </w:tcBorders>
                  <w:shd w:val="clear" w:color="auto" w:fill="auto"/>
                  <w:noWrap w:val="0"/>
                  <w:vAlign w:val="center"/>
                </w:tcPr>
                <w:p w14:paraId="2F4A9890">
                  <w:pPr>
                    <w:keepNext w:val="0"/>
                    <w:keepLines w:val="0"/>
                    <w:widowControl w:val="0"/>
                    <w:suppressLineNumbers w:val="0"/>
                    <w:adjustRightInd w:val="0"/>
                    <w:snapToGrid w:val="0"/>
                    <w:spacing w:before="0" w:beforeAutospacing="0" w:after="0" w:afterAutospacing="0"/>
                    <w:ind w:left="0" w:leftChars="0" w:right="0" w:rightChars="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30</w:t>
                  </w:r>
                </w:p>
              </w:tc>
              <w:tc>
                <w:tcPr>
                  <w:tcW w:w="931" w:type="pct"/>
                  <w:vMerge w:val="continue"/>
                  <w:tcBorders>
                    <w:tl2br w:val="nil"/>
                    <w:tr2bl w:val="nil"/>
                  </w:tcBorders>
                  <w:shd w:val="clear" w:color="auto" w:fill="auto"/>
                  <w:noWrap w:val="0"/>
                  <w:vAlign w:val="center"/>
                </w:tcPr>
                <w:p w14:paraId="5F9BC59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cs="Times New Roman"/>
                      <w:bCs/>
                      <w:color w:val="auto"/>
                      <w:kern w:val="2"/>
                      <w:sz w:val="21"/>
                      <w:szCs w:val="21"/>
                      <w:highlight w:val="none"/>
                      <w:lang w:val="en-US" w:eastAsia="zh-CN" w:bidi="ar-SA"/>
                    </w:rPr>
                  </w:pPr>
                </w:p>
              </w:tc>
            </w:tr>
            <w:tr w14:paraId="22F4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shd w:val="clear" w:color="auto" w:fill="auto"/>
                  <w:noWrap w:val="0"/>
                  <w:vAlign w:val="center"/>
                </w:tcPr>
                <w:p w14:paraId="08751C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16</w:t>
                  </w:r>
                </w:p>
              </w:tc>
              <w:tc>
                <w:tcPr>
                  <w:tcW w:w="556" w:type="pct"/>
                  <w:vMerge w:val="continue"/>
                  <w:tcBorders>
                    <w:tl2br w:val="nil"/>
                    <w:tr2bl w:val="nil"/>
                  </w:tcBorders>
                  <w:noWrap w:val="0"/>
                  <w:vAlign w:val="center"/>
                </w:tcPr>
                <w:p w14:paraId="6B4D33D2">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p>
              </w:tc>
              <w:tc>
                <w:tcPr>
                  <w:tcW w:w="1479" w:type="pct"/>
                  <w:tcBorders>
                    <w:tl2br w:val="nil"/>
                    <w:tr2bl w:val="nil"/>
                  </w:tcBorders>
                  <w:shd w:val="clear" w:color="auto" w:fill="auto"/>
                  <w:noWrap w:val="0"/>
                  <w:vAlign w:val="center"/>
                </w:tcPr>
                <w:p w14:paraId="08AC3E6C">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锁边机</w:t>
                  </w:r>
                </w:p>
              </w:tc>
              <w:tc>
                <w:tcPr>
                  <w:tcW w:w="707" w:type="pct"/>
                  <w:tcBorders>
                    <w:tl2br w:val="nil"/>
                    <w:tr2bl w:val="nil"/>
                  </w:tcBorders>
                  <w:shd w:val="clear" w:color="auto" w:fill="auto"/>
                  <w:noWrap w:val="0"/>
                  <w:vAlign w:val="center"/>
                </w:tcPr>
                <w:p w14:paraId="1C152382">
                  <w:pPr>
                    <w:keepNext w:val="0"/>
                    <w:keepLines w:val="0"/>
                    <w:widowControl w:val="0"/>
                    <w:suppressLineNumbers w:val="0"/>
                    <w:adjustRightInd w:val="0"/>
                    <w:snapToGrid w:val="0"/>
                    <w:spacing w:before="0" w:beforeAutospacing="0" w:after="0" w:afterAutospacing="0"/>
                    <w:ind w:left="0" w:leftChars="0" w:right="0" w:rightChars="0"/>
                    <w:jc w:val="center"/>
                    <w:rPr>
                      <w:color w:val="auto"/>
                      <w:szCs w:val="22"/>
                      <w:highlight w:val="none"/>
                      <w:lang w:bidi="ar"/>
                    </w:rPr>
                  </w:pPr>
                  <w:r>
                    <w:rPr>
                      <w:color w:val="auto"/>
                      <w:szCs w:val="22"/>
                      <w:highlight w:val="none"/>
                      <w:lang w:bidi="ar"/>
                    </w:rPr>
                    <w:t>DT-3</w:t>
                  </w:r>
                </w:p>
              </w:tc>
              <w:tc>
                <w:tcPr>
                  <w:tcW w:w="847" w:type="pct"/>
                  <w:tcBorders>
                    <w:tl2br w:val="nil"/>
                    <w:tr2bl w:val="nil"/>
                  </w:tcBorders>
                  <w:shd w:val="clear" w:color="auto" w:fill="auto"/>
                  <w:noWrap w:val="0"/>
                  <w:vAlign w:val="center"/>
                </w:tcPr>
                <w:p w14:paraId="6CBB53ED">
                  <w:pPr>
                    <w:keepNext w:val="0"/>
                    <w:keepLines w:val="0"/>
                    <w:widowControl w:val="0"/>
                    <w:suppressLineNumbers w:val="0"/>
                    <w:adjustRightInd w:val="0"/>
                    <w:snapToGrid w:val="0"/>
                    <w:spacing w:before="0" w:beforeAutospacing="0" w:after="0" w:afterAutospacing="0"/>
                    <w:ind w:left="0" w:leftChars="0" w:right="0" w:rightChars="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10</w:t>
                  </w:r>
                </w:p>
              </w:tc>
              <w:tc>
                <w:tcPr>
                  <w:tcW w:w="931" w:type="pct"/>
                  <w:tcBorders>
                    <w:tl2br w:val="nil"/>
                    <w:tr2bl w:val="nil"/>
                  </w:tcBorders>
                  <w:shd w:val="clear" w:color="auto" w:fill="auto"/>
                  <w:noWrap w:val="0"/>
                  <w:vAlign w:val="center"/>
                </w:tcPr>
                <w:p w14:paraId="79896CB0">
                  <w:pPr>
                    <w:keepNext w:val="0"/>
                    <w:keepLines w:val="0"/>
                    <w:widowControl w:val="0"/>
                    <w:suppressLineNumbers w:val="0"/>
                    <w:adjustRightInd w:val="0"/>
                    <w:snapToGrid w:val="0"/>
                    <w:spacing w:before="0" w:beforeAutospacing="0" w:after="0" w:afterAutospacing="0"/>
                    <w:ind w:left="0" w:leftChars="0" w:right="0" w:rightChars="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封口</w:t>
                  </w:r>
                </w:p>
              </w:tc>
            </w:tr>
            <w:tr w14:paraId="525C4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shd w:val="clear" w:color="auto" w:fill="auto"/>
                  <w:noWrap w:val="0"/>
                  <w:vAlign w:val="center"/>
                </w:tcPr>
                <w:p w14:paraId="4E440E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17</w:t>
                  </w:r>
                </w:p>
              </w:tc>
              <w:tc>
                <w:tcPr>
                  <w:tcW w:w="556" w:type="pct"/>
                  <w:vMerge w:val="continue"/>
                  <w:tcBorders>
                    <w:tl2br w:val="nil"/>
                    <w:tr2bl w:val="nil"/>
                  </w:tcBorders>
                  <w:noWrap w:val="0"/>
                  <w:vAlign w:val="center"/>
                </w:tcPr>
                <w:p w14:paraId="3A985643">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p>
              </w:tc>
              <w:tc>
                <w:tcPr>
                  <w:tcW w:w="1479" w:type="pct"/>
                  <w:tcBorders>
                    <w:tl2br w:val="nil"/>
                    <w:tr2bl w:val="nil"/>
                  </w:tcBorders>
                  <w:noWrap w:val="0"/>
                  <w:vAlign w:val="center"/>
                </w:tcPr>
                <w:p w14:paraId="334AC8CA">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自动充绒机</w:t>
                  </w:r>
                </w:p>
              </w:tc>
              <w:tc>
                <w:tcPr>
                  <w:tcW w:w="707" w:type="pct"/>
                  <w:tcBorders>
                    <w:tl2br w:val="nil"/>
                    <w:tr2bl w:val="nil"/>
                  </w:tcBorders>
                  <w:noWrap w:val="0"/>
                  <w:vAlign w:val="center"/>
                </w:tcPr>
                <w:p w14:paraId="3BAF9AF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color w:val="auto"/>
                      <w:szCs w:val="22"/>
                      <w:highlight w:val="none"/>
                      <w:lang w:bidi="ar"/>
                    </w:rPr>
                    <w:t>1000</w:t>
                  </w:r>
                </w:p>
              </w:tc>
              <w:tc>
                <w:tcPr>
                  <w:tcW w:w="847" w:type="pct"/>
                  <w:tcBorders>
                    <w:tl2br w:val="nil"/>
                    <w:tr2bl w:val="nil"/>
                  </w:tcBorders>
                  <w:noWrap w:val="0"/>
                  <w:vAlign w:val="center"/>
                </w:tcPr>
                <w:p w14:paraId="35CA663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 xml:space="preserve">2 </w:t>
                  </w:r>
                </w:p>
              </w:tc>
              <w:tc>
                <w:tcPr>
                  <w:tcW w:w="931" w:type="pct"/>
                  <w:tcBorders>
                    <w:tl2br w:val="nil"/>
                    <w:tr2bl w:val="nil"/>
                  </w:tcBorders>
                  <w:noWrap w:val="0"/>
                  <w:vAlign w:val="center"/>
                </w:tcPr>
                <w:p w14:paraId="1A7CF470">
                  <w:pPr>
                    <w:keepNext w:val="0"/>
                    <w:keepLines w:val="0"/>
                    <w:widowControl w:val="0"/>
                    <w:suppressLineNumbers w:val="0"/>
                    <w:adjustRightInd w:val="0"/>
                    <w:snapToGrid w:val="0"/>
                    <w:spacing w:before="0" w:beforeAutospacing="0" w:after="0" w:afterAutospacing="0"/>
                    <w:ind w:left="0" w:right="0"/>
                    <w:jc w:val="center"/>
                    <w:rPr>
                      <w:rFonts w:hint="default"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充绒</w:t>
                  </w:r>
                  <w:r>
                    <w:rPr>
                      <w:rFonts w:hint="eastAsia" w:cs="Times New Roman"/>
                      <w:bCs/>
                      <w:color w:val="auto"/>
                      <w:kern w:val="2"/>
                      <w:sz w:val="21"/>
                      <w:szCs w:val="21"/>
                      <w:highlight w:val="none"/>
                      <w:lang w:val="en-US" w:eastAsia="zh-CN" w:bidi="ar-SA"/>
                    </w:rPr>
                    <w:t>、充棉</w:t>
                  </w:r>
                </w:p>
              </w:tc>
            </w:tr>
            <w:tr w14:paraId="6081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shd w:val="clear" w:color="auto" w:fill="auto"/>
                  <w:noWrap w:val="0"/>
                  <w:vAlign w:val="center"/>
                </w:tcPr>
                <w:p w14:paraId="2C8530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18</w:t>
                  </w:r>
                </w:p>
              </w:tc>
              <w:tc>
                <w:tcPr>
                  <w:tcW w:w="556" w:type="pct"/>
                  <w:vMerge w:val="continue"/>
                  <w:tcBorders>
                    <w:tl2br w:val="nil"/>
                    <w:tr2bl w:val="nil"/>
                  </w:tcBorders>
                  <w:noWrap w:val="0"/>
                  <w:vAlign w:val="center"/>
                </w:tcPr>
                <w:p w14:paraId="06B6B7B5">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p>
              </w:tc>
              <w:tc>
                <w:tcPr>
                  <w:tcW w:w="1479" w:type="pct"/>
                  <w:tcBorders>
                    <w:tl2br w:val="nil"/>
                    <w:tr2bl w:val="nil"/>
                  </w:tcBorders>
                  <w:noWrap w:val="0"/>
                  <w:vAlign w:val="center"/>
                </w:tcPr>
                <w:p w14:paraId="6662EDE0">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空压机</w:t>
                  </w:r>
                </w:p>
              </w:tc>
              <w:tc>
                <w:tcPr>
                  <w:tcW w:w="707" w:type="pct"/>
                  <w:tcBorders>
                    <w:tl2br w:val="nil"/>
                    <w:tr2bl w:val="nil"/>
                  </w:tcBorders>
                  <w:noWrap w:val="0"/>
                  <w:vAlign w:val="center"/>
                </w:tcPr>
                <w:p w14:paraId="69CBD368">
                  <w:pPr>
                    <w:keepNext w:val="0"/>
                    <w:keepLines w:val="0"/>
                    <w:widowControl w:val="0"/>
                    <w:suppressLineNumbers w:val="0"/>
                    <w:adjustRightInd w:val="0"/>
                    <w:snapToGrid w:val="0"/>
                    <w:spacing w:before="0" w:beforeAutospacing="0" w:after="0" w:afterAutospacing="0"/>
                    <w:ind w:left="0" w:right="0"/>
                    <w:jc w:val="center"/>
                    <w:rPr>
                      <w:rFonts w:hint="eastAsia" w:eastAsia="宋体"/>
                      <w:color w:val="auto"/>
                      <w:szCs w:val="22"/>
                      <w:highlight w:val="none"/>
                      <w:lang w:val="en-US" w:eastAsia="zh-CN" w:bidi="ar"/>
                    </w:rPr>
                  </w:pPr>
                  <w:r>
                    <w:rPr>
                      <w:rFonts w:hint="eastAsia"/>
                      <w:color w:val="auto"/>
                      <w:szCs w:val="22"/>
                      <w:highlight w:val="none"/>
                      <w:lang w:val="en-US" w:eastAsia="zh-CN" w:bidi="ar"/>
                    </w:rPr>
                    <w:t>/</w:t>
                  </w:r>
                </w:p>
              </w:tc>
              <w:tc>
                <w:tcPr>
                  <w:tcW w:w="847" w:type="pct"/>
                  <w:tcBorders>
                    <w:tl2br w:val="nil"/>
                    <w:tr2bl w:val="nil"/>
                  </w:tcBorders>
                  <w:noWrap w:val="0"/>
                  <w:vAlign w:val="center"/>
                </w:tcPr>
                <w:p w14:paraId="0E45C10F">
                  <w:pPr>
                    <w:keepNext w:val="0"/>
                    <w:keepLines w:val="0"/>
                    <w:widowControl w:val="0"/>
                    <w:suppressLineNumbers w:val="0"/>
                    <w:adjustRightInd w:val="0"/>
                    <w:snapToGrid w:val="0"/>
                    <w:spacing w:before="0" w:beforeAutospacing="0" w:after="0" w:afterAutospacing="0"/>
                    <w:ind w:left="0" w:right="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w:t>
                  </w:r>
                </w:p>
              </w:tc>
              <w:tc>
                <w:tcPr>
                  <w:tcW w:w="931" w:type="pct"/>
                  <w:tcBorders>
                    <w:tl2br w:val="nil"/>
                    <w:tr2bl w:val="nil"/>
                  </w:tcBorders>
                  <w:noWrap w:val="0"/>
                  <w:vAlign w:val="center"/>
                </w:tcPr>
                <w:p w14:paraId="7E7BD9C3">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充绒</w:t>
                  </w:r>
                </w:p>
              </w:tc>
            </w:tr>
            <w:tr w14:paraId="7BC8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noWrap w:val="0"/>
                  <w:vAlign w:val="center"/>
                </w:tcPr>
                <w:p w14:paraId="272406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outlineLvl w:val="9"/>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19</w:t>
                  </w:r>
                </w:p>
              </w:tc>
              <w:tc>
                <w:tcPr>
                  <w:tcW w:w="556" w:type="pct"/>
                  <w:vMerge w:val="continue"/>
                  <w:tcBorders>
                    <w:tl2br w:val="nil"/>
                    <w:tr2bl w:val="nil"/>
                  </w:tcBorders>
                  <w:noWrap w:val="0"/>
                  <w:vAlign w:val="center"/>
                </w:tcPr>
                <w:p w14:paraId="18815E9C">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p>
              </w:tc>
              <w:tc>
                <w:tcPr>
                  <w:tcW w:w="1479" w:type="pct"/>
                  <w:tcBorders>
                    <w:tl2br w:val="nil"/>
                    <w:tr2bl w:val="nil"/>
                  </w:tcBorders>
                  <w:noWrap w:val="0"/>
                  <w:vAlign w:val="center"/>
                </w:tcPr>
                <w:p w14:paraId="53C6DB75">
                  <w:pPr>
                    <w:pStyle w:val="35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钉扣机</w:t>
                  </w:r>
                </w:p>
              </w:tc>
              <w:tc>
                <w:tcPr>
                  <w:tcW w:w="707" w:type="pct"/>
                  <w:tcBorders>
                    <w:tl2br w:val="nil"/>
                    <w:tr2bl w:val="nil"/>
                  </w:tcBorders>
                  <w:noWrap w:val="0"/>
                  <w:vAlign w:val="center"/>
                </w:tcPr>
                <w:p w14:paraId="157FB1C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color w:val="auto"/>
                      <w:szCs w:val="22"/>
                      <w:highlight w:val="none"/>
                      <w:lang w:bidi="ar"/>
                    </w:rPr>
                    <w:t>SJH</w:t>
                  </w:r>
                </w:p>
              </w:tc>
              <w:tc>
                <w:tcPr>
                  <w:tcW w:w="847" w:type="pct"/>
                  <w:tcBorders>
                    <w:tl2br w:val="nil"/>
                    <w:tr2bl w:val="nil"/>
                  </w:tcBorders>
                  <w:noWrap w:val="0"/>
                  <w:vAlign w:val="center"/>
                </w:tcPr>
                <w:p w14:paraId="6A5F8F9E">
                  <w:pPr>
                    <w:keepNext w:val="0"/>
                    <w:keepLines w:val="0"/>
                    <w:widowControl w:val="0"/>
                    <w:suppressLineNumbers w:val="0"/>
                    <w:adjustRightInd w:val="0"/>
                    <w:snapToGrid w:val="0"/>
                    <w:spacing w:before="0" w:beforeAutospacing="0" w:after="0" w:afterAutospacing="0"/>
                    <w:ind w:left="0" w:right="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10</w:t>
                  </w:r>
                </w:p>
              </w:tc>
              <w:tc>
                <w:tcPr>
                  <w:tcW w:w="931" w:type="pct"/>
                  <w:tcBorders>
                    <w:tl2br w:val="nil"/>
                    <w:tr2bl w:val="nil"/>
                  </w:tcBorders>
                  <w:noWrap w:val="0"/>
                  <w:vAlign w:val="center"/>
                </w:tcPr>
                <w:p w14:paraId="3F86892C">
                  <w:pPr>
                    <w:keepNext w:val="0"/>
                    <w:keepLines w:val="0"/>
                    <w:widowControl w:val="0"/>
                    <w:suppressLineNumbers w:val="0"/>
                    <w:adjustRightInd w:val="0"/>
                    <w:snapToGrid w:val="0"/>
                    <w:spacing w:before="0" w:beforeAutospacing="0" w:after="0" w:afterAutospacing="0"/>
                    <w:ind w:left="0" w:right="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钉附件</w:t>
                  </w:r>
                </w:p>
              </w:tc>
            </w:tr>
          </w:tbl>
          <w:p w14:paraId="2644511B">
            <w:pPr>
              <w:pStyle w:val="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60" w:lineRule="auto"/>
              <w:ind w:left="0" w:leftChars="0" w:right="0"/>
              <w:jc w:val="left"/>
              <w:textAlignment w:val="auto"/>
              <w:rPr>
                <w:rFonts w:hint="eastAsia" w:ascii="Times New Roman" w:cs="Times New Roman"/>
                <w:b/>
                <w:bCs/>
                <w:color w:val="auto"/>
                <w:sz w:val="24"/>
                <w:szCs w:val="24"/>
                <w:highlight w:val="none"/>
                <w:lang w:val="en-US" w:eastAsia="zh-CN"/>
              </w:rPr>
            </w:pPr>
            <w:r>
              <w:rPr>
                <w:rFonts w:hint="eastAsia" w:ascii="Times New Roman" w:cs="Times New Roman"/>
                <w:b/>
                <w:bCs/>
                <w:color w:val="auto"/>
                <w:sz w:val="24"/>
                <w:szCs w:val="24"/>
                <w:highlight w:val="none"/>
                <w:lang w:val="en-US" w:eastAsia="zh-CN"/>
              </w:rPr>
              <w:t>产能匹配性分析：</w:t>
            </w:r>
          </w:p>
          <w:p w14:paraId="71F3F365">
            <w:pPr>
              <w:pStyle w:val="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cs="Times New Roman"/>
                <w:b w:val="0"/>
                <w:bCs w:val="0"/>
                <w:color w:val="auto"/>
                <w:sz w:val="24"/>
                <w:szCs w:val="24"/>
                <w:highlight w:val="none"/>
                <w:lang w:val="en-US" w:eastAsia="zh-CN"/>
              </w:rPr>
              <w:t>主要设备产能</w:t>
            </w:r>
            <w:r>
              <w:rPr>
                <w:rFonts w:hint="eastAsia" w:ascii="Times New Roman" w:eastAsia="宋体" w:cs="Times New Roman"/>
                <w:b w:val="0"/>
                <w:bCs w:val="0"/>
                <w:color w:val="auto"/>
                <w:sz w:val="24"/>
                <w:szCs w:val="24"/>
                <w:highlight w:val="none"/>
                <w:lang w:val="en-US" w:eastAsia="zh-CN"/>
              </w:rPr>
              <w:t>匹配</w:t>
            </w:r>
            <w:r>
              <w:rPr>
                <w:rFonts w:hint="eastAsia" w:ascii="Times New Roman" w:cs="Times New Roman"/>
                <w:b w:val="0"/>
                <w:bCs w:val="0"/>
                <w:color w:val="auto"/>
                <w:sz w:val="24"/>
                <w:szCs w:val="24"/>
                <w:highlight w:val="none"/>
                <w:lang w:val="en-US" w:eastAsia="zh-CN"/>
              </w:rPr>
              <w:t>性分析详见下表：</w:t>
            </w:r>
          </w:p>
          <w:p w14:paraId="01F5044D">
            <w:pPr>
              <w:pStyle w:val="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cs="Times New Roman"/>
                <w:b w:val="0"/>
                <w:bCs w:val="0"/>
                <w:color w:val="auto"/>
                <w:sz w:val="24"/>
                <w:szCs w:val="24"/>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10</w:t>
            </w:r>
            <w:r>
              <w:rPr>
                <w:rFonts w:hint="eastAsia" w:ascii="Times New Roman"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 xml:space="preserve"> </w:t>
            </w:r>
            <w:r>
              <w:rPr>
                <w:rFonts w:hint="eastAsia" w:cs="Times New Roman"/>
                <w:b/>
                <w:bCs/>
                <w:color w:val="auto"/>
                <w:sz w:val="21"/>
                <w:szCs w:val="21"/>
                <w:highlight w:val="none"/>
                <w:lang w:val="en-US" w:eastAsia="zh-CN"/>
              </w:rPr>
              <w:t>项目连帮鞋底</w:t>
            </w:r>
            <w:r>
              <w:rPr>
                <w:rFonts w:hint="eastAsia" w:ascii="Times New Roman" w:hAnsi="Times New Roman" w:eastAsia="宋体" w:cs="Times New Roman"/>
                <w:b/>
                <w:bCs/>
                <w:color w:val="auto"/>
                <w:sz w:val="21"/>
                <w:szCs w:val="21"/>
                <w:highlight w:val="none"/>
                <w:lang w:val="en-US" w:eastAsia="zh-CN"/>
              </w:rPr>
              <w:t>产能</w:t>
            </w:r>
            <w:r>
              <w:rPr>
                <w:rFonts w:hint="eastAsia" w:ascii="Times New Roman" w:cs="Times New Roman"/>
                <w:b/>
                <w:bCs/>
                <w:color w:val="auto"/>
                <w:sz w:val="21"/>
                <w:szCs w:val="21"/>
                <w:highlight w:val="none"/>
                <w:lang w:val="en-US" w:eastAsia="zh-CN"/>
              </w:rPr>
              <w:t>匹配性</w:t>
            </w:r>
            <w:r>
              <w:rPr>
                <w:rFonts w:hint="eastAsia" w:ascii="Times New Roman" w:hAnsi="Times New Roman" w:eastAsia="宋体" w:cs="Times New Roman"/>
                <w:b/>
                <w:bCs/>
                <w:color w:val="auto"/>
                <w:sz w:val="21"/>
                <w:szCs w:val="21"/>
                <w:highlight w:val="none"/>
                <w:lang w:val="en-US" w:eastAsia="zh-CN"/>
              </w:rPr>
              <w:t>分析表</w:t>
            </w:r>
          </w:p>
          <w:tbl>
            <w:tblPr>
              <w:tblStyle w:val="4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022"/>
              <w:gridCol w:w="849"/>
              <w:gridCol w:w="917"/>
              <w:gridCol w:w="1417"/>
              <w:gridCol w:w="1279"/>
              <w:gridCol w:w="1280"/>
            </w:tblGrid>
            <w:tr w14:paraId="2706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702" w:type="pct"/>
                  <w:tcBorders>
                    <w:tl2br w:val="nil"/>
                    <w:tr2bl w:val="nil"/>
                  </w:tcBorders>
                  <w:noWrap w:val="0"/>
                  <w:vAlign w:val="center"/>
                </w:tcPr>
                <w:p w14:paraId="39B88754">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生产线</w:t>
                  </w:r>
                </w:p>
              </w:tc>
              <w:tc>
                <w:tcPr>
                  <w:tcW w:w="668" w:type="pct"/>
                  <w:tcBorders>
                    <w:tl2br w:val="nil"/>
                    <w:tr2bl w:val="nil"/>
                  </w:tcBorders>
                  <w:noWrap w:val="0"/>
                  <w:vAlign w:val="center"/>
                </w:tcPr>
                <w:p w14:paraId="62282796">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设备名称</w:t>
                  </w:r>
                </w:p>
              </w:tc>
              <w:tc>
                <w:tcPr>
                  <w:tcW w:w="442" w:type="pct"/>
                  <w:tcBorders>
                    <w:tl2br w:val="nil"/>
                    <w:tr2bl w:val="nil"/>
                  </w:tcBorders>
                  <w:noWrap w:val="0"/>
                  <w:vAlign w:val="center"/>
                </w:tcPr>
                <w:p w14:paraId="6E7E8F94">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数量</w:t>
                  </w:r>
                  <w:r>
                    <w:rPr>
                      <w:rFonts w:hint="eastAsia" w:ascii="Times New Roman" w:hAnsi="Times New Roman" w:eastAsia="宋体" w:cs="Times New Roman"/>
                      <w:b/>
                      <w:bCs/>
                      <w:color w:val="auto"/>
                      <w:sz w:val="21"/>
                      <w:szCs w:val="21"/>
                      <w:highlight w:val="none"/>
                      <w:vertAlign w:val="baseline"/>
                      <w:lang w:val="en-US" w:eastAsia="zh-CN"/>
                    </w:rPr>
                    <w:t>（台）</w:t>
                  </w:r>
                </w:p>
              </w:tc>
              <w:tc>
                <w:tcPr>
                  <w:tcW w:w="601" w:type="pct"/>
                  <w:tcBorders>
                    <w:tl2br w:val="nil"/>
                    <w:tr2bl w:val="nil"/>
                  </w:tcBorders>
                  <w:noWrap w:val="0"/>
                  <w:vAlign w:val="center"/>
                </w:tcPr>
                <w:p w14:paraId="1D8F14FF">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年运行时间（h）</w:t>
                  </w:r>
                </w:p>
              </w:tc>
              <w:tc>
                <w:tcPr>
                  <w:tcW w:w="920" w:type="pct"/>
                  <w:tcBorders>
                    <w:tl2br w:val="nil"/>
                    <w:tr2bl w:val="nil"/>
                  </w:tcBorders>
                  <w:noWrap w:val="0"/>
                  <w:vAlign w:val="center"/>
                </w:tcPr>
                <w:p w14:paraId="1170C2A2">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每小时产能（双/(h</w:t>
                  </w:r>
                  <w:r>
                    <w:rPr>
                      <w:rFonts w:hint="default" w:ascii="Times New Roman" w:hAnsi="Times New Roman" w:eastAsia="宋体" w:cs="Times New Roman"/>
                      <w:b/>
                      <w:bCs/>
                      <w:color w:val="auto"/>
                      <w:sz w:val="21"/>
                      <w:szCs w:val="21"/>
                      <w:highlight w:val="none"/>
                      <w:vertAlign w:val="baseline"/>
                      <w:lang w:val="en-US" w:eastAsia="zh-CN"/>
                    </w:rPr>
                    <w:t>·</w:t>
                  </w:r>
                  <w:r>
                    <w:rPr>
                      <w:rFonts w:hint="eastAsia" w:ascii="Times New Roman" w:hAnsi="Times New Roman" w:eastAsia="宋体" w:cs="Times New Roman"/>
                      <w:b/>
                      <w:bCs/>
                      <w:color w:val="auto"/>
                      <w:sz w:val="21"/>
                      <w:szCs w:val="21"/>
                      <w:highlight w:val="none"/>
                      <w:vertAlign w:val="baseline"/>
                      <w:lang w:val="en-US" w:eastAsia="zh-CN"/>
                    </w:rPr>
                    <w:t>台)）</w:t>
                  </w:r>
                </w:p>
              </w:tc>
              <w:tc>
                <w:tcPr>
                  <w:tcW w:w="831" w:type="pct"/>
                  <w:tcBorders>
                    <w:tl2br w:val="nil"/>
                    <w:tr2bl w:val="nil"/>
                  </w:tcBorders>
                  <w:noWrap w:val="0"/>
                  <w:vAlign w:val="center"/>
                </w:tcPr>
                <w:p w14:paraId="20242086">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设计最大产能（万双/a）</w:t>
                  </w:r>
                </w:p>
              </w:tc>
              <w:tc>
                <w:tcPr>
                  <w:tcW w:w="832" w:type="pct"/>
                  <w:tcBorders>
                    <w:tl2br w:val="nil"/>
                    <w:tr2bl w:val="nil"/>
                  </w:tcBorders>
                  <w:noWrap w:val="0"/>
                  <w:vAlign w:val="center"/>
                </w:tcPr>
                <w:p w14:paraId="2F0BDB50">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本项目产能（万双/a）</w:t>
                  </w:r>
                </w:p>
              </w:tc>
            </w:tr>
            <w:tr w14:paraId="12B5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2" w:type="pct"/>
                  <w:tcBorders>
                    <w:tl2br w:val="nil"/>
                    <w:tr2bl w:val="nil"/>
                  </w:tcBorders>
                  <w:noWrap w:val="0"/>
                  <w:vAlign w:val="center"/>
                </w:tcPr>
                <w:p w14:paraId="74AA500F">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PU连帮鞋</w:t>
                  </w:r>
                </w:p>
              </w:tc>
              <w:tc>
                <w:tcPr>
                  <w:tcW w:w="668" w:type="pct"/>
                  <w:tcBorders>
                    <w:tl2br w:val="nil"/>
                    <w:tr2bl w:val="nil"/>
                  </w:tcBorders>
                  <w:noWrap w:val="0"/>
                  <w:vAlign w:val="center"/>
                </w:tcPr>
                <w:p w14:paraId="5B63353C">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浇注机</w:t>
                  </w:r>
                </w:p>
              </w:tc>
              <w:tc>
                <w:tcPr>
                  <w:tcW w:w="442" w:type="pct"/>
                  <w:tcBorders>
                    <w:tl2br w:val="nil"/>
                    <w:tr2bl w:val="nil"/>
                  </w:tcBorders>
                  <w:noWrap w:val="0"/>
                  <w:vAlign w:val="center"/>
                </w:tcPr>
                <w:p w14:paraId="7B343FF2">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601" w:type="pct"/>
                  <w:vMerge w:val="restart"/>
                  <w:tcBorders>
                    <w:tl2br w:val="nil"/>
                    <w:tr2bl w:val="nil"/>
                  </w:tcBorders>
                  <w:noWrap w:val="0"/>
                  <w:vAlign w:val="center"/>
                </w:tcPr>
                <w:p w14:paraId="1F7F6BA8">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2080</w:t>
                  </w:r>
                </w:p>
              </w:tc>
              <w:tc>
                <w:tcPr>
                  <w:tcW w:w="920" w:type="pct"/>
                  <w:tcBorders>
                    <w:tl2br w:val="nil"/>
                    <w:tr2bl w:val="nil"/>
                  </w:tcBorders>
                  <w:noWrap w:val="0"/>
                  <w:vAlign w:val="center"/>
                </w:tcPr>
                <w:p w14:paraId="135D28D2">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cs="Times New Roman"/>
                      <w:b w:val="0"/>
                      <w:bCs w:val="0"/>
                      <w:color w:val="auto"/>
                      <w:sz w:val="21"/>
                      <w:szCs w:val="21"/>
                      <w:highlight w:val="none"/>
                      <w:vertAlign w:val="baseline"/>
                      <w:lang w:val="en-US" w:eastAsia="zh-CN"/>
                    </w:rPr>
                    <w:t>5</w:t>
                  </w:r>
                  <w:r>
                    <w:rPr>
                      <w:rFonts w:hint="eastAsia" w:ascii="Times New Roman" w:hAnsi="Times New Roman" w:eastAsia="宋体" w:cs="Times New Roman"/>
                      <w:b w:val="0"/>
                      <w:bCs w:val="0"/>
                      <w:color w:val="auto"/>
                      <w:sz w:val="21"/>
                      <w:szCs w:val="21"/>
                      <w:highlight w:val="none"/>
                      <w:vertAlign w:val="baseline"/>
                      <w:lang w:val="en-US" w:eastAsia="zh-CN"/>
                    </w:rPr>
                    <w:t>0</w:t>
                  </w:r>
                </w:p>
              </w:tc>
              <w:tc>
                <w:tcPr>
                  <w:tcW w:w="831" w:type="pct"/>
                  <w:tcBorders>
                    <w:tl2br w:val="nil"/>
                    <w:tr2bl w:val="nil"/>
                  </w:tcBorders>
                  <w:noWrap w:val="0"/>
                  <w:vAlign w:val="center"/>
                </w:tcPr>
                <w:p w14:paraId="1DEB3C83">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w:t>
                  </w:r>
                  <w:r>
                    <w:rPr>
                      <w:rFonts w:hint="eastAsia" w:ascii="Times New Roman" w:cs="Times New Roman"/>
                      <w:b w:val="0"/>
                      <w:bCs w:val="0"/>
                      <w:color w:val="auto"/>
                      <w:sz w:val="21"/>
                      <w:szCs w:val="21"/>
                      <w:highlight w:val="none"/>
                      <w:vertAlign w:val="baseline"/>
                      <w:lang w:val="en-US" w:eastAsia="zh-CN"/>
                    </w:rPr>
                    <w:t>1</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eastAsia" w:ascii="Times New Roman" w:cs="Times New Roman"/>
                      <w:b w:val="0"/>
                      <w:bCs w:val="0"/>
                      <w:color w:val="auto"/>
                      <w:sz w:val="21"/>
                      <w:szCs w:val="21"/>
                      <w:highlight w:val="none"/>
                      <w:vertAlign w:val="baseline"/>
                      <w:lang w:val="en-US" w:eastAsia="zh-CN"/>
                    </w:rPr>
                    <w:t>2</w:t>
                  </w:r>
                </w:p>
              </w:tc>
              <w:tc>
                <w:tcPr>
                  <w:tcW w:w="832" w:type="pct"/>
                  <w:tcBorders>
                    <w:tl2br w:val="nil"/>
                    <w:tr2bl w:val="nil"/>
                  </w:tcBorders>
                  <w:noWrap w:val="0"/>
                  <w:vAlign w:val="center"/>
                </w:tcPr>
                <w:p w14:paraId="438BA5C5">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25</w:t>
                  </w:r>
                </w:p>
              </w:tc>
            </w:tr>
            <w:tr w14:paraId="12FA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2" w:type="pct"/>
                  <w:tcBorders>
                    <w:tl2br w:val="nil"/>
                    <w:tr2bl w:val="nil"/>
                  </w:tcBorders>
                  <w:noWrap w:val="0"/>
                  <w:vAlign w:val="center"/>
                </w:tcPr>
                <w:p w14:paraId="65466D5A">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PVC连帮鞋</w:t>
                  </w:r>
                </w:p>
              </w:tc>
              <w:tc>
                <w:tcPr>
                  <w:tcW w:w="668" w:type="pct"/>
                  <w:tcBorders>
                    <w:tl2br w:val="nil"/>
                    <w:tr2bl w:val="nil"/>
                  </w:tcBorders>
                  <w:noWrap w:val="0"/>
                  <w:vAlign w:val="center"/>
                </w:tcPr>
                <w:p w14:paraId="164761B3">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圆盘注塑机</w:t>
                  </w:r>
                </w:p>
              </w:tc>
              <w:tc>
                <w:tcPr>
                  <w:tcW w:w="442" w:type="pct"/>
                  <w:tcBorders>
                    <w:tl2br w:val="nil"/>
                    <w:tr2bl w:val="nil"/>
                  </w:tcBorders>
                  <w:noWrap w:val="0"/>
                  <w:vAlign w:val="center"/>
                </w:tcPr>
                <w:p w14:paraId="5FA2077D">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601" w:type="pct"/>
                  <w:vMerge w:val="continue"/>
                  <w:tcBorders>
                    <w:tl2br w:val="nil"/>
                    <w:tr2bl w:val="nil"/>
                  </w:tcBorders>
                  <w:noWrap w:val="0"/>
                  <w:vAlign w:val="center"/>
                </w:tcPr>
                <w:p w14:paraId="5F56C04A">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920" w:type="pct"/>
                  <w:tcBorders>
                    <w:tl2br w:val="nil"/>
                    <w:tr2bl w:val="nil"/>
                  </w:tcBorders>
                  <w:noWrap w:val="0"/>
                  <w:vAlign w:val="center"/>
                </w:tcPr>
                <w:p w14:paraId="4FF02146">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cs="Times New Roman"/>
                      <w:b w:val="0"/>
                      <w:bCs w:val="0"/>
                      <w:color w:val="auto"/>
                      <w:sz w:val="21"/>
                      <w:szCs w:val="21"/>
                      <w:highlight w:val="none"/>
                      <w:vertAlign w:val="baseline"/>
                      <w:lang w:val="en-US" w:eastAsia="zh-CN"/>
                    </w:rPr>
                    <w:t>5</w:t>
                  </w:r>
                  <w:r>
                    <w:rPr>
                      <w:rFonts w:hint="eastAsia" w:ascii="Times New Roman" w:hAnsi="Times New Roman" w:eastAsia="宋体" w:cs="Times New Roman"/>
                      <w:b w:val="0"/>
                      <w:bCs w:val="0"/>
                      <w:color w:val="auto"/>
                      <w:sz w:val="21"/>
                      <w:szCs w:val="21"/>
                      <w:highlight w:val="none"/>
                      <w:vertAlign w:val="baseline"/>
                      <w:lang w:val="en-US" w:eastAsia="zh-CN"/>
                    </w:rPr>
                    <w:t>0</w:t>
                  </w:r>
                </w:p>
              </w:tc>
              <w:tc>
                <w:tcPr>
                  <w:tcW w:w="831" w:type="pct"/>
                  <w:tcBorders>
                    <w:tl2br w:val="nil"/>
                    <w:tr2bl w:val="nil"/>
                  </w:tcBorders>
                  <w:noWrap w:val="0"/>
                  <w:vAlign w:val="center"/>
                </w:tcPr>
                <w:p w14:paraId="5A708C89">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w:t>
                  </w:r>
                  <w:r>
                    <w:rPr>
                      <w:rFonts w:hint="eastAsia" w:ascii="Times New Roman" w:cs="Times New Roman"/>
                      <w:b w:val="0"/>
                      <w:bCs w:val="0"/>
                      <w:color w:val="auto"/>
                      <w:sz w:val="21"/>
                      <w:szCs w:val="21"/>
                      <w:highlight w:val="none"/>
                      <w:vertAlign w:val="baseline"/>
                      <w:lang w:val="en-US" w:eastAsia="zh-CN"/>
                    </w:rPr>
                    <w:t>1</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eastAsia" w:ascii="Times New Roman" w:cs="Times New Roman"/>
                      <w:b w:val="0"/>
                      <w:bCs w:val="0"/>
                      <w:color w:val="auto"/>
                      <w:sz w:val="21"/>
                      <w:szCs w:val="21"/>
                      <w:highlight w:val="none"/>
                      <w:vertAlign w:val="baseline"/>
                      <w:lang w:val="en-US" w:eastAsia="zh-CN"/>
                    </w:rPr>
                    <w:t>2</w:t>
                  </w:r>
                </w:p>
              </w:tc>
              <w:tc>
                <w:tcPr>
                  <w:tcW w:w="832" w:type="pct"/>
                  <w:tcBorders>
                    <w:tl2br w:val="nil"/>
                    <w:tr2bl w:val="nil"/>
                  </w:tcBorders>
                  <w:noWrap w:val="0"/>
                  <w:vAlign w:val="center"/>
                </w:tcPr>
                <w:p w14:paraId="6DA4EAA3">
                  <w:pPr>
                    <w:pStyle w:val="55"/>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25</w:t>
                  </w:r>
                </w:p>
              </w:tc>
            </w:tr>
          </w:tbl>
          <w:p w14:paraId="0D16267B">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jc w:val="both"/>
              <w:textAlignment w:val="auto"/>
              <w:rPr>
                <w:rFonts w:hint="default" w:ascii="Times New Roman" w:hAnsi="Times New Roman" w:eastAsia="宋体" w:cs="Times New Roman"/>
                <w:b/>
                <w:color w:val="auto"/>
                <w:sz w:val="24"/>
                <w:szCs w:val="22"/>
                <w:highlight w:val="none"/>
                <w:lang w:val="en-US" w:eastAsia="zh-CN"/>
              </w:rPr>
            </w:pPr>
            <w:r>
              <w:rPr>
                <w:rFonts w:hint="default" w:ascii="Times New Roman" w:hAnsi="Times New Roman" w:eastAsia="宋体" w:cs="Times New Roman"/>
                <w:b/>
                <w:color w:val="auto"/>
                <w:sz w:val="24"/>
                <w:szCs w:val="22"/>
                <w:highlight w:val="none"/>
                <w:lang w:val="en-US" w:eastAsia="zh-CN"/>
              </w:rPr>
              <w:t>6、项目公用工程</w:t>
            </w:r>
          </w:p>
          <w:p w14:paraId="3B4AA55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（1）给水：</w:t>
            </w:r>
            <w:r>
              <w:rPr>
                <w:rFonts w:hint="default" w:ascii="Times New Roman" w:hAnsi="Times New Roman" w:eastAsia="宋体" w:cs="Times New Roman"/>
                <w:color w:val="auto"/>
                <w:sz w:val="24"/>
                <w:szCs w:val="22"/>
                <w:highlight w:val="none"/>
              </w:rPr>
              <w:t>项目生活</w:t>
            </w:r>
            <w:r>
              <w:rPr>
                <w:rFonts w:hint="eastAsia" w:cs="Times New Roman"/>
                <w:color w:val="auto"/>
                <w:sz w:val="24"/>
                <w:szCs w:val="22"/>
                <w:highlight w:val="none"/>
                <w:lang w:val="en-US" w:eastAsia="zh-CN"/>
              </w:rPr>
              <w:t>和生产</w:t>
            </w:r>
            <w:r>
              <w:rPr>
                <w:rFonts w:hint="default" w:ascii="Times New Roman" w:hAnsi="Times New Roman" w:eastAsia="宋体" w:cs="Times New Roman"/>
                <w:color w:val="auto"/>
                <w:sz w:val="24"/>
                <w:szCs w:val="22"/>
                <w:highlight w:val="none"/>
              </w:rPr>
              <w:t>用水来自</w:t>
            </w:r>
            <w:r>
              <w:rPr>
                <w:rFonts w:hint="eastAsia" w:cs="Times New Roman"/>
                <w:color w:val="auto"/>
                <w:sz w:val="24"/>
                <w:szCs w:val="22"/>
                <w:highlight w:val="none"/>
                <w:lang w:val="en-US" w:eastAsia="zh-CN"/>
              </w:rPr>
              <w:t>五河县经开区</w:t>
            </w:r>
            <w:r>
              <w:rPr>
                <w:rFonts w:hint="default" w:ascii="Times New Roman" w:hAnsi="Times New Roman" w:cs="Times New Roman"/>
                <w:color w:val="auto"/>
                <w:sz w:val="24"/>
                <w:szCs w:val="22"/>
                <w:highlight w:val="none"/>
                <w:lang w:eastAsia="zh-CN"/>
              </w:rPr>
              <w:t>供</w:t>
            </w:r>
            <w:r>
              <w:rPr>
                <w:rFonts w:hint="default" w:ascii="Times New Roman" w:hAnsi="Times New Roman" w:eastAsia="宋体" w:cs="Times New Roman"/>
                <w:color w:val="auto"/>
                <w:sz w:val="24"/>
                <w:szCs w:val="22"/>
                <w:highlight w:val="none"/>
              </w:rPr>
              <w:t>水管网供给，</w:t>
            </w:r>
            <w:r>
              <w:rPr>
                <w:rFonts w:hint="default" w:ascii="Times New Roman" w:hAnsi="Times New Roman" w:eastAsia="宋体" w:cs="Times New Roman"/>
                <w:color w:val="auto"/>
                <w:sz w:val="24"/>
                <w:szCs w:val="22"/>
                <w:highlight w:val="none"/>
                <w:lang w:eastAsia="zh-CN"/>
              </w:rPr>
              <w:t>建成后全厂新鲜用水量</w:t>
            </w:r>
            <w:r>
              <w:rPr>
                <w:rFonts w:hint="eastAsia" w:cs="Times New Roman"/>
                <w:color w:val="auto"/>
                <w:sz w:val="24"/>
                <w:szCs w:val="22"/>
                <w:highlight w:val="none"/>
                <w:lang w:val="en-US" w:eastAsia="zh-CN"/>
              </w:rPr>
              <w:t>1032.4</w:t>
            </w:r>
            <w:r>
              <w:rPr>
                <w:rFonts w:hint="default" w:ascii="Times New Roman" w:hAnsi="Times New Roman" w:eastAsia="宋体" w:cs="Times New Roman"/>
                <w:color w:val="auto"/>
                <w:sz w:val="24"/>
                <w:szCs w:val="22"/>
                <w:highlight w:val="none"/>
                <w:lang w:val="en-US" w:eastAsia="zh-CN"/>
              </w:rPr>
              <w:t>t/a</w:t>
            </w:r>
            <w:r>
              <w:rPr>
                <w:rFonts w:hint="default" w:ascii="Times New Roman" w:hAnsi="Times New Roman" w:eastAsia="宋体" w:cs="Times New Roman"/>
                <w:color w:val="auto"/>
                <w:sz w:val="24"/>
                <w:szCs w:val="22"/>
                <w:highlight w:val="none"/>
                <w:lang w:eastAsia="zh-CN"/>
              </w:rPr>
              <w:t>。</w:t>
            </w:r>
          </w:p>
          <w:p w14:paraId="15CB6BC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lang w:val="en-US" w:eastAsia="zh-CN"/>
              </w:rPr>
              <w:t>2</w:t>
            </w:r>
            <w:r>
              <w:rPr>
                <w:rFonts w:hint="default" w:ascii="Times New Roman" w:hAnsi="Times New Roman" w:eastAsia="宋体" w:cs="Times New Roman"/>
                <w:color w:val="auto"/>
                <w:sz w:val="24"/>
                <w:szCs w:val="22"/>
                <w:highlight w:val="none"/>
                <w:lang w:eastAsia="zh-CN"/>
              </w:rPr>
              <w:t>）排水：</w:t>
            </w:r>
            <w:r>
              <w:rPr>
                <w:rFonts w:hint="default" w:ascii="Times New Roman" w:hAnsi="Times New Roman" w:eastAsia="宋体" w:cs="Times New Roman"/>
                <w:color w:val="auto"/>
                <w:sz w:val="24"/>
                <w:szCs w:val="22"/>
                <w:highlight w:val="none"/>
              </w:rPr>
              <w:t>项目为雨污分流制，废水主要为生活污水</w:t>
            </w:r>
            <w:r>
              <w:rPr>
                <w:rFonts w:hint="eastAsia" w:cs="Times New Roman"/>
                <w:color w:val="auto"/>
                <w:sz w:val="24"/>
                <w:szCs w:val="22"/>
                <w:highlight w:val="none"/>
                <w:lang w:eastAsia="zh-CN"/>
              </w:rPr>
              <w:t>、</w:t>
            </w:r>
            <w:r>
              <w:rPr>
                <w:rFonts w:hint="eastAsia" w:cs="Times New Roman"/>
                <w:color w:val="auto"/>
                <w:sz w:val="24"/>
                <w:szCs w:val="22"/>
                <w:highlight w:val="none"/>
                <w:lang w:val="en-US" w:eastAsia="zh-CN"/>
              </w:rPr>
              <w:t>食堂废水、地坪</w:t>
            </w:r>
            <w:r>
              <w:rPr>
                <w:rFonts w:hint="default" w:ascii="Times New Roman" w:hAnsi="Times New Roman" w:eastAsia="宋体" w:cs="Times New Roman"/>
                <w:color w:val="auto"/>
                <w:sz w:val="24"/>
                <w:szCs w:val="22"/>
                <w:highlight w:val="none"/>
                <w:lang w:eastAsia="zh-CN"/>
              </w:rPr>
              <w:t>保洁废水</w:t>
            </w:r>
            <w:r>
              <w:rPr>
                <w:rFonts w:hint="eastAsia" w:cs="Times New Roman"/>
                <w:color w:val="auto"/>
                <w:sz w:val="24"/>
                <w:szCs w:val="22"/>
                <w:highlight w:val="none"/>
                <w:lang w:eastAsia="zh-CN"/>
              </w:rPr>
              <w:t>、</w:t>
            </w:r>
            <w:r>
              <w:rPr>
                <w:rFonts w:hint="eastAsia" w:cs="Times New Roman"/>
                <w:color w:val="auto"/>
                <w:sz w:val="24"/>
                <w:szCs w:val="22"/>
                <w:highlight w:val="none"/>
                <w:lang w:val="en-US" w:eastAsia="zh-CN"/>
              </w:rPr>
              <w:t>循环冷却废水</w:t>
            </w:r>
            <w:r>
              <w:rPr>
                <w:rFonts w:hint="default" w:ascii="Times New Roman" w:hAnsi="Times New Roman" w:eastAsia="宋体" w:cs="Times New Roman"/>
                <w:color w:val="auto"/>
                <w:sz w:val="24"/>
                <w:szCs w:val="22"/>
                <w:highlight w:val="none"/>
              </w:rPr>
              <w:t>。</w:t>
            </w:r>
            <w:r>
              <w:rPr>
                <w:rFonts w:hint="default" w:ascii="Times New Roman" w:hAnsi="Times New Roman" w:eastAsia="宋体" w:cs="Times New Roman"/>
                <w:color w:val="auto"/>
                <w:sz w:val="24"/>
                <w:szCs w:val="22"/>
                <w:highlight w:val="none"/>
                <w:lang w:eastAsia="zh-CN"/>
              </w:rPr>
              <w:t>全厂废水</w:t>
            </w:r>
            <w:r>
              <w:rPr>
                <w:rFonts w:hint="eastAsia" w:cs="Times New Roman"/>
                <w:color w:val="auto"/>
                <w:sz w:val="24"/>
                <w:szCs w:val="22"/>
                <w:highlight w:val="none"/>
                <w:lang w:val="en-US" w:eastAsia="zh-CN"/>
              </w:rPr>
              <w:t>排放</w:t>
            </w:r>
            <w:r>
              <w:rPr>
                <w:rFonts w:hint="default" w:ascii="Times New Roman" w:hAnsi="Times New Roman" w:eastAsia="宋体" w:cs="Times New Roman"/>
                <w:color w:val="auto"/>
                <w:sz w:val="24"/>
                <w:szCs w:val="22"/>
                <w:highlight w:val="none"/>
                <w:lang w:eastAsia="zh-CN"/>
              </w:rPr>
              <w:t>量</w:t>
            </w:r>
            <w:r>
              <w:rPr>
                <w:rFonts w:hint="default" w:ascii="Times New Roman" w:hAnsi="Times New Roman" w:eastAsia="宋体" w:cs="Times New Roman"/>
                <w:color w:val="auto"/>
                <w:sz w:val="24"/>
                <w:szCs w:val="22"/>
                <w:highlight w:val="none"/>
              </w:rPr>
              <w:t>为</w:t>
            </w:r>
            <w:r>
              <w:rPr>
                <w:rFonts w:hint="eastAsia" w:cs="Times New Roman"/>
                <w:color w:val="auto"/>
                <w:sz w:val="24"/>
                <w:szCs w:val="22"/>
                <w:highlight w:val="none"/>
                <w:lang w:val="en-US" w:eastAsia="zh-CN"/>
              </w:rPr>
              <w:t>777.6</w:t>
            </w:r>
            <w:r>
              <w:rPr>
                <w:rFonts w:hint="default" w:ascii="Times New Roman" w:hAnsi="Times New Roman" w:eastAsia="宋体" w:cs="Times New Roman"/>
                <w:color w:val="auto"/>
                <w:sz w:val="24"/>
                <w:szCs w:val="22"/>
                <w:highlight w:val="none"/>
              </w:rPr>
              <w:t>t/a，</w:t>
            </w:r>
            <w:r>
              <w:rPr>
                <w:rFonts w:hint="eastAsia" w:cs="Times New Roman"/>
                <w:color w:val="auto"/>
                <w:sz w:val="24"/>
                <w:szCs w:val="22"/>
                <w:highlight w:val="none"/>
                <w:lang w:val="en-US" w:eastAsia="zh-CN"/>
              </w:rPr>
              <w:t>其中</w:t>
            </w:r>
            <w:r>
              <w:rPr>
                <w:rFonts w:hint="eastAsia" w:cs="Times New Roman"/>
                <w:color w:val="auto"/>
                <w:sz w:val="24"/>
                <w:szCs w:val="24"/>
                <w:highlight w:val="none"/>
                <w:lang w:val="en-US" w:eastAsia="zh-CN"/>
              </w:rPr>
              <w:t>食堂废水经隔油池、</w:t>
            </w:r>
            <w:r>
              <w:rPr>
                <w:rFonts w:hint="eastAsia" w:cs="Times New Roman"/>
                <w:color w:val="auto"/>
                <w:sz w:val="24"/>
                <w:szCs w:val="22"/>
                <w:highlight w:val="none"/>
                <w:lang w:val="en-US" w:eastAsia="zh-CN"/>
              </w:rPr>
              <w:t>生活污水经化粪池</w:t>
            </w:r>
            <w:r>
              <w:rPr>
                <w:rFonts w:hint="eastAsia" w:cs="Times New Roman"/>
                <w:color w:val="auto"/>
                <w:sz w:val="24"/>
                <w:szCs w:val="24"/>
                <w:highlight w:val="none"/>
                <w:lang w:val="en-US" w:eastAsia="zh-CN"/>
              </w:rPr>
              <w:t>收集处理后和</w:t>
            </w:r>
            <w:r>
              <w:rPr>
                <w:rFonts w:hint="eastAsia" w:cs="Times New Roman"/>
                <w:color w:val="auto"/>
                <w:sz w:val="24"/>
                <w:szCs w:val="22"/>
                <w:highlight w:val="none"/>
                <w:lang w:val="en-US" w:eastAsia="zh-CN"/>
              </w:rPr>
              <w:t>地坪保洁废水</w:t>
            </w:r>
            <w:r>
              <w:rPr>
                <w:rFonts w:hint="eastAsia" w:cs="Times New Roman"/>
                <w:color w:val="auto"/>
                <w:sz w:val="24"/>
                <w:szCs w:val="24"/>
                <w:highlight w:val="none"/>
                <w:lang w:val="en-US" w:eastAsia="zh-CN"/>
              </w:rPr>
              <w:t>一并排入</w:t>
            </w:r>
            <w:r>
              <w:rPr>
                <w:rFonts w:hint="default" w:ascii="Times New Roman" w:hAnsi="Times New Roman" w:eastAsia="宋体" w:cs="Times New Roman"/>
                <w:color w:val="auto"/>
                <w:sz w:val="24"/>
                <w:szCs w:val="24"/>
                <w:highlight w:val="none"/>
                <w:lang w:eastAsia="zh-CN"/>
              </w:rPr>
              <w:t>市政</w:t>
            </w:r>
            <w:r>
              <w:rPr>
                <w:rFonts w:hint="default" w:ascii="Times New Roman" w:hAnsi="Times New Roman" w:eastAsia="宋体" w:cs="Times New Roman"/>
                <w:color w:val="auto"/>
                <w:sz w:val="24"/>
                <w:szCs w:val="24"/>
                <w:highlight w:val="none"/>
              </w:rPr>
              <w:t>污水管网</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最终</w:t>
            </w:r>
            <w:r>
              <w:rPr>
                <w:rFonts w:hint="default" w:ascii="Times New Roman" w:hAnsi="Times New Roman" w:eastAsia="宋体" w:cs="Times New Roman"/>
                <w:color w:val="auto"/>
                <w:sz w:val="24"/>
                <w:szCs w:val="24"/>
                <w:highlight w:val="none"/>
              </w:rPr>
              <w:t>排至</w:t>
            </w:r>
            <w:r>
              <w:rPr>
                <w:rFonts w:hint="eastAsia" w:cs="Times New Roman"/>
                <w:color w:val="auto"/>
                <w:sz w:val="24"/>
                <w:szCs w:val="24"/>
                <w:highlight w:val="none"/>
                <w:lang w:val="en-US" w:eastAsia="zh-CN"/>
              </w:rPr>
              <w:t>五河县</w:t>
            </w:r>
            <w:r>
              <w:rPr>
                <w:rFonts w:hint="default" w:ascii="Times New Roman" w:hAnsi="Times New Roman" w:eastAsia="宋体" w:cs="Times New Roman"/>
                <w:color w:val="auto"/>
                <w:sz w:val="24"/>
                <w:szCs w:val="24"/>
                <w:highlight w:val="none"/>
                <w:lang w:val="en-US" w:eastAsia="zh-CN"/>
              </w:rPr>
              <w:t>城</w:t>
            </w:r>
            <w:r>
              <w:rPr>
                <w:rFonts w:hint="eastAsia" w:cs="Times New Roman"/>
                <w:color w:val="auto"/>
                <w:sz w:val="24"/>
                <w:szCs w:val="24"/>
                <w:highlight w:val="none"/>
                <w:lang w:val="en-US" w:eastAsia="zh-CN"/>
              </w:rPr>
              <w:t>南</w:t>
            </w:r>
            <w:r>
              <w:rPr>
                <w:rFonts w:hint="default" w:ascii="Times New Roman" w:hAnsi="Times New Roman" w:eastAsia="宋体" w:cs="Times New Roman"/>
                <w:color w:val="auto"/>
                <w:sz w:val="24"/>
                <w:szCs w:val="24"/>
                <w:highlight w:val="none"/>
              </w:rPr>
              <w:t>污水处理厂</w:t>
            </w:r>
            <w:r>
              <w:rPr>
                <w:rFonts w:hint="eastAsia" w:cs="Times New Roman"/>
                <w:color w:val="auto"/>
                <w:sz w:val="24"/>
                <w:szCs w:val="24"/>
                <w:highlight w:val="none"/>
                <w:lang w:val="en-US" w:eastAsia="zh-CN"/>
              </w:rPr>
              <w:t>深度处理</w:t>
            </w:r>
            <w:r>
              <w:rPr>
                <w:rFonts w:hint="default" w:ascii="Times New Roman" w:hAnsi="Times New Roman" w:eastAsia="宋体" w:cs="Times New Roman"/>
                <w:color w:val="auto"/>
                <w:sz w:val="24"/>
                <w:szCs w:val="24"/>
                <w:highlight w:val="none"/>
              </w:rPr>
              <w:t>。</w:t>
            </w:r>
          </w:p>
          <w:p w14:paraId="4F34A7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（3）供电</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项目年耗电量为</w:t>
            </w:r>
            <w:r>
              <w:rPr>
                <w:rFonts w:hint="eastAsia" w:cs="Times New Roman"/>
                <w:color w:val="auto"/>
                <w:sz w:val="24"/>
                <w:szCs w:val="22"/>
                <w:highlight w:val="none"/>
                <w:lang w:val="en-US" w:eastAsia="zh-CN"/>
              </w:rPr>
              <w:t>50</w:t>
            </w:r>
            <w:r>
              <w:rPr>
                <w:rFonts w:hint="default" w:ascii="Times New Roman" w:hAnsi="Times New Roman" w:eastAsia="宋体" w:cs="Times New Roman"/>
                <w:color w:val="auto"/>
                <w:sz w:val="24"/>
                <w:szCs w:val="22"/>
                <w:highlight w:val="none"/>
                <w:lang w:val="en-US" w:eastAsia="zh-CN"/>
              </w:rPr>
              <w:t>万</w:t>
            </w:r>
            <w:r>
              <w:rPr>
                <w:rFonts w:hint="default" w:ascii="Times New Roman" w:hAnsi="Times New Roman" w:eastAsia="宋体" w:cs="Times New Roman"/>
                <w:color w:val="auto"/>
                <w:sz w:val="24"/>
                <w:szCs w:val="22"/>
                <w:highlight w:val="none"/>
              </w:rPr>
              <w:t>k</w:t>
            </w:r>
            <w:r>
              <w:rPr>
                <w:rFonts w:hint="default" w:ascii="Times New Roman" w:hAnsi="Times New Roman" w:eastAsia="宋体" w:cs="Times New Roman"/>
                <w:color w:val="auto"/>
                <w:sz w:val="24"/>
                <w:szCs w:val="22"/>
                <w:highlight w:val="none"/>
                <w:lang w:val="en-US" w:eastAsia="zh-CN"/>
              </w:rPr>
              <w:t>W</w:t>
            </w:r>
            <w:r>
              <w:rPr>
                <w:rFonts w:hint="default" w:ascii="Times New Roman" w:hAnsi="Times New Roman" w:eastAsia="宋体" w:cs="Times New Roman"/>
                <w:color w:val="auto"/>
                <w:sz w:val="24"/>
                <w:szCs w:val="22"/>
                <w:highlight w:val="none"/>
              </w:rPr>
              <w:t>·h，项目供电由</w:t>
            </w:r>
            <w:r>
              <w:rPr>
                <w:rFonts w:hint="eastAsia" w:cs="Times New Roman"/>
                <w:color w:val="auto"/>
                <w:sz w:val="24"/>
                <w:szCs w:val="22"/>
                <w:highlight w:val="none"/>
                <w:lang w:val="en-US" w:eastAsia="zh-CN"/>
              </w:rPr>
              <w:t>五河县经开区</w:t>
            </w:r>
            <w:r>
              <w:rPr>
                <w:rFonts w:hint="default" w:ascii="Times New Roman" w:hAnsi="Times New Roman" w:eastAsia="宋体" w:cs="Times New Roman"/>
                <w:color w:val="auto"/>
                <w:sz w:val="24"/>
                <w:szCs w:val="22"/>
                <w:highlight w:val="none"/>
              </w:rPr>
              <w:t>供电网供给，</w:t>
            </w:r>
            <w:r>
              <w:rPr>
                <w:rFonts w:hint="default" w:ascii="Times New Roman" w:hAnsi="Times New Roman" w:eastAsia="宋体" w:cs="Times New Roman"/>
                <w:bCs/>
                <w:color w:val="auto"/>
                <w:sz w:val="24"/>
                <w:szCs w:val="22"/>
                <w:highlight w:val="none"/>
              </w:rPr>
              <w:t>经配电房变压后输送至场内用电设备，为整个</w:t>
            </w:r>
            <w:r>
              <w:rPr>
                <w:rFonts w:hint="default" w:ascii="Times New Roman" w:hAnsi="Times New Roman" w:eastAsia="宋体" w:cs="Times New Roman"/>
                <w:bCs/>
                <w:color w:val="auto"/>
                <w:sz w:val="24"/>
                <w:szCs w:val="22"/>
                <w:highlight w:val="none"/>
                <w:lang w:eastAsia="zh-CN"/>
              </w:rPr>
              <w:t>厂</w:t>
            </w:r>
            <w:r>
              <w:rPr>
                <w:rFonts w:hint="default" w:ascii="Times New Roman" w:hAnsi="Times New Roman" w:eastAsia="宋体" w:cs="Times New Roman"/>
                <w:bCs/>
                <w:color w:val="auto"/>
                <w:sz w:val="24"/>
                <w:szCs w:val="22"/>
                <w:highlight w:val="none"/>
              </w:rPr>
              <w:t>区供电，</w:t>
            </w:r>
            <w:r>
              <w:rPr>
                <w:rFonts w:hint="default" w:ascii="Times New Roman" w:hAnsi="Times New Roman" w:eastAsia="宋体" w:cs="Times New Roman"/>
                <w:color w:val="auto"/>
                <w:sz w:val="24"/>
                <w:szCs w:val="22"/>
                <w:highlight w:val="none"/>
              </w:rPr>
              <w:t>满足本项目用电需要。</w:t>
            </w:r>
          </w:p>
          <w:p w14:paraId="4787902D">
            <w:pPr>
              <w:pStyle w:val="4"/>
              <w:keepNext/>
              <w:keepLines/>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jc w:val="both"/>
              <w:textAlignment w:val="auto"/>
              <w:rPr>
                <w:rFonts w:hint="default" w:ascii="Times New Roman" w:hAnsi="Times New Roman" w:eastAsia="宋体" w:cs="Times New Roman"/>
                <w:b/>
                <w:bCs/>
                <w:color w:val="auto"/>
                <w:sz w:val="24"/>
                <w:szCs w:val="24"/>
                <w:highlight w:val="none"/>
              </w:rPr>
            </w:pPr>
            <w:bookmarkStart w:id="6" w:name="_Toc13140"/>
            <w:r>
              <w:rPr>
                <w:rFonts w:hint="eastAsia" w:ascii="Times New Roman" w:hAnsi="Times New Roman" w:eastAsia="宋体" w:cs="Times New Roman"/>
                <w:b/>
                <w:bCs/>
                <w:color w:val="auto"/>
                <w:kern w:val="2"/>
                <w:sz w:val="24"/>
                <w:szCs w:val="24"/>
                <w:highlight w:val="none"/>
                <w:lang w:val="en-US" w:eastAsia="zh-CN" w:bidi="ar-SA"/>
              </w:rPr>
              <w:t>7</w:t>
            </w:r>
            <w:r>
              <w:rPr>
                <w:rFonts w:hint="default"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sz w:val="24"/>
                <w:szCs w:val="24"/>
                <w:highlight w:val="none"/>
              </w:rPr>
              <w:t>物料</w:t>
            </w:r>
            <w:bookmarkEnd w:id="6"/>
            <w:r>
              <w:rPr>
                <w:rFonts w:hint="eastAsia" w:ascii="Times New Roman" w:hAnsi="Times New Roman" w:eastAsia="宋体" w:cs="Times New Roman"/>
                <w:b/>
                <w:bCs/>
                <w:color w:val="auto"/>
                <w:sz w:val="24"/>
                <w:szCs w:val="24"/>
                <w:highlight w:val="none"/>
                <w:lang w:val="en-US" w:eastAsia="zh-CN"/>
              </w:rPr>
              <w:t>衡算</w:t>
            </w:r>
          </w:p>
          <w:p w14:paraId="1AA7F63D">
            <w:pPr>
              <w:pStyle w:val="4"/>
              <w:keepNext/>
              <w:keepLines/>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rightChars="0"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1</w:t>
            </w:r>
            <w:r>
              <w:rPr>
                <w:rFonts w:hint="eastAsia" w:ascii="Times New Roman" w:hAnsi="Times New Roman" w:eastAsia="宋体" w:cs="Times New Roman"/>
                <w:b w:val="0"/>
                <w:bCs w:val="0"/>
                <w:color w:val="auto"/>
                <w:sz w:val="24"/>
                <w:highlight w:val="none"/>
                <w:lang w:val="en-US" w:eastAsia="zh-CN"/>
              </w:rPr>
              <w:t xml:space="preserve">）聚氨酯物料用量核算 </w:t>
            </w:r>
          </w:p>
          <w:p w14:paraId="14A7E8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4"/>
                <w:highlight w:val="none"/>
                <w:lang w:val="en-US" w:eastAsia="zh-CN"/>
              </w:rPr>
            </w:pPr>
            <w:r>
              <w:rPr>
                <w:rFonts w:hint="default" w:ascii="Times New Roman" w:hAnsi="Times New Roman" w:eastAsia="宋体" w:cs="Times New Roman"/>
                <w:color w:val="auto"/>
                <w:sz w:val="24"/>
                <w:szCs w:val="22"/>
                <w:highlight w:val="none"/>
                <w:lang w:val="en-US" w:eastAsia="zh-CN"/>
              </w:rPr>
              <w:t>根据企业提供资料</w:t>
            </w:r>
            <w:r>
              <w:rPr>
                <w:rFonts w:hint="eastAsia" w:ascii="Times New Roman" w:hAnsi="Times New Roman" w:eastAsia="宋体" w:cs="Times New Roman"/>
                <w:color w:val="auto"/>
                <w:sz w:val="24"/>
                <w:szCs w:val="22"/>
                <w:highlight w:val="none"/>
                <w:lang w:val="en-US" w:eastAsia="zh-CN"/>
              </w:rPr>
              <w:t>，每双</w:t>
            </w:r>
            <w:r>
              <w:rPr>
                <w:rFonts w:hint="eastAsia" w:cs="Times New Roman"/>
                <w:color w:val="auto"/>
                <w:sz w:val="24"/>
                <w:szCs w:val="22"/>
                <w:highlight w:val="none"/>
                <w:lang w:val="en-US" w:eastAsia="zh-CN"/>
              </w:rPr>
              <w:t>PU</w:t>
            </w:r>
            <w:r>
              <w:rPr>
                <w:rFonts w:hint="eastAsia" w:ascii="Times New Roman" w:hAnsi="Times New Roman" w:eastAsia="宋体" w:cs="Times New Roman"/>
                <w:color w:val="auto"/>
                <w:sz w:val="24"/>
                <w:szCs w:val="22"/>
                <w:highlight w:val="none"/>
                <w:lang w:val="en-US" w:eastAsia="zh-CN"/>
              </w:rPr>
              <w:t>连帮鞋</w:t>
            </w:r>
            <w:r>
              <w:rPr>
                <w:rFonts w:hint="eastAsia" w:cs="Times New Roman"/>
                <w:color w:val="auto"/>
                <w:sz w:val="24"/>
                <w:szCs w:val="22"/>
                <w:highlight w:val="none"/>
                <w:lang w:val="en-US" w:eastAsia="zh-CN"/>
              </w:rPr>
              <w:t>底</w:t>
            </w:r>
            <w:r>
              <w:rPr>
                <w:rFonts w:hint="eastAsia" w:ascii="Times New Roman" w:hAnsi="Times New Roman" w:eastAsia="宋体" w:cs="Times New Roman"/>
                <w:color w:val="auto"/>
                <w:sz w:val="24"/>
                <w:szCs w:val="22"/>
                <w:highlight w:val="none"/>
                <w:lang w:val="en-US" w:eastAsia="zh-CN"/>
              </w:rPr>
              <w:t>重量约250g，年产75万双，</w:t>
            </w:r>
            <w:r>
              <w:rPr>
                <w:rFonts w:hint="eastAsia" w:cs="Times New Roman"/>
                <w:color w:val="auto"/>
                <w:sz w:val="24"/>
                <w:szCs w:val="22"/>
                <w:highlight w:val="none"/>
                <w:lang w:val="en-US" w:eastAsia="zh-CN"/>
              </w:rPr>
              <w:t>边角料及不合格品产生量</w:t>
            </w:r>
            <w:r>
              <w:rPr>
                <w:rFonts w:hint="eastAsia" w:ascii="Times New Roman" w:hAnsi="Times New Roman" w:eastAsia="宋体" w:cs="Times New Roman"/>
                <w:color w:val="auto"/>
                <w:sz w:val="24"/>
                <w:szCs w:val="22"/>
                <w:highlight w:val="none"/>
                <w:lang w:val="en-US" w:eastAsia="zh-CN"/>
              </w:rPr>
              <w:t>参照《195制鞋行业系数手册》中“1953塑料鞋制造行业系数表”：一般</w:t>
            </w:r>
            <w:r>
              <w:rPr>
                <w:rFonts w:hint="eastAsia" w:cs="Times New Roman"/>
                <w:color w:val="auto"/>
                <w:sz w:val="24"/>
                <w:szCs w:val="22"/>
                <w:highlight w:val="none"/>
                <w:lang w:val="en-US" w:eastAsia="zh-CN"/>
              </w:rPr>
              <w:t>工业固体废物产污系数3620mg/双-产品，经计算得，</w:t>
            </w:r>
            <w:r>
              <w:rPr>
                <w:rFonts w:hint="eastAsia" w:ascii="Times New Roman" w:hAnsi="Times New Roman" w:eastAsia="宋体" w:cs="Times New Roman"/>
                <w:b w:val="0"/>
                <w:bCs w:val="0"/>
                <w:color w:val="auto"/>
                <w:sz w:val="24"/>
                <w:szCs w:val="22"/>
                <w:highlight w:val="none"/>
                <w:lang w:val="en-US" w:eastAsia="zh-CN"/>
              </w:rPr>
              <w:t>聚氨酯</w:t>
            </w:r>
            <w:r>
              <w:rPr>
                <w:rFonts w:hint="eastAsia" w:cs="Times New Roman"/>
                <w:b w:val="0"/>
                <w:bCs w:val="0"/>
                <w:color w:val="auto"/>
                <w:sz w:val="24"/>
                <w:szCs w:val="22"/>
                <w:highlight w:val="none"/>
                <w:lang w:val="en-US" w:eastAsia="zh-CN"/>
              </w:rPr>
              <w:t>原液总</w:t>
            </w:r>
            <w:r>
              <w:rPr>
                <w:rFonts w:hint="eastAsia" w:ascii="Times New Roman" w:hAnsi="Times New Roman" w:eastAsia="宋体" w:cs="Times New Roman"/>
                <w:b w:val="0"/>
                <w:bCs w:val="0"/>
                <w:color w:val="auto"/>
                <w:sz w:val="24"/>
                <w:szCs w:val="22"/>
                <w:highlight w:val="none"/>
                <w:lang w:val="en-US" w:eastAsia="zh-CN"/>
              </w:rPr>
              <w:t>用量约1</w:t>
            </w:r>
            <w:r>
              <w:rPr>
                <w:rFonts w:hint="eastAsia" w:cs="Times New Roman"/>
                <w:b w:val="0"/>
                <w:bCs w:val="0"/>
                <w:color w:val="auto"/>
                <w:sz w:val="24"/>
                <w:szCs w:val="22"/>
                <w:highlight w:val="none"/>
                <w:lang w:val="en-US" w:eastAsia="zh-CN"/>
              </w:rPr>
              <w:t>90</w:t>
            </w:r>
            <w:r>
              <w:rPr>
                <w:rFonts w:hint="eastAsia" w:ascii="Times New Roman" w:hAnsi="Times New Roman" w:eastAsia="宋体" w:cs="Times New Roman"/>
                <w:b w:val="0"/>
                <w:bCs w:val="0"/>
                <w:color w:val="auto"/>
                <w:sz w:val="24"/>
                <w:szCs w:val="22"/>
                <w:highlight w:val="none"/>
                <w:lang w:val="en-US" w:eastAsia="zh-CN"/>
              </w:rPr>
              <w:t>t/a；其中</w:t>
            </w:r>
            <w:r>
              <w:rPr>
                <w:rFonts w:hint="eastAsia"/>
                <w:color w:val="auto"/>
                <w:sz w:val="24"/>
                <w:szCs w:val="24"/>
                <w:highlight w:val="none"/>
                <w:lang w:val="en-US" w:eastAsia="zh-CN"/>
              </w:rPr>
              <w:t>原料聚氨酯</w:t>
            </w:r>
            <w:r>
              <w:rPr>
                <w:rFonts w:hint="eastAsia"/>
                <w:color w:val="auto"/>
                <w:sz w:val="24"/>
                <w:szCs w:val="24"/>
                <w:highlight w:val="none"/>
              </w:rPr>
              <w:t>A</w:t>
            </w:r>
            <w:r>
              <w:rPr>
                <w:rFonts w:hint="eastAsia"/>
                <w:color w:val="auto"/>
                <w:sz w:val="24"/>
                <w:szCs w:val="24"/>
                <w:highlight w:val="none"/>
                <w:lang w:val="en-US" w:eastAsia="zh-CN"/>
              </w:rPr>
              <w:t>料</w:t>
            </w:r>
            <w:r>
              <w:rPr>
                <w:rFonts w:hint="eastAsia"/>
                <w:color w:val="auto"/>
                <w:sz w:val="24"/>
                <w:szCs w:val="24"/>
                <w:highlight w:val="none"/>
              </w:rPr>
              <w:t>、B</w:t>
            </w:r>
            <w:r>
              <w:rPr>
                <w:rFonts w:hint="eastAsia"/>
                <w:color w:val="auto"/>
                <w:sz w:val="24"/>
                <w:szCs w:val="24"/>
                <w:highlight w:val="none"/>
                <w:lang w:val="en-US" w:eastAsia="zh-CN"/>
              </w:rPr>
              <w:t>料、C料和硬化剂</w:t>
            </w:r>
            <w:r>
              <w:rPr>
                <w:rFonts w:hint="eastAsia"/>
                <w:color w:val="auto"/>
                <w:sz w:val="24"/>
                <w:szCs w:val="24"/>
                <w:highlight w:val="none"/>
              </w:rPr>
              <w:t>按照</w:t>
            </w:r>
            <w:r>
              <w:rPr>
                <w:rFonts w:hint="eastAsia"/>
                <w:color w:val="auto"/>
                <w:sz w:val="24"/>
                <w:szCs w:val="24"/>
                <w:highlight w:val="none"/>
                <w:lang w:val="en-US" w:eastAsia="zh-CN"/>
              </w:rPr>
              <w:t>10</w:t>
            </w:r>
            <w:r>
              <w:rPr>
                <w:rFonts w:hint="eastAsia"/>
                <w:color w:val="auto"/>
                <w:sz w:val="24"/>
                <w:szCs w:val="24"/>
                <w:highlight w:val="none"/>
              </w:rPr>
              <w:t>:</w:t>
            </w:r>
            <w:r>
              <w:rPr>
                <w:rFonts w:hint="eastAsia"/>
                <w:color w:val="auto"/>
                <w:sz w:val="24"/>
                <w:szCs w:val="24"/>
                <w:highlight w:val="none"/>
                <w:lang w:val="en-US" w:eastAsia="zh-CN"/>
              </w:rPr>
              <w:t>10</w:t>
            </w:r>
            <w:r>
              <w:rPr>
                <w:rFonts w:hint="eastAsia"/>
                <w:color w:val="auto"/>
                <w:sz w:val="24"/>
                <w:szCs w:val="24"/>
                <w:highlight w:val="none"/>
              </w:rPr>
              <w:t>:</w:t>
            </w:r>
            <w:r>
              <w:rPr>
                <w:rFonts w:hint="eastAsia"/>
                <w:color w:val="auto"/>
                <w:sz w:val="24"/>
                <w:szCs w:val="24"/>
                <w:highlight w:val="none"/>
                <w:lang w:val="en-US" w:eastAsia="zh-CN"/>
              </w:rPr>
              <w:t>1:1配比浇注，则聚氨酯</w:t>
            </w:r>
            <w:r>
              <w:rPr>
                <w:rFonts w:hint="eastAsia"/>
                <w:color w:val="auto"/>
                <w:sz w:val="24"/>
                <w:szCs w:val="24"/>
                <w:highlight w:val="none"/>
              </w:rPr>
              <w:t>A</w:t>
            </w:r>
            <w:r>
              <w:rPr>
                <w:rFonts w:hint="eastAsia"/>
                <w:color w:val="auto"/>
                <w:sz w:val="24"/>
                <w:szCs w:val="24"/>
                <w:highlight w:val="none"/>
                <w:lang w:val="en-US" w:eastAsia="zh-CN"/>
              </w:rPr>
              <w:t>料</w:t>
            </w:r>
            <w:r>
              <w:rPr>
                <w:rFonts w:hint="eastAsia"/>
                <w:color w:val="auto"/>
                <w:sz w:val="24"/>
                <w:szCs w:val="24"/>
                <w:highlight w:val="none"/>
              </w:rPr>
              <w:t>、B</w:t>
            </w:r>
            <w:r>
              <w:rPr>
                <w:rFonts w:hint="eastAsia"/>
                <w:color w:val="auto"/>
                <w:sz w:val="24"/>
                <w:szCs w:val="24"/>
                <w:highlight w:val="none"/>
                <w:lang w:val="en-US" w:eastAsia="zh-CN"/>
              </w:rPr>
              <w:t>料、C料和硬化剂年用量分别约86.4t/a、86.4t/a、8.6t/a、8.6t/a。</w:t>
            </w:r>
          </w:p>
          <w:p w14:paraId="51A26F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sz w:val="24"/>
                <w:szCs w:val="22"/>
                <w:highlight w:val="none"/>
                <w:lang w:val="en-US" w:eastAsia="zh-CN"/>
              </w:rPr>
            </w:pPr>
            <w:r>
              <w:rPr>
                <w:rFonts w:hint="eastAsia"/>
                <w:color w:val="auto"/>
                <w:sz w:val="24"/>
                <w:szCs w:val="24"/>
                <w:highlight w:val="none"/>
                <w:lang w:val="en-US" w:eastAsia="zh-CN"/>
              </w:rPr>
              <w:t xml:space="preserve">   </w:t>
            </w:r>
            <w:r>
              <w:rPr>
                <w:rFonts w:hint="default" w:ascii="Times New Roman" w:hAnsi="Times New Roman" w:eastAsia="宋体" w:cs="Times New Roman"/>
                <w:color w:val="auto"/>
                <w:sz w:val="24"/>
                <w:szCs w:val="22"/>
                <w:highlight w:val="none"/>
                <w:lang w:val="en-US" w:eastAsia="zh-CN"/>
              </w:rPr>
              <w:t>（2）</w:t>
            </w:r>
            <w:r>
              <w:rPr>
                <w:rFonts w:hint="eastAsia" w:cs="Times New Roman"/>
                <w:color w:val="auto"/>
                <w:sz w:val="24"/>
                <w:szCs w:val="22"/>
                <w:highlight w:val="none"/>
                <w:lang w:val="en-US" w:eastAsia="zh-CN"/>
              </w:rPr>
              <w:t>PVC等物料</w:t>
            </w:r>
            <w:r>
              <w:rPr>
                <w:rFonts w:hint="default" w:ascii="Times New Roman" w:hAnsi="Times New Roman" w:eastAsia="宋体" w:cs="Times New Roman"/>
                <w:color w:val="auto"/>
                <w:sz w:val="24"/>
                <w:szCs w:val="22"/>
                <w:highlight w:val="none"/>
                <w:lang w:val="en-US" w:eastAsia="zh-CN"/>
              </w:rPr>
              <w:t xml:space="preserve">用量核算 </w:t>
            </w:r>
          </w:p>
          <w:p w14:paraId="134868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根据企业提供资料</w:t>
            </w:r>
            <w:r>
              <w:rPr>
                <w:rFonts w:hint="eastAsia" w:ascii="Times New Roman" w:hAnsi="Times New Roman" w:eastAsia="宋体" w:cs="Times New Roman"/>
                <w:color w:val="auto"/>
                <w:sz w:val="24"/>
                <w:szCs w:val="22"/>
                <w:highlight w:val="none"/>
                <w:lang w:val="en-US" w:eastAsia="zh-CN"/>
              </w:rPr>
              <w:t>，每双PVC连帮鞋鞋</w:t>
            </w:r>
            <w:r>
              <w:rPr>
                <w:rFonts w:hint="eastAsia" w:cs="Times New Roman"/>
                <w:color w:val="auto"/>
                <w:sz w:val="24"/>
                <w:szCs w:val="22"/>
                <w:highlight w:val="none"/>
                <w:lang w:val="en-US" w:eastAsia="zh-CN"/>
              </w:rPr>
              <w:t>底</w:t>
            </w:r>
            <w:r>
              <w:rPr>
                <w:rFonts w:hint="eastAsia" w:ascii="Times New Roman" w:hAnsi="Times New Roman" w:eastAsia="宋体" w:cs="Times New Roman"/>
                <w:color w:val="auto"/>
                <w:sz w:val="24"/>
                <w:szCs w:val="22"/>
                <w:highlight w:val="none"/>
                <w:lang w:val="en-US" w:eastAsia="zh-CN"/>
              </w:rPr>
              <w:t>重量约300g，年产75万双，</w:t>
            </w:r>
            <w:r>
              <w:rPr>
                <w:rFonts w:hint="eastAsia" w:cs="Times New Roman"/>
                <w:color w:val="auto"/>
                <w:sz w:val="24"/>
                <w:szCs w:val="22"/>
                <w:highlight w:val="none"/>
                <w:lang w:val="en-US" w:eastAsia="zh-CN"/>
              </w:rPr>
              <w:t>边角料及不合格品经破碎后回用，</w:t>
            </w:r>
            <w:r>
              <w:rPr>
                <w:rFonts w:hint="eastAsia" w:ascii="Times New Roman" w:hAnsi="Times New Roman" w:eastAsia="宋体" w:cs="Times New Roman"/>
                <w:color w:val="auto"/>
                <w:sz w:val="24"/>
                <w:szCs w:val="22"/>
                <w:highlight w:val="none"/>
                <w:lang w:val="en-US" w:eastAsia="zh-CN"/>
              </w:rPr>
              <w:t>则</w:t>
            </w:r>
            <w:r>
              <w:rPr>
                <w:rFonts w:hint="eastAsia" w:ascii="Times New Roman" w:hAnsi="Times New Roman" w:eastAsia="宋体" w:cs="Times New Roman"/>
                <w:b w:val="0"/>
                <w:bCs w:val="0"/>
                <w:color w:val="auto"/>
                <w:sz w:val="24"/>
                <w:szCs w:val="22"/>
                <w:highlight w:val="none"/>
                <w:lang w:val="en-US" w:eastAsia="zh-CN"/>
              </w:rPr>
              <w:t>PVC、碳酸钙等物料年用量约225t/a；其中</w:t>
            </w:r>
            <w:r>
              <w:rPr>
                <w:rFonts w:hint="eastAsia"/>
                <w:color w:val="auto"/>
                <w:sz w:val="24"/>
                <w:szCs w:val="24"/>
                <w:highlight w:val="none"/>
                <w:lang w:val="en-US" w:eastAsia="zh-CN"/>
              </w:rPr>
              <w:t>原料PVC树脂粉</w:t>
            </w:r>
            <w:r>
              <w:rPr>
                <w:rFonts w:hint="eastAsia"/>
                <w:color w:val="auto"/>
                <w:sz w:val="24"/>
                <w:szCs w:val="24"/>
                <w:highlight w:val="none"/>
              </w:rPr>
              <w:t>、</w:t>
            </w:r>
            <w:r>
              <w:rPr>
                <w:rFonts w:hint="eastAsia"/>
                <w:color w:val="auto"/>
                <w:sz w:val="24"/>
                <w:szCs w:val="24"/>
                <w:highlight w:val="none"/>
                <w:lang w:val="en-US" w:eastAsia="zh-CN"/>
              </w:rPr>
              <w:t>碳酸钙和增塑剂</w:t>
            </w:r>
            <w:r>
              <w:rPr>
                <w:rFonts w:hint="eastAsia"/>
                <w:color w:val="auto"/>
                <w:sz w:val="24"/>
                <w:szCs w:val="24"/>
                <w:highlight w:val="none"/>
              </w:rPr>
              <w:t>按照</w:t>
            </w:r>
            <w:r>
              <w:rPr>
                <w:rFonts w:hint="eastAsia"/>
                <w:color w:val="auto"/>
                <w:sz w:val="24"/>
                <w:szCs w:val="24"/>
                <w:highlight w:val="none"/>
                <w:lang w:val="en-US" w:eastAsia="zh-CN"/>
              </w:rPr>
              <w:t>1</w:t>
            </w:r>
            <w:r>
              <w:rPr>
                <w:rFonts w:hint="eastAsia"/>
                <w:color w:val="auto"/>
                <w:sz w:val="24"/>
                <w:szCs w:val="24"/>
                <w:highlight w:val="none"/>
              </w:rPr>
              <w:t>:</w:t>
            </w:r>
            <w:r>
              <w:rPr>
                <w:rFonts w:hint="eastAsia"/>
                <w:color w:val="auto"/>
                <w:sz w:val="24"/>
                <w:szCs w:val="24"/>
                <w:highlight w:val="none"/>
                <w:lang w:val="en-US" w:eastAsia="zh-CN"/>
              </w:rPr>
              <w:t>1</w:t>
            </w:r>
            <w:r>
              <w:rPr>
                <w:rFonts w:hint="eastAsia"/>
                <w:color w:val="auto"/>
                <w:sz w:val="24"/>
                <w:szCs w:val="24"/>
                <w:highlight w:val="none"/>
              </w:rPr>
              <w:t>:</w:t>
            </w:r>
            <w:r>
              <w:rPr>
                <w:rFonts w:hint="eastAsia"/>
                <w:color w:val="auto"/>
                <w:sz w:val="24"/>
                <w:szCs w:val="24"/>
                <w:highlight w:val="none"/>
                <w:lang w:val="en-US" w:eastAsia="zh-CN"/>
              </w:rPr>
              <w:t>1配比注塑，则PV</w:t>
            </w:r>
            <w:r>
              <w:rPr>
                <w:rFonts w:hint="eastAsia" w:ascii="Times New Roman" w:hAnsi="Times New Roman" w:eastAsia="宋体" w:cs="Times New Roman"/>
                <w:b w:val="0"/>
                <w:bCs w:val="0"/>
                <w:color w:val="auto"/>
                <w:sz w:val="24"/>
                <w:szCs w:val="22"/>
                <w:highlight w:val="none"/>
                <w:lang w:val="en-US" w:eastAsia="zh-CN"/>
              </w:rPr>
              <w:t>C树脂粉、碳酸钙和增塑剂年用量均约75t/a。</w:t>
            </w:r>
          </w:p>
          <w:p w14:paraId="34DE9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2"/>
                <w:highlight w:val="none"/>
                <w:lang w:val="en-US" w:eastAsia="zh-CN"/>
              </w:rPr>
            </w:pPr>
            <w:r>
              <w:rPr>
                <w:rFonts w:hint="eastAsia" w:ascii="Times New Roman" w:hAnsi="Times New Roman" w:eastAsia="宋体" w:cs="Times New Roman"/>
                <w:b w:val="0"/>
                <w:bCs w:val="0"/>
                <w:color w:val="auto"/>
                <w:sz w:val="24"/>
                <w:szCs w:val="22"/>
                <w:highlight w:val="none"/>
                <w:lang w:val="en-US" w:eastAsia="zh-CN"/>
              </w:rPr>
              <w:t>（3）脱模剂</w:t>
            </w:r>
            <w:r>
              <w:rPr>
                <w:rFonts w:hint="default" w:ascii="Times New Roman" w:hAnsi="Times New Roman" w:eastAsia="宋体" w:cs="Times New Roman"/>
                <w:b w:val="0"/>
                <w:bCs w:val="0"/>
                <w:color w:val="auto"/>
                <w:sz w:val="24"/>
                <w:szCs w:val="22"/>
                <w:highlight w:val="none"/>
                <w:lang w:val="en-US" w:eastAsia="zh-CN"/>
              </w:rPr>
              <w:t>用量核算</w:t>
            </w:r>
          </w:p>
          <w:p w14:paraId="273F21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color w:val="auto"/>
                <w:sz w:val="24"/>
                <w:szCs w:val="22"/>
                <w:highlight w:val="none"/>
                <w:lang w:val="en-US" w:eastAsia="zh-CN"/>
              </w:rPr>
            </w:pPr>
            <w:r>
              <w:rPr>
                <w:rFonts w:hint="eastAsia" w:ascii="Times New Roman" w:hAnsi="Times New Roman" w:eastAsia="宋体" w:cs="Times New Roman"/>
                <w:b w:val="0"/>
                <w:bCs w:val="0"/>
                <w:color w:val="auto"/>
                <w:sz w:val="24"/>
                <w:szCs w:val="22"/>
                <w:highlight w:val="none"/>
                <w:lang w:val="en-US" w:eastAsia="zh-CN"/>
              </w:rPr>
              <w:t>聚氨酯连帮鞋生产过程中，上模具和枪头清洗工序会使用到脱模剂。聚氨酯连帮鞋生产线共设置30个模具，其中每个模具每天需喷脱模剂4次，每次约10ml</w:t>
            </w:r>
            <w:r>
              <w:rPr>
                <w:rFonts w:hint="eastAsia" w:cs="Times New Roman"/>
                <w:b w:val="0"/>
                <w:bCs w:val="0"/>
                <w:color w:val="auto"/>
                <w:sz w:val="24"/>
                <w:szCs w:val="22"/>
                <w:highlight w:val="none"/>
                <w:lang w:val="en-US" w:eastAsia="zh-CN"/>
              </w:rPr>
              <w:t>，则脱模剂使用量约1.2L/d</w:t>
            </w:r>
            <w:r>
              <w:rPr>
                <w:rFonts w:hint="eastAsia" w:ascii="Times New Roman" w:hAnsi="Times New Roman" w:eastAsia="宋体" w:cs="Times New Roman"/>
                <w:b w:val="0"/>
                <w:bCs w:val="0"/>
                <w:color w:val="auto"/>
                <w:sz w:val="24"/>
                <w:szCs w:val="22"/>
                <w:highlight w:val="none"/>
                <w:lang w:val="en-US" w:eastAsia="zh-CN"/>
              </w:rPr>
              <w:t>；浇注机浇注枪头每十分钟自动清洗一次，每次清洗量约5ml，聚氨酯连帮鞋生产线共设置3台浇注机</w:t>
            </w:r>
            <w:r>
              <w:rPr>
                <w:rFonts w:hint="eastAsia" w:cs="Times New Roman"/>
                <w:b w:val="0"/>
                <w:bCs w:val="0"/>
                <w:color w:val="auto"/>
                <w:sz w:val="24"/>
                <w:szCs w:val="22"/>
                <w:highlight w:val="none"/>
                <w:lang w:val="en-US" w:eastAsia="zh-CN"/>
              </w:rPr>
              <w:t>，则脱模剂使用量约0.72L/d</w:t>
            </w:r>
            <w:r>
              <w:rPr>
                <w:rFonts w:hint="eastAsia" w:ascii="Times New Roman" w:hAnsi="Times New Roman" w:eastAsia="宋体" w:cs="Times New Roman"/>
                <w:b w:val="0"/>
                <w:bCs w:val="0"/>
                <w:color w:val="auto"/>
                <w:sz w:val="24"/>
                <w:szCs w:val="22"/>
                <w:highlight w:val="none"/>
                <w:lang w:val="en-US" w:eastAsia="zh-CN"/>
              </w:rPr>
              <w:t>；综上计算，本项目共使用脱模剂约0.5t/a。</w:t>
            </w:r>
          </w:p>
          <w:p w14:paraId="514E80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b/>
                <w:color w:val="auto"/>
                <w:sz w:val="24"/>
                <w:szCs w:val="22"/>
                <w:highlight w:val="none"/>
                <w:lang w:val="en-US" w:eastAsia="zh-CN"/>
              </w:rPr>
              <w:t>8</w:t>
            </w:r>
            <w:r>
              <w:rPr>
                <w:rFonts w:hint="default" w:ascii="Times New Roman" w:hAnsi="Times New Roman" w:eastAsia="宋体" w:cs="Times New Roman"/>
                <w:b/>
                <w:color w:val="auto"/>
                <w:sz w:val="24"/>
                <w:szCs w:val="22"/>
                <w:highlight w:val="none"/>
              </w:rPr>
              <w:t>、项目水平衡</w:t>
            </w:r>
          </w:p>
          <w:p w14:paraId="1441BFD5">
            <w:pPr>
              <w:pStyle w:val="203"/>
              <w:keepNext w:val="0"/>
              <w:keepLines w:val="0"/>
              <w:pageBreakBefore w:val="0"/>
              <w:widowControl w:val="0"/>
              <w:numPr>
                <w:ilvl w:val="0"/>
                <w:numId w:val="0"/>
              </w:numPr>
              <w:suppressLineNumbers w:val="0"/>
              <w:tabs>
                <w:tab w:val="left" w:pos="1197"/>
              </w:tabs>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职工生活用水</w:t>
            </w:r>
          </w:p>
          <w:p w14:paraId="75566977">
            <w:pPr>
              <w:pStyle w:val="203"/>
              <w:keepNext w:val="0"/>
              <w:keepLines w:val="0"/>
              <w:pageBreakBefore w:val="0"/>
              <w:widowControl w:val="0"/>
              <w:numPr>
                <w:ilvl w:val="0"/>
                <w:numId w:val="0"/>
              </w:numPr>
              <w:suppressLineNumbers w:val="0"/>
              <w:tabs>
                <w:tab w:val="left" w:pos="1197"/>
              </w:tabs>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eastAsia="zh-CN"/>
              </w:rPr>
              <w:t>本项目</w:t>
            </w:r>
            <w:r>
              <w:rPr>
                <w:rFonts w:hint="eastAsia" w:cs="Times New Roman"/>
                <w:color w:val="auto"/>
                <w:sz w:val="24"/>
                <w:szCs w:val="24"/>
                <w:highlight w:val="none"/>
                <w:lang w:val="en-US" w:eastAsia="zh-CN"/>
              </w:rPr>
              <w:t>劳动</w:t>
            </w:r>
            <w:r>
              <w:rPr>
                <w:color w:val="auto"/>
                <w:sz w:val="24"/>
                <w:szCs w:val="24"/>
                <w:highlight w:val="none"/>
              </w:rPr>
              <w:t>定员</w:t>
            </w:r>
            <w:r>
              <w:rPr>
                <w:rFonts w:hint="eastAsia"/>
                <w:color w:val="auto"/>
                <w:sz w:val="24"/>
                <w:szCs w:val="24"/>
                <w:highlight w:val="none"/>
                <w:lang w:val="en-US" w:eastAsia="zh-CN"/>
              </w:rPr>
              <w:t>50</w:t>
            </w:r>
            <w:r>
              <w:rPr>
                <w:color w:val="auto"/>
                <w:sz w:val="24"/>
                <w:szCs w:val="24"/>
                <w:highlight w:val="none"/>
              </w:rPr>
              <w:t>人</w:t>
            </w:r>
            <w:r>
              <w:rPr>
                <w:rFonts w:hint="eastAsia"/>
                <w:color w:val="auto"/>
                <w:sz w:val="24"/>
                <w:szCs w:val="24"/>
                <w:highlight w:val="none"/>
                <w:lang w:eastAsia="zh-CN"/>
              </w:rPr>
              <w:t>，</w:t>
            </w:r>
            <w:r>
              <w:rPr>
                <w:rFonts w:hint="default" w:ascii="Times New Roman" w:hAnsi="Times New Roman" w:cs="Times New Roman"/>
                <w:color w:val="auto"/>
                <w:sz w:val="24"/>
                <w:szCs w:val="24"/>
                <w:highlight w:val="none"/>
              </w:rPr>
              <w:t>年工作</w:t>
            </w:r>
            <w:r>
              <w:rPr>
                <w:rFonts w:hint="eastAsia" w:cs="Times New Roman"/>
                <w:color w:val="auto"/>
                <w:sz w:val="24"/>
                <w:szCs w:val="24"/>
                <w:highlight w:val="none"/>
                <w:lang w:val="en-US" w:eastAsia="zh-CN"/>
              </w:rPr>
              <w:t>260</w:t>
            </w:r>
            <w:r>
              <w:rPr>
                <w:rFonts w:hint="eastAsia" w:ascii="Times New Roman" w:hAnsi="Times New Roman" w:cs="Times New Roman"/>
                <w:color w:val="auto"/>
                <w:sz w:val="24"/>
                <w:szCs w:val="24"/>
                <w:highlight w:val="none"/>
                <w:lang w:val="en-US" w:eastAsia="zh-CN"/>
              </w:rPr>
              <w:t>d</w:t>
            </w:r>
            <w:r>
              <w:rPr>
                <w:rFonts w:hint="eastAsia"/>
                <w:color w:val="auto"/>
                <w:sz w:val="24"/>
                <w:szCs w:val="24"/>
                <w:highlight w:val="none"/>
              </w:rPr>
              <w:t>，</w:t>
            </w:r>
            <w:r>
              <w:rPr>
                <w:color w:val="auto"/>
                <w:sz w:val="24"/>
                <w:szCs w:val="24"/>
                <w:highlight w:val="none"/>
              </w:rPr>
              <w:t>根据《建筑给水排水设计规范》（GB50015-20</w:t>
            </w:r>
            <w:r>
              <w:rPr>
                <w:rFonts w:hint="eastAsia"/>
                <w:color w:val="auto"/>
                <w:sz w:val="24"/>
                <w:szCs w:val="24"/>
                <w:highlight w:val="none"/>
              </w:rPr>
              <w:t>1</w:t>
            </w:r>
            <w:r>
              <w:rPr>
                <w:color w:val="auto"/>
                <w:sz w:val="24"/>
                <w:szCs w:val="24"/>
                <w:highlight w:val="none"/>
              </w:rPr>
              <w:t>9）中有关厂内用水指标计算，</w:t>
            </w:r>
            <w:r>
              <w:rPr>
                <w:rFonts w:hint="eastAsia"/>
                <w:color w:val="auto"/>
                <w:sz w:val="24"/>
                <w:szCs w:val="24"/>
                <w:highlight w:val="none"/>
              </w:rPr>
              <w:t>非住宿人员生活用水量以</w:t>
            </w:r>
            <w:r>
              <w:rPr>
                <w:rFonts w:hint="default" w:ascii="Times New Roman" w:hAnsi="Times New Roman" w:eastAsia="宋体" w:cs="Times New Roman"/>
                <w:color w:val="auto"/>
                <w:sz w:val="24"/>
                <w:szCs w:val="24"/>
                <w:highlight w:val="none"/>
              </w:rPr>
              <w:t>50L/人</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d计</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则用水量为</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650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/a）；排水量按80%计，则生活污水排放量为</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520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p>
          <w:p w14:paraId="64986EB5">
            <w:pPr>
              <w:pStyle w:val="203"/>
              <w:keepNext w:val="0"/>
              <w:keepLines w:val="0"/>
              <w:pageBreakBefore w:val="0"/>
              <w:widowControl w:val="0"/>
              <w:numPr>
                <w:ilvl w:val="0"/>
                <w:numId w:val="0"/>
              </w:numPr>
              <w:suppressLineNumbers w:val="0"/>
              <w:tabs>
                <w:tab w:val="left" w:pos="1197"/>
              </w:tabs>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（2）食堂用水</w:t>
            </w:r>
          </w:p>
          <w:p w14:paraId="0ECBF38B">
            <w:pPr>
              <w:pStyle w:val="203"/>
              <w:keepNext w:val="0"/>
              <w:keepLines w:val="0"/>
              <w:pageBreakBefore w:val="0"/>
              <w:widowControl w:val="0"/>
              <w:numPr>
                <w:ilvl w:val="0"/>
                <w:numId w:val="0"/>
              </w:numPr>
              <w:suppressLineNumbers w:val="0"/>
              <w:tabs>
                <w:tab w:val="left" w:pos="1197"/>
              </w:tabs>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厂区配套职工食堂，食堂用水量以</w:t>
            </w: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L/人·d计，则食堂用水量</w:t>
            </w:r>
            <w:r>
              <w:rPr>
                <w:rFonts w:hint="eastAsia" w:cs="Times New Roman"/>
                <w:color w:val="auto"/>
                <w:sz w:val="24"/>
                <w:szCs w:val="24"/>
                <w:highlight w:val="none"/>
                <w:lang w:val="en-US" w:eastAsia="zh-CN"/>
              </w:rPr>
              <w:t>0.75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195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/a）；排水量按80%计，则食堂废水排放量为</w:t>
            </w:r>
            <w:r>
              <w:rPr>
                <w:rFonts w:hint="eastAsia" w:cs="Times New Roman"/>
                <w:color w:val="auto"/>
                <w:sz w:val="24"/>
                <w:szCs w:val="24"/>
                <w:highlight w:val="none"/>
                <w:lang w:val="en-US" w:eastAsia="zh-CN"/>
              </w:rPr>
              <w:t>0.6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156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rPr>
              <w:t>。</w:t>
            </w:r>
          </w:p>
          <w:p w14:paraId="38B28699">
            <w:pPr>
              <w:pStyle w:val="203"/>
              <w:keepNext w:val="0"/>
              <w:keepLines w:val="0"/>
              <w:pageBreakBefore w:val="0"/>
              <w:widowControl w:val="0"/>
              <w:suppressLineNumbers w:val="0"/>
              <w:tabs>
                <w:tab w:val="left" w:pos="1061"/>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SA"/>
              </w:rPr>
              <w:t>（</w:t>
            </w:r>
            <w:r>
              <w:rPr>
                <w:rFonts w:hint="eastAsia" w:ascii="Times New Roman" w:hAnsi="Times New Roman" w:eastAsia="宋体" w:cs="Times New Roman"/>
                <w:snapToGrid/>
                <w:color w:val="auto"/>
                <w:kern w:val="2"/>
                <w:sz w:val="24"/>
                <w:szCs w:val="24"/>
                <w:highlight w:val="none"/>
                <w:lang w:val="en-US" w:eastAsia="zh-CN" w:bidi="ar-SA"/>
              </w:rPr>
              <w:t>3</w:t>
            </w:r>
            <w:r>
              <w:rPr>
                <w:rFonts w:hint="default" w:ascii="Times New Roman" w:hAnsi="Times New Roman" w:eastAsia="宋体" w:cs="Times New Roman"/>
                <w:snapToGrid/>
                <w:color w:val="auto"/>
                <w:kern w:val="2"/>
                <w:sz w:val="24"/>
                <w:szCs w:val="24"/>
                <w:highlight w:val="none"/>
                <w:lang w:val="en-US" w:eastAsia="zh-CN" w:bidi="ar-SA"/>
              </w:rPr>
              <w:t>）</w:t>
            </w:r>
            <w:r>
              <w:rPr>
                <w:rFonts w:hint="eastAsia" w:ascii="Times New Roman" w:hAnsi="Times New Roman" w:eastAsia="宋体" w:cs="Times New Roman"/>
                <w:snapToGrid/>
                <w:color w:val="auto"/>
                <w:kern w:val="2"/>
                <w:sz w:val="24"/>
                <w:szCs w:val="24"/>
                <w:highlight w:val="none"/>
                <w:lang w:val="en-US" w:eastAsia="zh-CN" w:bidi="ar-SA"/>
              </w:rPr>
              <w:t>地坪</w:t>
            </w:r>
            <w:r>
              <w:rPr>
                <w:rFonts w:hint="default" w:ascii="Times New Roman" w:hAnsi="Times New Roman" w:eastAsia="宋体" w:cs="Times New Roman"/>
                <w:snapToGrid/>
                <w:color w:val="auto"/>
                <w:kern w:val="2"/>
                <w:sz w:val="24"/>
                <w:szCs w:val="24"/>
                <w:highlight w:val="none"/>
                <w:lang w:val="en-US" w:eastAsia="zh-CN" w:bidi="ar-SA"/>
              </w:rPr>
              <w:t>保洁用水</w:t>
            </w:r>
          </w:p>
          <w:p w14:paraId="245461A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color w:val="auto"/>
                <w:kern w:val="2"/>
                <w:sz w:val="24"/>
                <w:szCs w:val="24"/>
                <w:highlight w:val="none"/>
                <w:lang w:val="en-US" w:eastAsia="zh-CN" w:bidi="ar-SA"/>
              </w:rPr>
              <w:t>本项目</w:t>
            </w:r>
            <w:r>
              <w:rPr>
                <w:rFonts w:hint="eastAsia" w:cs="Times New Roman"/>
                <w:snapToGrid/>
                <w:color w:val="auto"/>
                <w:kern w:val="2"/>
                <w:sz w:val="24"/>
                <w:szCs w:val="24"/>
                <w:highlight w:val="none"/>
                <w:lang w:val="en-US" w:eastAsia="zh-CN" w:bidi="ar-SA"/>
              </w:rPr>
              <w:t>生产服装和鞋帮面的1#厂房</w:t>
            </w:r>
            <w:r>
              <w:rPr>
                <w:rFonts w:hint="default" w:ascii="Times New Roman" w:hAnsi="Times New Roman" w:eastAsia="宋体" w:cs="Times New Roman"/>
                <w:snapToGrid/>
                <w:color w:val="auto"/>
                <w:kern w:val="2"/>
                <w:sz w:val="24"/>
                <w:szCs w:val="24"/>
                <w:highlight w:val="none"/>
                <w:lang w:val="en-US" w:eastAsia="zh-CN" w:bidi="ar-SA"/>
              </w:rPr>
              <w:t>保洁采用干清扫的方式，</w:t>
            </w:r>
            <w:r>
              <w:rPr>
                <w:rFonts w:hint="eastAsia" w:cs="Times New Roman"/>
                <w:snapToGrid/>
                <w:color w:val="auto"/>
                <w:kern w:val="2"/>
                <w:sz w:val="24"/>
                <w:szCs w:val="24"/>
                <w:highlight w:val="none"/>
                <w:lang w:val="en-US" w:eastAsia="zh-CN" w:bidi="ar-SA"/>
              </w:rPr>
              <w:t>2#厂房</w:t>
            </w:r>
            <w:r>
              <w:rPr>
                <w:rFonts w:hint="eastAsia" w:ascii="Times New Roman" w:hAnsi="Times New Roman" w:eastAsia="宋体" w:cs="Times New Roman"/>
                <w:snapToGrid/>
                <w:color w:val="auto"/>
                <w:kern w:val="2"/>
                <w:sz w:val="24"/>
                <w:szCs w:val="24"/>
                <w:highlight w:val="none"/>
                <w:lang w:val="en-US" w:eastAsia="zh-CN" w:bidi="ar-SA"/>
              </w:rPr>
              <w:t>采用</w:t>
            </w:r>
            <w:r>
              <w:rPr>
                <w:rFonts w:hint="default" w:ascii="Times New Roman" w:hAnsi="Times New Roman" w:eastAsia="宋体" w:cs="Times New Roman"/>
                <w:snapToGrid/>
                <w:color w:val="auto"/>
                <w:kern w:val="2"/>
                <w:sz w:val="24"/>
                <w:szCs w:val="24"/>
                <w:highlight w:val="none"/>
                <w:lang w:val="en-US" w:eastAsia="zh-CN" w:bidi="ar-SA"/>
              </w:rPr>
              <w:t>进行干清扫</w:t>
            </w:r>
            <w:r>
              <w:rPr>
                <w:rFonts w:hint="eastAsia" w:ascii="Times New Roman" w:hAnsi="Times New Roman" w:eastAsia="宋体" w:cs="Times New Roman"/>
                <w:snapToGrid/>
                <w:color w:val="auto"/>
                <w:kern w:val="2"/>
                <w:sz w:val="24"/>
                <w:szCs w:val="24"/>
                <w:highlight w:val="none"/>
                <w:lang w:val="en-US" w:eastAsia="zh-CN" w:bidi="ar-SA"/>
              </w:rPr>
              <w:t>+</w:t>
            </w:r>
            <w:r>
              <w:rPr>
                <w:rFonts w:hint="default" w:ascii="Times New Roman" w:hAnsi="Times New Roman" w:eastAsia="宋体" w:cs="Times New Roman"/>
                <w:snapToGrid/>
                <w:color w:val="auto"/>
                <w:kern w:val="2"/>
                <w:sz w:val="24"/>
                <w:szCs w:val="24"/>
                <w:highlight w:val="none"/>
                <w:lang w:val="en-US" w:eastAsia="zh-CN" w:bidi="ar-SA"/>
              </w:rPr>
              <w:t>拖洗的方式，每天进行一次保洁</w:t>
            </w:r>
            <w:r>
              <w:rPr>
                <w:rFonts w:hint="eastAsia" w:ascii="Times New Roman" w:hAnsi="Times New Roman" w:eastAsia="宋体" w:cs="Times New Roman"/>
                <w:snapToGrid/>
                <w:color w:val="auto"/>
                <w:kern w:val="2"/>
                <w:sz w:val="24"/>
                <w:szCs w:val="24"/>
                <w:highlight w:val="none"/>
                <w:lang w:val="en-US" w:eastAsia="zh-CN" w:bidi="ar-SA"/>
              </w:rPr>
              <w:t>。</w:t>
            </w:r>
            <w:r>
              <w:rPr>
                <w:rFonts w:hint="default" w:ascii="Times New Roman" w:hAnsi="Times New Roman" w:eastAsia="宋体" w:cs="Times New Roman"/>
                <w:snapToGrid/>
                <w:color w:val="auto"/>
                <w:kern w:val="2"/>
                <w:sz w:val="24"/>
                <w:szCs w:val="24"/>
                <w:highlight w:val="none"/>
                <w:lang w:val="en-US" w:eastAsia="zh-CN" w:bidi="ar-SA"/>
              </w:rPr>
              <w:t>根据建设单位提供资料，</w:t>
            </w:r>
            <w:r>
              <w:rPr>
                <w:rFonts w:hint="eastAsia" w:ascii="Times New Roman" w:hAnsi="Times New Roman" w:eastAsia="宋体" w:cs="Times New Roman"/>
                <w:snapToGrid/>
                <w:color w:val="auto"/>
                <w:kern w:val="2"/>
                <w:sz w:val="24"/>
                <w:szCs w:val="24"/>
                <w:highlight w:val="none"/>
                <w:lang w:val="en-US" w:eastAsia="zh-CN" w:bidi="ar-SA"/>
              </w:rPr>
              <w:t>保洁</w:t>
            </w:r>
            <w:r>
              <w:rPr>
                <w:rFonts w:hint="default" w:ascii="Times New Roman" w:hAnsi="Times New Roman" w:eastAsia="宋体" w:cs="Times New Roman"/>
                <w:snapToGrid/>
                <w:color w:val="auto"/>
                <w:kern w:val="2"/>
                <w:sz w:val="24"/>
                <w:szCs w:val="24"/>
                <w:highlight w:val="none"/>
                <w:lang w:val="en-US" w:eastAsia="zh-CN" w:bidi="ar-SA"/>
              </w:rPr>
              <w:t>用水量约为0.</w:t>
            </w:r>
            <w:r>
              <w:rPr>
                <w:rFonts w:hint="eastAsia" w:ascii="Times New Roman" w:hAnsi="Times New Roman" w:eastAsia="宋体" w:cs="Times New Roman"/>
                <w:snapToGrid/>
                <w:color w:val="auto"/>
                <w:kern w:val="2"/>
                <w:sz w:val="24"/>
                <w:szCs w:val="24"/>
                <w:highlight w:val="none"/>
                <w:lang w:val="en-US" w:eastAsia="zh-CN" w:bidi="ar-SA"/>
              </w:rPr>
              <w:t>3</w:t>
            </w:r>
            <w:r>
              <w:rPr>
                <w:rFonts w:hint="default" w:ascii="Times New Roman" w:hAnsi="Times New Roman" w:eastAsia="宋体" w:cs="Times New Roman"/>
                <w:snapToGrid/>
                <w:color w:val="auto"/>
                <w:kern w:val="2"/>
                <w:sz w:val="24"/>
                <w:szCs w:val="24"/>
                <w:highlight w:val="none"/>
                <w:lang w:val="en-US" w:eastAsia="zh-CN" w:bidi="ar-SA"/>
              </w:rPr>
              <w:t>L/m</w:t>
            </w:r>
            <w:r>
              <w:rPr>
                <w:rFonts w:hint="default" w:ascii="Times New Roman" w:hAnsi="Times New Roman" w:eastAsia="宋体" w:cs="Times New Roman"/>
                <w:snapToGrid/>
                <w:color w:val="auto"/>
                <w:kern w:val="2"/>
                <w:sz w:val="24"/>
                <w:szCs w:val="24"/>
                <w:highlight w:val="none"/>
                <w:vertAlign w:val="superscript"/>
                <w:lang w:val="en-US" w:eastAsia="zh-CN" w:bidi="ar-SA"/>
              </w:rPr>
              <w:t>2</w:t>
            </w:r>
            <w:r>
              <w:rPr>
                <w:rFonts w:hint="default" w:ascii="Times New Roman" w:hAnsi="Times New Roman" w:eastAsia="宋体" w:cs="Times New Roman"/>
                <w:snapToGrid/>
                <w:color w:val="auto"/>
                <w:kern w:val="2"/>
                <w:sz w:val="24"/>
                <w:szCs w:val="24"/>
                <w:highlight w:val="none"/>
                <w:lang w:val="en-US" w:eastAsia="zh-CN" w:bidi="ar-SA"/>
              </w:rPr>
              <w:t>，项目</w:t>
            </w:r>
            <w:r>
              <w:rPr>
                <w:rFonts w:hint="eastAsia" w:ascii="Times New Roman" w:hAnsi="Times New Roman" w:eastAsia="宋体" w:cs="Times New Roman"/>
                <w:snapToGrid/>
                <w:color w:val="auto"/>
                <w:kern w:val="2"/>
                <w:sz w:val="24"/>
                <w:szCs w:val="24"/>
                <w:highlight w:val="none"/>
                <w:lang w:val="en-US" w:eastAsia="zh-CN" w:bidi="ar-SA"/>
              </w:rPr>
              <w:t>鞋底生产</w:t>
            </w:r>
            <w:r>
              <w:rPr>
                <w:rFonts w:hint="default" w:ascii="Times New Roman" w:hAnsi="Times New Roman" w:eastAsia="宋体" w:cs="Times New Roman"/>
                <w:snapToGrid/>
                <w:color w:val="auto"/>
                <w:kern w:val="2"/>
                <w:sz w:val="24"/>
                <w:szCs w:val="24"/>
                <w:highlight w:val="none"/>
                <w:lang w:val="en-US" w:eastAsia="zh-CN" w:bidi="ar-SA"/>
              </w:rPr>
              <w:t>车间需要保洁的面积约</w:t>
            </w:r>
            <w:r>
              <w:rPr>
                <w:rFonts w:hint="eastAsia" w:ascii="Times New Roman" w:hAnsi="Times New Roman" w:eastAsia="宋体" w:cs="Times New Roman"/>
                <w:snapToGrid/>
                <w:color w:val="auto"/>
                <w:kern w:val="2"/>
                <w:sz w:val="24"/>
                <w:szCs w:val="24"/>
                <w:highlight w:val="none"/>
                <w:lang w:val="en-US" w:eastAsia="zh-CN" w:bidi="ar-SA"/>
              </w:rPr>
              <w:t>15</w:t>
            </w:r>
            <w:r>
              <w:rPr>
                <w:rFonts w:hint="default" w:ascii="Times New Roman" w:hAnsi="Times New Roman" w:eastAsia="宋体" w:cs="Times New Roman"/>
                <w:snapToGrid/>
                <w:color w:val="auto"/>
                <w:kern w:val="2"/>
                <w:sz w:val="24"/>
                <w:szCs w:val="24"/>
                <w:highlight w:val="none"/>
                <w:lang w:val="en-US" w:eastAsia="zh-CN" w:bidi="ar-SA"/>
              </w:rPr>
              <w:t>00m</w:t>
            </w:r>
            <w:r>
              <w:rPr>
                <w:rFonts w:hint="default" w:ascii="Times New Roman" w:hAnsi="Times New Roman" w:eastAsia="宋体" w:cs="Times New Roman"/>
                <w:snapToGrid/>
                <w:color w:val="auto"/>
                <w:kern w:val="2"/>
                <w:sz w:val="24"/>
                <w:szCs w:val="24"/>
                <w:highlight w:val="none"/>
                <w:vertAlign w:val="superscript"/>
                <w:lang w:val="en-US" w:eastAsia="zh-CN" w:bidi="ar-SA"/>
              </w:rPr>
              <w:t>2</w:t>
            </w:r>
            <w:r>
              <w:rPr>
                <w:rFonts w:hint="default" w:ascii="Times New Roman" w:hAnsi="Times New Roman" w:eastAsia="宋体" w:cs="Times New Roman"/>
                <w:snapToGrid/>
                <w:color w:val="auto"/>
                <w:kern w:val="2"/>
                <w:sz w:val="24"/>
                <w:szCs w:val="24"/>
                <w:highlight w:val="none"/>
                <w:lang w:val="en-US" w:eastAsia="zh-CN" w:bidi="ar-SA"/>
              </w:rPr>
              <w:t>，</w:t>
            </w:r>
            <w:r>
              <w:rPr>
                <w:rFonts w:hint="eastAsia" w:ascii="Times New Roman" w:hAnsi="Times New Roman" w:eastAsia="宋体" w:cs="Times New Roman"/>
                <w:snapToGrid/>
                <w:color w:val="auto"/>
                <w:kern w:val="2"/>
                <w:sz w:val="24"/>
                <w:szCs w:val="24"/>
                <w:highlight w:val="none"/>
                <w:lang w:val="en-US" w:eastAsia="zh-CN" w:bidi="ar-SA"/>
              </w:rPr>
              <w:t>则</w:t>
            </w:r>
            <w:r>
              <w:rPr>
                <w:rFonts w:hint="default" w:ascii="Times New Roman" w:hAnsi="Times New Roman" w:eastAsia="宋体" w:cs="Times New Roman"/>
                <w:snapToGrid/>
                <w:color w:val="auto"/>
                <w:kern w:val="2"/>
                <w:sz w:val="24"/>
                <w:szCs w:val="24"/>
                <w:highlight w:val="none"/>
                <w:lang w:val="en-US" w:eastAsia="zh-CN" w:bidi="ar-SA"/>
              </w:rPr>
              <w:t>车间地面保洁用水量为</w:t>
            </w:r>
            <w:r>
              <w:rPr>
                <w:rFonts w:hint="eastAsia" w:ascii="Times New Roman" w:hAnsi="Times New Roman" w:eastAsia="宋体" w:cs="Times New Roman"/>
                <w:snapToGrid/>
                <w:color w:val="auto"/>
                <w:kern w:val="2"/>
                <w:sz w:val="24"/>
                <w:szCs w:val="24"/>
                <w:highlight w:val="none"/>
                <w:lang w:val="en-US" w:eastAsia="zh-CN" w:bidi="ar-SA"/>
              </w:rPr>
              <w:t>0.45</w:t>
            </w:r>
            <w:r>
              <w:rPr>
                <w:rFonts w:hint="default" w:ascii="Times New Roman" w:hAnsi="Times New Roman" w:eastAsia="宋体" w:cs="Times New Roman"/>
                <w:snapToGrid/>
                <w:color w:val="auto"/>
                <w:kern w:val="2"/>
                <w:sz w:val="24"/>
                <w:szCs w:val="24"/>
                <w:highlight w:val="none"/>
                <w:lang w:val="en-US" w:eastAsia="zh-CN" w:bidi="ar-SA"/>
              </w:rPr>
              <w:t>t/d（</w:t>
            </w:r>
            <w:r>
              <w:rPr>
                <w:rFonts w:hint="eastAsia" w:ascii="Times New Roman" w:hAnsi="Times New Roman" w:eastAsia="宋体" w:cs="Times New Roman"/>
                <w:snapToGrid/>
                <w:color w:val="auto"/>
                <w:kern w:val="2"/>
                <w:sz w:val="24"/>
                <w:szCs w:val="24"/>
                <w:highlight w:val="none"/>
                <w:lang w:val="en-US" w:eastAsia="zh-CN" w:bidi="ar-SA"/>
              </w:rPr>
              <w:t>117</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snapToGrid/>
                <w:color w:val="auto"/>
                <w:kern w:val="2"/>
                <w:sz w:val="24"/>
                <w:szCs w:val="24"/>
                <w:highlight w:val="none"/>
                <w:lang w:val="en-US" w:eastAsia="zh-CN" w:bidi="ar-SA"/>
              </w:rPr>
              <w:t>/a），污水排污系数按0.8计，保洁废水产生量</w:t>
            </w:r>
            <w:r>
              <w:rPr>
                <w:rFonts w:hint="eastAsia" w:ascii="Times New Roman" w:hAnsi="Times New Roman" w:eastAsia="宋体" w:cs="Times New Roman"/>
                <w:snapToGrid/>
                <w:color w:val="auto"/>
                <w:kern w:val="2"/>
                <w:sz w:val="24"/>
                <w:szCs w:val="24"/>
                <w:highlight w:val="none"/>
                <w:lang w:val="en-US" w:eastAsia="zh-CN" w:bidi="ar-SA"/>
              </w:rPr>
              <w:t>0.36</w:t>
            </w:r>
            <w:r>
              <w:rPr>
                <w:rFonts w:hint="default" w:ascii="Times New Roman" w:hAnsi="Times New Roman" w:eastAsia="宋体" w:cs="Times New Roman"/>
                <w:snapToGrid/>
                <w:color w:val="auto"/>
                <w:kern w:val="2"/>
                <w:sz w:val="24"/>
                <w:szCs w:val="24"/>
                <w:highlight w:val="none"/>
                <w:lang w:val="en-US" w:eastAsia="zh-CN" w:bidi="ar-SA"/>
              </w:rPr>
              <w:t>t/d（</w:t>
            </w:r>
            <w:r>
              <w:rPr>
                <w:rFonts w:hint="eastAsia" w:ascii="Times New Roman" w:hAnsi="Times New Roman" w:eastAsia="宋体" w:cs="Times New Roman"/>
                <w:snapToGrid/>
                <w:color w:val="auto"/>
                <w:kern w:val="2"/>
                <w:sz w:val="24"/>
                <w:szCs w:val="24"/>
                <w:highlight w:val="none"/>
                <w:lang w:val="en-US" w:eastAsia="zh-CN" w:bidi="ar-SA"/>
              </w:rPr>
              <w:t>93.6</w:t>
            </w:r>
            <w:r>
              <w:rPr>
                <w:rFonts w:hint="default" w:ascii="Times New Roman" w:hAnsi="Times New Roman" w:eastAsia="宋体" w:cs="Times New Roman"/>
                <w:snapToGrid/>
                <w:color w:val="auto"/>
                <w:kern w:val="2"/>
                <w:sz w:val="24"/>
                <w:szCs w:val="24"/>
                <w:highlight w:val="none"/>
                <w:lang w:val="en-US" w:eastAsia="zh-CN" w:bidi="ar-SA"/>
              </w:rPr>
              <w:t>t/a）</w:t>
            </w:r>
          </w:p>
          <w:p w14:paraId="6822202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sz w:val="24"/>
                <w:szCs w:val="22"/>
                <w:highlight w:val="none"/>
                <w:lang w:val="en-US" w:eastAsia="zh-CN"/>
              </w:rPr>
            </w:pPr>
            <w:r>
              <w:rPr>
                <w:rFonts w:hint="eastAsia" w:ascii="Times New Roman" w:hAnsi="Times New Roman" w:eastAsia="宋体" w:cs="Times New Roman"/>
                <w:bCs/>
                <w:color w:val="auto"/>
                <w:sz w:val="24"/>
                <w:szCs w:val="22"/>
                <w:highlight w:val="none"/>
                <w:lang w:val="en-US" w:eastAsia="zh-CN"/>
              </w:rPr>
              <w:t>（4）循环冷却用水</w:t>
            </w:r>
          </w:p>
          <w:p w14:paraId="1BCFFFFB">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sz w:val="24"/>
                <w:szCs w:val="22"/>
                <w:highlight w:val="none"/>
                <w:lang w:val="en-US" w:eastAsia="zh-CN"/>
              </w:rPr>
            </w:pPr>
            <w:r>
              <w:rPr>
                <w:rFonts w:hint="eastAsia" w:ascii="Times New Roman" w:hAnsi="Times New Roman" w:eastAsia="宋体" w:cs="Times New Roman"/>
                <w:bCs/>
                <w:color w:val="auto"/>
                <w:sz w:val="24"/>
                <w:szCs w:val="22"/>
                <w:highlight w:val="none"/>
                <w:lang w:val="en-US" w:eastAsia="zh-CN"/>
              </w:rPr>
              <w:t>厂内PVC连帮鞋生产时模具冷却采用循环水间接冷却，项目配套建设一座容积2m</w:t>
            </w:r>
            <w:r>
              <w:rPr>
                <w:rFonts w:hint="eastAsia" w:ascii="Times New Roman" w:hAnsi="Times New Roman" w:eastAsia="宋体" w:cs="Times New Roman"/>
                <w:bCs/>
                <w:color w:val="auto"/>
                <w:sz w:val="24"/>
                <w:szCs w:val="22"/>
                <w:highlight w:val="none"/>
                <w:vertAlign w:val="superscript"/>
                <w:lang w:val="en-US" w:eastAsia="zh-CN"/>
              </w:rPr>
              <w:t>3</w:t>
            </w:r>
            <w:r>
              <w:rPr>
                <w:rFonts w:hint="eastAsia" w:ascii="Times New Roman" w:hAnsi="Times New Roman" w:eastAsia="宋体" w:cs="Times New Roman"/>
                <w:bCs/>
                <w:color w:val="auto"/>
                <w:sz w:val="24"/>
                <w:szCs w:val="22"/>
                <w:highlight w:val="none"/>
                <w:lang w:val="en-US" w:eastAsia="zh-CN"/>
              </w:rPr>
              <w:t>的循环水箱，冷却水循环量1m</w:t>
            </w:r>
            <w:r>
              <w:rPr>
                <w:rFonts w:hint="eastAsia" w:ascii="Times New Roman" w:hAnsi="Times New Roman" w:eastAsia="宋体" w:cs="Times New Roman"/>
                <w:bCs/>
                <w:color w:val="auto"/>
                <w:sz w:val="24"/>
                <w:szCs w:val="22"/>
                <w:highlight w:val="none"/>
                <w:vertAlign w:val="superscript"/>
                <w:lang w:val="en-US" w:eastAsia="zh-CN"/>
              </w:rPr>
              <w:t>3</w:t>
            </w:r>
            <w:r>
              <w:rPr>
                <w:rFonts w:hint="eastAsia" w:ascii="Times New Roman" w:hAnsi="Times New Roman" w:eastAsia="宋体" w:cs="Times New Roman"/>
                <w:bCs/>
                <w:color w:val="auto"/>
                <w:sz w:val="24"/>
                <w:szCs w:val="22"/>
                <w:highlight w:val="none"/>
                <w:lang w:val="en-US" w:eastAsia="zh-CN"/>
              </w:rPr>
              <w:t>/h，年工作时间为2080h，则总冷却水循环量为Q为2080m</w:t>
            </w:r>
            <w:r>
              <w:rPr>
                <w:rFonts w:hint="eastAsia" w:ascii="Times New Roman" w:hAnsi="Times New Roman" w:eastAsia="宋体" w:cs="Times New Roman"/>
                <w:bCs/>
                <w:color w:val="auto"/>
                <w:sz w:val="24"/>
                <w:szCs w:val="22"/>
                <w:highlight w:val="none"/>
                <w:vertAlign w:val="superscript"/>
                <w:lang w:val="en-US" w:eastAsia="zh-CN"/>
              </w:rPr>
              <w:t>3</w:t>
            </w:r>
            <w:r>
              <w:rPr>
                <w:rFonts w:hint="eastAsia" w:ascii="Times New Roman" w:hAnsi="Times New Roman" w:eastAsia="宋体" w:cs="Times New Roman"/>
                <w:bCs/>
                <w:color w:val="auto"/>
                <w:sz w:val="24"/>
                <w:szCs w:val="22"/>
                <w:highlight w:val="none"/>
                <w:lang w:val="en-US" w:eastAsia="zh-CN"/>
              </w:rPr>
              <w:t>/a。</w:t>
            </w:r>
          </w:p>
          <w:p w14:paraId="2CB55F70">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Cs/>
                <w:color w:val="auto"/>
                <w:sz w:val="24"/>
                <w:szCs w:val="22"/>
                <w:highlight w:val="none"/>
                <w:lang w:val="en-US" w:eastAsia="zh-CN"/>
              </w:rPr>
            </w:pPr>
            <w:r>
              <w:rPr>
                <w:rFonts w:hint="eastAsia" w:ascii="Times New Roman" w:hAnsi="Times New Roman" w:eastAsia="宋体" w:cs="Times New Roman"/>
                <w:bCs/>
                <w:color w:val="auto"/>
                <w:sz w:val="24"/>
                <w:szCs w:val="22"/>
                <w:highlight w:val="none"/>
                <w:lang w:val="en-US" w:eastAsia="zh-CN"/>
              </w:rPr>
              <w:t>冷却水循环使用过程中会有水损耗，需定期补充新鲜水。损耗量考虑蒸发损失和产品冷却带出水，蒸发损失和风吹损失计算参考《工业循环水冷却设计规范》（GBT50102-2014）计算公式：</w:t>
            </w:r>
          </w:p>
          <w:p w14:paraId="6D9EDC7F">
            <w:pPr>
              <w:pStyle w:val="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drawing>
                <wp:inline distT="0" distB="0" distL="114300" distR="114300">
                  <wp:extent cx="1229360" cy="250190"/>
                  <wp:effectExtent l="0" t="0" r="8890" b="165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rcRect b="61673"/>
                          <a:stretch>
                            <a:fillRect/>
                          </a:stretch>
                        </pic:blipFill>
                        <pic:spPr>
                          <a:xfrm>
                            <a:off x="0" y="0"/>
                            <a:ext cx="1229360" cy="250190"/>
                          </a:xfrm>
                          <a:prstGeom prst="rect">
                            <a:avLst/>
                          </a:prstGeom>
                          <a:noFill/>
                          <a:ln>
                            <a:noFill/>
                          </a:ln>
                        </pic:spPr>
                      </pic:pic>
                    </a:graphicData>
                  </a:graphic>
                </wp:inline>
              </w:drawing>
            </w:r>
          </w:p>
          <w:p w14:paraId="7020A98D">
            <w:pPr>
              <w:pStyle w:val="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其中：Qe—蒸发损失量</w:t>
            </w:r>
            <w:r>
              <w:rPr>
                <w:rFonts w:hint="eastAsia" w:cs="Times New Roman"/>
                <w:color w:val="auto"/>
                <w:sz w:val="24"/>
                <w:szCs w:val="24"/>
                <w:highlight w:val="none"/>
                <w:lang w:val="en-US" w:eastAsia="zh-CN"/>
              </w:rPr>
              <w:t>；</w:t>
            </w:r>
          </w:p>
          <w:p w14:paraId="4BB710B4">
            <w:pPr>
              <w:pStyle w:val="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1200" w:firstLineChars="5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K</w:t>
            </w:r>
            <w:r>
              <w:rPr>
                <w:rFonts w:hint="eastAsia" w:ascii="Times New Roman" w:hAnsi="Times New Roman" w:eastAsia="宋体" w:cs="Times New Roman"/>
                <w:color w:val="auto"/>
                <w:sz w:val="24"/>
                <w:szCs w:val="24"/>
                <w:highlight w:val="none"/>
                <w:vertAlign w:val="subscript"/>
                <w:lang w:val="en-US" w:eastAsia="zh-CN"/>
              </w:rPr>
              <w:t>ZF</w:t>
            </w:r>
            <w:r>
              <w:rPr>
                <w:rFonts w:hint="eastAsia" w:ascii="Times New Roman" w:hAnsi="Times New Roman" w:eastAsia="宋体" w:cs="Times New Roman"/>
                <w:color w:val="auto"/>
                <w:sz w:val="24"/>
                <w:szCs w:val="24"/>
                <w:highlight w:val="none"/>
                <w:lang w:val="en-US" w:eastAsia="zh-CN"/>
              </w:rPr>
              <w:t>—蒸发损失系数，按0.0015计</w:t>
            </w:r>
            <w:r>
              <w:rPr>
                <w:rFonts w:hint="eastAsia" w:cs="Times New Roman"/>
                <w:color w:val="auto"/>
                <w:sz w:val="24"/>
                <w:szCs w:val="24"/>
                <w:highlight w:val="none"/>
                <w:lang w:val="en-US" w:eastAsia="zh-CN"/>
              </w:rPr>
              <w:t>；</w:t>
            </w:r>
          </w:p>
          <w:p w14:paraId="61C3E0F6">
            <w:pPr>
              <w:pStyle w:val="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1200" w:firstLineChars="5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Δ</w:t>
            </w:r>
            <w:r>
              <w:rPr>
                <w:rFonts w:hint="eastAsia" w:ascii="Times New Roman" w:cs="Times New Roman"/>
                <w:color w:val="auto"/>
                <w:sz w:val="24"/>
                <w:szCs w:val="24"/>
                <w:highlight w:val="none"/>
                <w:lang w:val="en-US" w:eastAsia="zh-CN"/>
              </w:rPr>
              <w:t>t</w:t>
            </w:r>
            <w:r>
              <w:rPr>
                <w:rFonts w:hint="eastAsia" w:ascii="Times New Roman" w:hAnsi="Times New Roman" w:eastAsia="宋体" w:cs="Times New Roman"/>
                <w:color w:val="auto"/>
                <w:sz w:val="24"/>
                <w:szCs w:val="24"/>
                <w:highlight w:val="none"/>
                <w:lang w:val="en-US" w:eastAsia="zh-CN"/>
              </w:rPr>
              <w:t>—温差，</w:t>
            </w:r>
            <w:r>
              <w:rPr>
                <w:rFonts w:hint="eastAsia" w:ascii="Times New Roman" w:cs="Times New Roman"/>
                <w:color w:val="auto"/>
                <w:sz w:val="24"/>
                <w:szCs w:val="24"/>
                <w:highlight w:val="none"/>
                <w:lang w:val="en-US" w:eastAsia="zh-CN"/>
              </w:rPr>
              <w:t>按</w:t>
            </w:r>
            <w:r>
              <w:rPr>
                <w:rFonts w:hint="eastAsia" w:ascii="Times New Roman" w:hAnsi="Times New Roman" w:eastAsia="宋体" w:cs="Times New Roman"/>
                <w:color w:val="auto"/>
                <w:sz w:val="24"/>
                <w:szCs w:val="24"/>
                <w:highlight w:val="none"/>
                <w:lang w:val="en-US" w:eastAsia="zh-CN"/>
              </w:rPr>
              <w:t>20℃</w:t>
            </w:r>
            <w:r>
              <w:rPr>
                <w:rFonts w:hint="eastAsia" w:ascii="Times New Roman" w:cs="Times New Roman"/>
                <w:color w:val="auto"/>
                <w:sz w:val="24"/>
                <w:szCs w:val="24"/>
                <w:highlight w:val="none"/>
                <w:lang w:val="en-US" w:eastAsia="zh-CN"/>
              </w:rPr>
              <w:t>计</w:t>
            </w:r>
            <w:r>
              <w:rPr>
                <w:rFonts w:hint="eastAsia" w:cs="Times New Roman"/>
                <w:color w:val="auto"/>
                <w:sz w:val="24"/>
                <w:szCs w:val="24"/>
                <w:highlight w:val="none"/>
                <w:lang w:val="en-US" w:eastAsia="zh-CN"/>
              </w:rPr>
              <w:t>；</w:t>
            </w:r>
          </w:p>
          <w:p w14:paraId="0338E064">
            <w:pPr>
              <w:pStyle w:val="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经计算蒸发损失量Qe为</w:t>
            </w:r>
            <w:r>
              <w:rPr>
                <w:rFonts w:hint="eastAsia" w:ascii="Times New Roman" w:hAnsi="Times New Roman" w:eastAsia="宋体" w:cs="Times New Roman"/>
                <w:bCs/>
                <w:color w:val="auto"/>
                <w:sz w:val="24"/>
                <w:szCs w:val="22"/>
                <w:highlight w:val="none"/>
                <w:lang w:val="en-US" w:eastAsia="zh-CN"/>
              </w:rPr>
              <w:t>0.24m</w:t>
            </w:r>
            <w:r>
              <w:rPr>
                <w:rFonts w:hint="eastAsia" w:ascii="Times New Roman" w:hAnsi="Times New Roman" w:eastAsia="宋体" w:cs="Times New Roman"/>
                <w:bCs/>
                <w:color w:val="auto"/>
                <w:sz w:val="24"/>
                <w:szCs w:val="22"/>
                <w:highlight w:val="none"/>
                <w:vertAlign w:val="superscript"/>
                <w:lang w:val="en-US" w:eastAsia="zh-CN"/>
              </w:rPr>
              <w:t>3</w:t>
            </w:r>
            <w:r>
              <w:rPr>
                <w:rFonts w:hint="default" w:ascii="Times New Roman" w:hAnsi="Times New Roman" w:eastAsia="宋体" w:cs="Times New Roman"/>
                <w:bCs/>
                <w:color w:val="auto"/>
                <w:sz w:val="24"/>
                <w:szCs w:val="22"/>
                <w:highlight w:val="none"/>
                <w:lang w:val="en-US" w:eastAsia="zh-CN"/>
              </w:rPr>
              <w:t>/d</w:t>
            </w:r>
            <w:r>
              <w:rPr>
                <w:rFonts w:hint="eastAsia" w:ascii="Times New Roman" w:hAnsi="Times New Roman" w:eastAsia="宋体" w:cs="Times New Roman"/>
                <w:bCs/>
                <w:color w:val="auto"/>
                <w:sz w:val="24"/>
                <w:szCs w:val="22"/>
                <w:highlight w:val="none"/>
                <w:lang w:val="en-US" w:eastAsia="zh-CN"/>
              </w:rPr>
              <w:t>（</w:t>
            </w:r>
            <w:r>
              <w:rPr>
                <w:rFonts w:hint="eastAsia" w:cs="Times New Roman"/>
                <w:color w:val="auto"/>
                <w:sz w:val="24"/>
                <w:szCs w:val="24"/>
                <w:highlight w:val="none"/>
                <w:lang w:val="en-US" w:eastAsia="zh-CN"/>
              </w:rPr>
              <w:t>62.4</w:t>
            </w:r>
            <w:r>
              <w:rPr>
                <w:rFonts w:hint="eastAsia" w:ascii="Times New Roman" w:hAnsi="Times New Roman" w:eastAsia="宋体" w:cs="Times New Roman"/>
                <w:bCs/>
                <w:color w:val="auto"/>
                <w:sz w:val="24"/>
                <w:szCs w:val="22"/>
                <w:highlight w:val="none"/>
                <w:lang w:val="en-US" w:eastAsia="zh-CN"/>
              </w:rPr>
              <w:t>m</w:t>
            </w:r>
            <w:r>
              <w:rPr>
                <w:rFonts w:hint="eastAsia" w:ascii="Times New Roman" w:hAnsi="Times New Roman" w:eastAsia="宋体" w:cs="Times New Roman"/>
                <w:bCs/>
                <w:color w:val="auto"/>
                <w:sz w:val="24"/>
                <w:szCs w:val="22"/>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bCs/>
                <w:color w:val="auto"/>
                <w:sz w:val="24"/>
                <w:szCs w:val="22"/>
                <w:highlight w:val="none"/>
                <w:lang w:val="en-US" w:eastAsia="zh-CN"/>
              </w:rPr>
              <w:t>）</w:t>
            </w:r>
            <w:r>
              <w:rPr>
                <w:rFonts w:hint="eastAsia" w:asci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循环水池</w:t>
            </w:r>
            <w:r>
              <w:rPr>
                <w:rFonts w:hint="eastAsia" w:ascii="Times New Roman" w:cs="Times New Roman"/>
                <w:color w:val="auto"/>
                <w:sz w:val="24"/>
                <w:szCs w:val="24"/>
                <w:highlight w:val="none"/>
                <w:lang w:val="en-US" w:eastAsia="zh-CN"/>
              </w:rPr>
              <w:t>每</w:t>
            </w:r>
            <w:r>
              <w:rPr>
                <w:rFonts w:hint="eastAsia" w:cs="Times New Roman"/>
                <w:color w:val="auto"/>
                <w:sz w:val="24"/>
                <w:szCs w:val="24"/>
                <w:highlight w:val="none"/>
                <w:lang w:val="en-US" w:eastAsia="zh-CN"/>
              </w:rPr>
              <w:t>三</w:t>
            </w:r>
            <w:r>
              <w:rPr>
                <w:rFonts w:hint="eastAsia" w:ascii="Times New Roman" w:cs="Times New Roman"/>
                <w:color w:val="auto"/>
                <w:sz w:val="24"/>
                <w:szCs w:val="24"/>
                <w:highlight w:val="none"/>
                <w:lang w:val="en-US" w:eastAsia="zh-CN"/>
              </w:rPr>
              <w:t>月更换一次冷却水，单次更换水量按容积</w:t>
            </w:r>
            <w:r>
              <w:rPr>
                <w:rFonts w:hint="eastAsia" w:cs="Times New Roman"/>
                <w:color w:val="auto"/>
                <w:sz w:val="24"/>
                <w:szCs w:val="24"/>
                <w:highlight w:val="none"/>
                <w:lang w:val="en-US" w:eastAsia="zh-CN"/>
              </w:rPr>
              <w:t>2</w:t>
            </w:r>
            <w:r>
              <w:rPr>
                <w:rFonts w:hint="eastAsia" w:ascii="Times New Roman" w:cs="Times New Roman"/>
                <w:color w:val="auto"/>
                <w:sz w:val="24"/>
                <w:szCs w:val="24"/>
                <w:highlight w:val="none"/>
                <w:lang w:val="en-US" w:eastAsia="zh-CN"/>
              </w:rPr>
              <w:t>m</w:t>
            </w:r>
            <w:r>
              <w:rPr>
                <w:rFonts w:hint="eastAsia" w:ascii="Times New Roman" w:cs="Times New Roman"/>
                <w:color w:val="auto"/>
                <w:sz w:val="24"/>
                <w:szCs w:val="24"/>
                <w:highlight w:val="none"/>
                <w:vertAlign w:val="superscript"/>
                <w:lang w:val="en-US" w:eastAsia="zh-CN"/>
              </w:rPr>
              <w:t>3</w:t>
            </w:r>
            <w:r>
              <w:rPr>
                <w:rFonts w:hint="eastAsia" w:ascii="Times New Roman" w:cs="Times New Roman"/>
                <w:color w:val="auto"/>
                <w:sz w:val="24"/>
                <w:szCs w:val="24"/>
                <w:highlight w:val="none"/>
                <w:lang w:val="en-US" w:eastAsia="zh-CN"/>
              </w:rPr>
              <w:t>计，则循环冷却水排水量为</w:t>
            </w:r>
            <w:r>
              <w:rPr>
                <w:rFonts w:hint="eastAsia" w:cs="Times New Roman"/>
                <w:color w:val="auto"/>
                <w:sz w:val="24"/>
                <w:szCs w:val="24"/>
                <w:highlight w:val="none"/>
                <w:lang w:val="en-US" w:eastAsia="zh-CN"/>
              </w:rPr>
              <w:t>0.031</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8</w:t>
            </w:r>
            <w:r>
              <w:rPr>
                <w:rFonts w:hint="eastAsia" w:ascii="Times New Roman" w:hAnsi="Times New Roman" w:eastAsia="宋体" w:cs="Times New Roman"/>
                <w:bCs/>
                <w:color w:val="auto"/>
                <w:sz w:val="24"/>
                <w:szCs w:val="22"/>
                <w:highlight w:val="none"/>
                <w:lang w:val="en-US" w:eastAsia="zh-CN"/>
              </w:rPr>
              <w:t>m</w:t>
            </w:r>
            <w:r>
              <w:rPr>
                <w:rFonts w:hint="eastAsia" w:ascii="Times New Roman" w:hAnsi="Times New Roman" w:eastAsia="宋体" w:cs="Times New Roman"/>
                <w:bCs/>
                <w:color w:val="auto"/>
                <w:sz w:val="24"/>
                <w:szCs w:val="22"/>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/a）。</w:t>
            </w:r>
          </w:p>
          <w:p w14:paraId="119B486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both"/>
              <w:textAlignment w:val="auto"/>
              <w:rPr>
                <w:rFonts w:hint="eastAsia" w:cs="Times New Roman"/>
                <w:color w:val="auto"/>
                <w:sz w:val="24"/>
                <w:szCs w:val="24"/>
                <w:highlight w:val="none"/>
                <w:lang w:val="en-US" w:eastAsia="zh-CN"/>
              </w:rPr>
            </w:pPr>
            <w:r>
              <w:rPr>
                <w:rFonts w:hint="eastAsia" w:ascii="Times New Roman" w:cs="Times New Roman"/>
                <w:color w:val="auto"/>
                <w:sz w:val="24"/>
                <w:szCs w:val="24"/>
                <w:highlight w:val="none"/>
                <w:lang w:val="en-US" w:eastAsia="zh-CN"/>
              </w:rPr>
              <w:t>综上</w:t>
            </w:r>
            <w:r>
              <w:rPr>
                <w:rFonts w:hint="eastAsia" w:ascii="Times New Roman" w:hAnsi="Times New Roman" w:eastAsia="宋体" w:cs="Times New Roman"/>
                <w:color w:val="auto"/>
                <w:sz w:val="24"/>
                <w:szCs w:val="24"/>
                <w:highlight w:val="none"/>
                <w:lang w:val="en-US" w:eastAsia="zh-CN"/>
              </w:rPr>
              <w:t>，本项目循</w:t>
            </w:r>
            <w:r>
              <w:rPr>
                <w:rFonts w:hint="eastAsia" w:ascii="Times New Roman" w:hAnsi="Times New Roman" w:eastAsia="宋体" w:cs="Times New Roman"/>
                <w:snapToGrid/>
                <w:color w:val="auto"/>
                <w:kern w:val="2"/>
                <w:sz w:val="24"/>
                <w:szCs w:val="24"/>
                <w:highlight w:val="none"/>
                <w:lang w:val="en-US" w:eastAsia="zh-CN" w:bidi="ar-SA"/>
              </w:rPr>
              <w:t>环冷却水用水量为0.271</w:t>
            </w:r>
            <w:r>
              <w:rPr>
                <w:rFonts w:hint="eastAsia" w:ascii="Times New Roman" w:hAnsi="Times New Roman" w:eastAsia="宋体" w:cs="Times New Roman"/>
                <w:bCs/>
                <w:color w:val="auto"/>
                <w:sz w:val="24"/>
                <w:szCs w:val="22"/>
                <w:highlight w:val="none"/>
                <w:lang w:val="en-US" w:eastAsia="zh-CN"/>
              </w:rPr>
              <w:t>m</w:t>
            </w:r>
            <w:r>
              <w:rPr>
                <w:rFonts w:hint="eastAsia" w:ascii="Times New Roman" w:hAnsi="Times New Roman" w:eastAsia="宋体" w:cs="Times New Roman"/>
                <w:bCs/>
                <w:color w:val="auto"/>
                <w:sz w:val="24"/>
                <w:szCs w:val="22"/>
                <w:highlight w:val="none"/>
                <w:vertAlign w:val="superscript"/>
                <w:lang w:val="en-US" w:eastAsia="zh-CN"/>
              </w:rPr>
              <w:t>3</w:t>
            </w:r>
            <w:r>
              <w:rPr>
                <w:rFonts w:hint="eastAsia" w:ascii="Times New Roman" w:hAnsi="Times New Roman" w:eastAsia="宋体" w:cs="Times New Roman"/>
                <w:snapToGrid/>
                <w:color w:val="auto"/>
                <w:kern w:val="2"/>
                <w:sz w:val="24"/>
                <w:szCs w:val="24"/>
                <w:highlight w:val="none"/>
                <w:lang w:val="en-US" w:eastAsia="zh-CN" w:bidi="ar-SA"/>
              </w:rPr>
              <w:t>/d（70.4</w:t>
            </w:r>
            <w:r>
              <w:rPr>
                <w:rFonts w:hint="eastAsia" w:ascii="Times New Roman" w:hAnsi="Times New Roman" w:eastAsia="宋体" w:cs="Times New Roman"/>
                <w:bCs/>
                <w:color w:val="auto"/>
                <w:sz w:val="24"/>
                <w:szCs w:val="22"/>
                <w:highlight w:val="none"/>
                <w:lang w:val="en-US" w:eastAsia="zh-CN"/>
              </w:rPr>
              <w:t>m</w:t>
            </w:r>
            <w:r>
              <w:rPr>
                <w:rFonts w:hint="eastAsia" w:ascii="Times New Roman" w:hAnsi="Times New Roman" w:eastAsia="宋体" w:cs="Times New Roman"/>
                <w:bCs/>
                <w:color w:val="auto"/>
                <w:sz w:val="24"/>
                <w:szCs w:val="22"/>
                <w:highlight w:val="none"/>
                <w:vertAlign w:val="superscript"/>
                <w:lang w:val="en-US" w:eastAsia="zh-CN"/>
              </w:rPr>
              <w:t>3</w:t>
            </w:r>
            <w:r>
              <w:rPr>
                <w:rFonts w:hint="eastAsia" w:ascii="Times New Roman" w:hAnsi="Times New Roman" w:eastAsia="宋体" w:cs="Times New Roman"/>
                <w:snapToGrid/>
                <w:color w:val="auto"/>
                <w:kern w:val="2"/>
                <w:sz w:val="24"/>
                <w:szCs w:val="24"/>
                <w:highlight w:val="none"/>
                <w:lang w:val="en-US" w:eastAsia="zh-CN" w:bidi="ar-SA"/>
              </w:rPr>
              <w:t>/a）。</w:t>
            </w:r>
          </w:p>
          <w:p w14:paraId="287D0A9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食堂废水经隔油池、</w:t>
            </w:r>
            <w:r>
              <w:rPr>
                <w:rFonts w:hint="eastAsia" w:cs="Times New Roman"/>
                <w:color w:val="auto"/>
                <w:sz w:val="24"/>
                <w:szCs w:val="22"/>
                <w:highlight w:val="none"/>
                <w:lang w:val="en-US" w:eastAsia="zh-CN"/>
              </w:rPr>
              <w:t>生活污水经化粪池</w:t>
            </w:r>
            <w:r>
              <w:rPr>
                <w:rFonts w:hint="eastAsia" w:cs="Times New Roman"/>
                <w:color w:val="auto"/>
                <w:sz w:val="24"/>
                <w:szCs w:val="24"/>
                <w:highlight w:val="none"/>
                <w:lang w:val="en-US" w:eastAsia="zh-CN"/>
              </w:rPr>
              <w:t>处理后和</w:t>
            </w:r>
            <w:r>
              <w:rPr>
                <w:rFonts w:hint="eastAsia" w:cs="Times New Roman"/>
                <w:color w:val="auto"/>
                <w:sz w:val="24"/>
                <w:szCs w:val="22"/>
                <w:highlight w:val="none"/>
                <w:lang w:val="en-US" w:eastAsia="zh-CN"/>
              </w:rPr>
              <w:t>地坪保洁废水、循环冷却排水</w:t>
            </w:r>
            <w:r>
              <w:rPr>
                <w:rFonts w:hint="eastAsia" w:cs="Times New Roman"/>
                <w:color w:val="auto"/>
                <w:sz w:val="24"/>
                <w:szCs w:val="24"/>
                <w:highlight w:val="none"/>
                <w:lang w:val="en-US" w:eastAsia="zh-CN"/>
              </w:rPr>
              <w:t>一并排入</w:t>
            </w:r>
            <w:r>
              <w:rPr>
                <w:rFonts w:hint="default" w:ascii="Times New Roman" w:hAnsi="Times New Roman" w:eastAsia="宋体" w:cs="Times New Roman"/>
                <w:color w:val="auto"/>
                <w:sz w:val="24"/>
                <w:szCs w:val="24"/>
                <w:highlight w:val="none"/>
                <w:lang w:eastAsia="zh-CN"/>
              </w:rPr>
              <w:t>市政</w:t>
            </w:r>
            <w:r>
              <w:rPr>
                <w:rFonts w:hint="default" w:ascii="Times New Roman" w:hAnsi="Times New Roman" w:eastAsia="宋体" w:cs="Times New Roman"/>
                <w:color w:val="auto"/>
                <w:sz w:val="24"/>
                <w:szCs w:val="24"/>
                <w:highlight w:val="none"/>
              </w:rPr>
              <w:t>污水管网</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最终</w:t>
            </w:r>
            <w:r>
              <w:rPr>
                <w:rFonts w:hint="default" w:ascii="Times New Roman" w:hAnsi="Times New Roman" w:eastAsia="宋体" w:cs="Times New Roman"/>
                <w:color w:val="auto"/>
                <w:sz w:val="24"/>
                <w:szCs w:val="24"/>
                <w:highlight w:val="none"/>
              </w:rPr>
              <w:t>排至</w:t>
            </w:r>
            <w:r>
              <w:rPr>
                <w:rFonts w:hint="eastAsia" w:cs="Times New Roman"/>
                <w:color w:val="auto"/>
                <w:sz w:val="24"/>
                <w:szCs w:val="24"/>
                <w:highlight w:val="none"/>
                <w:lang w:val="en-US" w:eastAsia="zh-CN"/>
              </w:rPr>
              <w:t>五河县</w:t>
            </w:r>
            <w:r>
              <w:rPr>
                <w:rFonts w:hint="default" w:ascii="Times New Roman" w:hAnsi="Times New Roman" w:eastAsia="宋体" w:cs="Times New Roman"/>
                <w:color w:val="auto"/>
                <w:sz w:val="24"/>
                <w:szCs w:val="24"/>
                <w:highlight w:val="none"/>
                <w:lang w:val="en-US" w:eastAsia="zh-CN"/>
              </w:rPr>
              <w:t>城</w:t>
            </w:r>
            <w:r>
              <w:rPr>
                <w:rFonts w:hint="eastAsia" w:cs="Times New Roman"/>
                <w:color w:val="auto"/>
                <w:sz w:val="24"/>
                <w:szCs w:val="24"/>
                <w:highlight w:val="none"/>
                <w:lang w:val="en-US" w:eastAsia="zh-CN"/>
              </w:rPr>
              <w:t>南</w:t>
            </w:r>
            <w:r>
              <w:rPr>
                <w:rFonts w:hint="default" w:ascii="Times New Roman" w:hAnsi="Times New Roman" w:eastAsia="宋体" w:cs="Times New Roman"/>
                <w:color w:val="auto"/>
                <w:sz w:val="24"/>
                <w:szCs w:val="24"/>
                <w:highlight w:val="none"/>
              </w:rPr>
              <w:t>污水处理厂</w:t>
            </w:r>
            <w:r>
              <w:rPr>
                <w:rFonts w:hint="eastAsia" w:cs="Times New Roman"/>
                <w:color w:val="auto"/>
                <w:sz w:val="24"/>
                <w:szCs w:val="24"/>
                <w:highlight w:val="none"/>
                <w:lang w:val="en-US" w:eastAsia="zh-CN"/>
              </w:rPr>
              <w:t>深度处理</w:t>
            </w:r>
            <w:r>
              <w:rPr>
                <w:rFonts w:hint="default" w:ascii="Times New Roman" w:hAnsi="Times New Roman" w:eastAsia="宋体" w:cs="Times New Roman"/>
                <w:color w:val="auto"/>
                <w:sz w:val="24"/>
                <w:szCs w:val="24"/>
                <w:highlight w:val="none"/>
              </w:rPr>
              <w:t>。</w:t>
            </w:r>
          </w:p>
          <w:p w14:paraId="3DB4D2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2"/>
                <w:highlight w:val="none"/>
              </w:rPr>
            </w:pPr>
            <w:r>
              <w:rPr>
                <w:color w:val="auto"/>
                <w:sz w:val="24"/>
                <w:szCs w:val="22"/>
                <w:highlight w:val="none"/>
              </w:rPr>
              <mc:AlternateContent>
                <mc:Choice Requires="wpc">
                  <w:drawing>
                    <wp:inline distT="0" distB="0" distL="114300" distR="114300">
                      <wp:extent cx="5047615" cy="4318000"/>
                      <wp:effectExtent l="0" t="0" r="0" b="0"/>
                      <wp:docPr id="29" name="画布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直接箭头连接符 5"/>
                              <wps:cNvCnPr/>
                              <wps:spPr>
                                <a:xfrm>
                                  <a:off x="675640" y="1358900"/>
                                  <a:ext cx="504190" cy="635"/>
                                </a:xfrm>
                                <a:prstGeom prst="straightConnector1">
                                  <a:avLst/>
                                </a:prstGeom>
                                <a:ln w="9525" cap="flat" cmpd="sng">
                                  <a:solidFill>
                                    <a:srgbClr val="000000"/>
                                  </a:solidFill>
                                  <a:prstDash val="solid"/>
                                  <a:headEnd type="none" w="med" len="med"/>
                                  <a:tailEnd type="triangle" w="sm" len="lg"/>
                                </a:ln>
                              </wps:spPr>
                              <wps:bodyPr/>
                            </wps:wsp>
                            <wps:wsp>
                              <wps:cNvPr id="31" name="矩形 18"/>
                              <wps:cNvSpPr/>
                              <wps:spPr>
                                <a:xfrm>
                                  <a:off x="1157605" y="1218565"/>
                                  <a:ext cx="768985" cy="2800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8CE6EA">
                                    <w:pPr>
                                      <w:jc w:val="center"/>
                                      <w:rPr>
                                        <w:rFonts w:hint="eastAsia" w:ascii="宋体" w:hAnsi="宋体" w:cs="宋体"/>
                                        <w:szCs w:val="21"/>
                                      </w:rPr>
                                    </w:pPr>
                                    <w:r>
                                      <w:rPr>
                                        <w:rFonts w:hint="eastAsia" w:ascii="宋体" w:hAnsi="宋体" w:cs="宋体"/>
                                        <w:szCs w:val="21"/>
                                      </w:rPr>
                                      <w:t>生活用水</w:t>
                                    </w:r>
                                  </w:p>
                                </w:txbxContent>
                              </wps:txbx>
                              <wps:bodyPr upright="1"/>
                            </wps:wsp>
                            <wps:wsp>
                              <wps:cNvPr id="38" name="直接箭头连接符 20"/>
                              <wps:cNvCnPr>
                                <a:stCxn id="31" idx="3"/>
                                <a:endCxn id="41" idx="1"/>
                              </wps:cNvCnPr>
                              <wps:spPr>
                                <a:xfrm>
                                  <a:off x="1926590" y="1358900"/>
                                  <a:ext cx="734060" cy="0"/>
                                </a:xfrm>
                                <a:prstGeom prst="straightConnector1">
                                  <a:avLst/>
                                </a:prstGeom>
                                <a:ln w="9525" cap="flat" cmpd="sng">
                                  <a:solidFill>
                                    <a:srgbClr val="000000"/>
                                  </a:solidFill>
                                  <a:prstDash val="solid"/>
                                  <a:headEnd type="none" w="med" len="med"/>
                                  <a:tailEnd type="triangle" w="sm" len="lg"/>
                                </a:ln>
                              </wps:spPr>
                              <wps:bodyPr/>
                            </wps:wsp>
                            <wps:wsp>
                              <wps:cNvPr id="39" name="矩形 21"/>
                              <wps:cNvSpPr/>
                              <wps:spPr>
                                <a:xfrm>
                                  <a:off x="2093595" y="1139190"/>
                                  <a:ext cx="292735" cy="320675"/>
                                </a:xfrm>
                                <a:prstGeom prst="rect">
                                  <a:avLst/>
                                </a:prstGeom>
                                <a:noFill/>
                                <a:ln>
                                  <a:noFill/>
                                </a:ln>
                              </wps:spPr>
                              <wps:txbx>
                                <w:txbxContent>
                                  <w:p w14:paraId="2B37CAE4">
                                    <w:pPr>
                                      <w:rPr>
                                        <w:rFonts w:hint="default" w:eastAsia="仿宋"/>
                                        <w:szCs w:val="21"/>
                                        <w:lang w:val="en-US" w:eastAsia="zh-CN"/>
                                      </w:rPr>
                                    </w:pPr>
                                    <w:r>
                                      <w:rPr>
                                        <w:rFonts w:hint="eastAsia" w:eastAsia="仿宋"/>
                                        <w:szCs w:val="21"/>
                                      </w:rPr>
                                      <w:t>2</w:t>
                                    </w:r>
                                  </w:p>
                                </w:txbxContent>
                              </wps:txbx>
                              <wps:bodyPr upright="1"/>
                            </wps:wsp>
                            <wps:wsp>
                              <wps:cNvPr id="40" name="直接箭头连接符 24"/>
                              <wps:cNvCnPr/>
                              <wps:spPr>
                                <a:xfrm>
                                  <a:off x="52070" y="1697355"/>
                                  <a:ext cx="629285" cy="5080"/>
                                </a:xfrm>
                                <a:prstGeom prst="straightConnector1">
                                  <a:avLst/>
                                </a:prstGeom>
                                <a:ln w="9525" cap="flat" cmpd="sng">
                                  <a:solidFill>
                                    <a:srgbClr val="000000"/>
                                  </a:solidFill>
                                  <a:prstDash val="solid"/>
                                  <a:headEnd type="none" w="med" len="med"/>
                                  <a:tailEnd type="triangle" w="sm" len="lg"/>
                                </a:ln>
                              </wps:spPr>
                              <wps:bodyPr/>
                            </wps:wsp>
                            <wps:wsp>
                              <wps:cNvPr id="41" name="矩形 26"/>
                              <wps:cNvSpPr/>
                              <wps:spPr>
                                <a:xfrm>
                                  <a:off x="2660650" y="1214755"/>
                                  <a:ext cx="708660"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80D45F">
                                    <w:pPr>
                                      <w:jc w:val="center"/>
                                      <w:rPr>
                                        <w:rFonts w:hint="eastAsia" w:ascii="宋体" w:hAnsi="宋体" w:cs="宋体"/>
                                        <w:szCs w:val="21"/>
                                      </w:rPr>
                                    </w:pPr>
                                    <w:r>
                                      <w:rPr>
                                        <w:rFonts w:hint="eastAsia" w:ascii="宋体" w:hAnsi="宋体" w:cs="宋体"/>
                                        <w:szCs w:val="21"/>
                                      </w:rPr>
                                      <w:t>化粪池</w:t>
                                    </w:r>
                                  </w:p>
                                </w:txbxContent>
                              </wps:txbx>
                              <wps:bodyPr upright="1"/>
                            </wps:wsp>
                            <wps:wsp>
                              <wps:cNvPr id="42" name="矩形 27"/>
                              <wps:cNvSpPr/>
                              <wps:spPr>
                                <a:xfrm>
                                  <a:off x="3886200" y="4030980"/>
                                  <a:ext cx="732790" cy="280670"/>
                                </a:xfrm>
                                <a:prstGeom prst="rect">
                                  <a:avLst/>
                                </a:prstGeom>
                                <a:noFill/>
                                <a:ln>
                                  <a:noFill/>
                                </a:ln>
                              </wps:spPr>
                              <wps:txbx>
                                <w:txbxContent>
                                  <w:p w14:paraId="16E0130A">
                                    <w:pPr>
                                      <w:pStyle w:val="36"/>
                                      <w:spacing w:before="0" w:beforeAutospacing="0" w:after="0" w:afterAutospacing="0"/>
                                      <w:ind w:firstLine="210"/>
                                      <w:jc w:val="both"/>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淮</w:t>
                                    </w:r>
                                    <w:r>
                                      <w:rPr>
                                        <w:rFonts w:hint="eastAsia" w:cs="宋体"/>
                                        <w:color w:val="000000" w:themeColor="text1"/>
                                        <w:sz w:val="21"/>
                                        <w:szCs w:val="21"/>
                                        <w14:textFill>
                                          <w14:solidFill>
                                            <w14:schemeClr w14:val="tx1"/>
                                          </w14:solidFill>
                                        </w14:textFill>
                                      </w:rPr>
                                      <w:t>河</w:t>
                                    </w:r>
                                  </w:p>
                                </w:txbxContent>
                              </wps:txbx>
                              <wps:bodyPr upright="1"/>
                            </wps:wsp>
                            <wps:wsp>
                              <wps:cNvPr id="43" name="矩形 28"/>
                              <wps:cNvSpPr/>
                              <wps:spPr>
                                <a:xfrm>
                                  <a:off x="3611245" y="3116580"/>
                                  <a:ext cx="128143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940F23">
                                    <w:pPr>
                                      <w:jc w:val="center"/>
                                      <w:rPr>
                                        <w:rFonts w:hint="eastAsia" w:ascii="宋体" w:hAnsi="宋体" w:cs="宋体"/>
                                        <w:szCs w:val="21"/>
                                      </w:rPr>
                                    </w:pPr>
                                    <w:r>
                                      <w:rPr>
                                        <w:rFonts w:hint="eastAsia" w:ascii="宋体" w:hAnsi="宋体" w:cs="宋体"/>
                                        <w:szCs w:val="21"/>
                                        <w:lang w:val="en-US" w:eastAsia="zh-CN"/>
                                      </w:rPr>
                                      <w:t>五河县城南</w:t>
                                    </w:r>
                                    <w:r>
                                      <w:rPr>
                                        <w:rFonts w:hint="eastAsia" w:ascii="宋体" w:hAnsi="宋体" w:cs="宋体"/>
                                        <w:szCs w:val="21"/>
                                      </w:rPr>
                                      <w:t>污水处理厂</w:t>
                                    </w:r>
                                  </w:p>
                                </w:txbxContent>
                              </wps:txbx>
                              <wps:bodyPr upright="1"/>
                            </wps:wsp>
                            <wps:wsp>
                              <wps:cNvPr id="44" name="直接箭头连接符 29"/>
                              <wps:cNvCnPr/>
                              <wps:spPr>
                                <a:xfrm flipH="1">
                                  <a:off x="4254500" y="3594735"/>
                                  <a:ext cx="3810" cy="475615"/>
                                </a:xfrm>
                                <a:prstGeom prst="straightConnector1">
                                  <a:avLst/>
                                </a:prstGeom>
                                <a:ln w="9525" cap="flat" cmpd="sng">
                                  <a:solidFill>
                                    <a:srgbClr val="000000"/>
                                  </a:solidFill>
                                  <a:prstDash val="solid"/>
                                  <a:headEnd type="none" w="med" len="med"/>
                                  <a:tailEnd type="triangle" w="sm" len="lg"/>
                                </a:ln>
                              </wps:spPr>
                              <wps:bodyPr/>
                            </wps:wsp>
                            <wps:wsp>
                              <wps:cNvPr id="45" name="矩形 30"/>
                              <wps:cNvSpPr/>
                              <wps:spPr>
                                <a:xfrm>
                                  <a:off x="4218940" y="2794000"/>
                                  <a:ext cx="493395" cy="320675"/>
                                </a:xfrm>
                                <a:prstGeom prst="rect">
                                  <a:avLst/>
                                </a:prstGeom>
                                <a:noFill/>
                                <a:ln>
                                  <a:noFill/>
                                </a:ln>
                              </wps:spPr>
                              <wps:txbx>
                                <w:txbxContent>
                                  <w:p w14:paraId="3B903BE6">
                                    <w:pPr>
                                      <w:rPr>
                                        <w:rFonts w:hint="default" w:eastAsia="仿宋"/>
                                        <w:szCs w:val="21"/>
                                        <w:lang w:val="en-US" w:eastAsia="zh-CN"/>
                                      </w:rPr>
                                    </w:pPr>
                                    <w:r>
                                      <w:rPr>
                                        <w:rFonts w:hint="eastAsia" w:eastAsia="仿宋"/>
                                        <w:szCs w:val="21"/>
                                        <w:lang w:val="en-US" w:eastAsia="zh-CN"/>
                                      </w:rPr>
                                      <w:t>2.991</w:t>
                                    </w:r>
                                  </w:p>
                                </w:txbxContent>
                              </wps:txbx>
                              <wps:bodyPr upright="1"/>
                            </wps:wsp>
                            <wps:wsp>
                              <wps:cNvPr id="46" name="矩形 31"/>
                              <wps:cNvSpPr/>
                              <wps:spPr>
                                <a:xfrm>
                                  <a:off x="1183640" y="1973580"/>
                                  <a:ext cx="756920" cy="2901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F2EB01">
                                    <w:pPr>
                                      <w:jc w:val="center"/>
                                      <w:rPr>
                                        <w:rFonts w:hint="eastAsia" w:ascii="宋体" w:hAnsi="宋体" w:cs="宋体"/>
                                        <w:szCs w:val="21"/>
                                      </w:rPr>
                                    </w:pPr>
                                    <w:r>
                                      <w:rPr>
                                        <w:rFonts w:hint="eastAsia" w:ascii="宋体" w:hAnsi="宋体" w:cs="宋体"/>
                                        <w:szCs w:val="21"/>
                                      </w:rPr>
                                      <w:t>食堂用水哦</w:t>
                                    </w:r>
                                  </w:p>
                                </w:txbxContent>
                              </wps:txbx>
                              <wps:bodyPr upright="1"/>
                            </wps:wsp>
                            <wps:wsp>
                              <wps:cNvPr id="47" name="直接箭头连接符 32"/>
                              <wps:cNvCnPr>
                                <a:stCxn id="46" idx="3"/>
                                <a:endCxn id="50" idx="1"/>
                              </wps:cNvCnPr>
                              <wps:spPr>
                                <a:xfrm flipV="1">
                                  <a:off x="1940560" y="2112645"/>
                                  <a:ext cx="744220" cy="6350"/>
                                </a:xfrm>
                                <a:prstGeom prst="straightConnector1">
                                  <a:avLst/>
                                </a:prstGeom>
                                <a:ln w="9525" cap="flat" cmpd="sng">
                                  <a:solidFill>
                                    <a:srgbClr val="000000"/>
                                  </a:solidFill>
                                  <a:prstDash val="solid"/>
                                  <a:headEnd type="none" w="med" len="med"/>
                                  <a:tailEnd type="triangle" w="sm" len="lg"/>
                                </a:ln>
                              </wps:spPr>
                              <wps:bodyPr/>
                            </wps:wsp>
                            <wps:wsp>
                              <wps:cNvPr id="48" name="矩形 36"/>
                              <wps:cNvSpPr/>
                              <wps:spPr>
                                <a:xfrm>
                                  <a:off x="2115820" y="1902460"/>
                                  <a:ext cx="493395" cy="320675"/>
                                </a:xfrm>
                                <a:prstGeom prst="rect">
                                  <a:avLst/>
                                </a:prstGeom>
                                <a:noFill/>
                                <a:ln>
                                  <a:noFill/>
                                </a:ln>
                              </wps:spPr>
                              <wps:txbx>
                                <w:txbxContent>
                                  <w:p w14:paraId="1319762C">
                                    <w:pPr>
                                      <w:rPr>
                                        <w:rFonts w:hint="eastAsia" w:eastAsia="仿宋"/>
                                        <w:szCs w:val="21"/>
                                        <w:lang w:eastAsia="zh-CN"/>
                                      </w:rPr>
                                    </w:pPr>
                                    <w:r>
                                      <w:rPr>
                                        <w:rFonts w:eastAsia="仿宋"/>
                                        <w:szCs w:val="21"/>
                                      </w:rPr>
                                      <w:t>0.</w:t>
                                    </w:r>
                                    <w:r>
                                      <w:rPr>
                                        <w:rFonts w:hint="eastAsia" w:eastAsia="仿宋"/>
                                        <w:szCs w:val="21"/>
                                        <w:lang w:val="en-US" w:eastAsia="zh-CN"/>
                                      </w:rPr>
                                      <w:t>6</w:t>
                                    </w:r>
                                  </w:p>
                                </w:txbxContent>
                              </wps:txbx>
                              <wps:bodyPr upright="1"/>
                            </wps:wsp>
                            <wps:wsp>
                              <wps:cNvPr id="49" name="直接箭头连接符 37"/>
                              <wps:cNvCnPr/>
                              <wps:spPr>
                                <a:xfrm flipV="1">
                                  <a:off x="684530" y="2818130"/>
                                  <a:ext cx="888365" cy="4445"/>
                                </a:xfrm>
                                <a:prstGeom prst="straightConnector1">
                                  <a:avLst/>
                                </a:prstGeom>
                                <a:ln w="9525" cap="flat" cmpd="sng">
                                  <a:solidFill>
                                    <a:srgbClr val="000000"/>
                                  </a:solidFill>
                                  <a:prstDash val="solid"/>
                                  <a:headEnd type="none" w="med" len="med"/>
                                  <a:tailEnd type="triangle" w="sm" len="lg"/>
                                </a:ln>
                              </wps:spPr>
                              <wps:bodyPr/>
                            </wps:wsp>
                            <wps:wsp>
                              <wps:cNvPr id="50" name="矩形 39"/>
                              <wps:cNvSpPr/>
                              <wps:spPr>
                                <a:xfrm>
                                  <a:off x="2684780" y="1968500"/>
                                  <a:ext cx="674370"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1E0DFB">
                                    <w:pPr>
                                      <w:jc w:val="center"/>
                                      <w:rPr>
                                        <w:rFonts w:hint="eastAsia" w:ascii="宋体" w:hAnsi="宋体" w:eastAsia="宋体" w:cs="宋体"/>
                                        <w:szCs w:val="21"/>
                                        <w:lang w:eastAsia="zh-CN"/>
                                      </w:rPr>
                                    </w:pPr>
                                    <w:r>
                                      <w:rPr>
                                        <w:rFonts w:hint="eastAsia" w:ascii="宋体" w:hAnsi="宋体" w:cs="宋体"/>
                                        <w:szCs w:val="21"/>
                                        <w:lang w:val="en-US" w:eastAsia="zh-CN"/>
                                      </w:rPr>
                                      <w:t>隔油池</w:t>
                                    </w:r>
                                  </w:p>
                                </w:txbxContent>
                              </wps:txbx>
                              <wps:bodyPr upright="1"/>
                            </wps:wsp>
                            <wps:wsp>
                              <wps:cNvPr id="51" name="直接箭头连接符 41"/>
                              <wps:cNvCnPr/>
                              <wps:spPr>
                                <a:xfrm>
                                  <a:off x="675640" y="584835"/>
                                  <a:ext cx="0" cy="2235200"/>
                                </a:xfrm>
                                <a:prstGeom prst="straightConnector1">
                                  <a:avLst/>
                                </a:prstGeom>
                                <a:ln w="9525" cap="flat" cmpd="sng">
                                  <a:solidFill>
                                    <a:srgbClr val="000000"/>
                                  </a:solidFill>
                                  <a:prstDash val="solid"/>
                                  <a:headEnd type="none" w="med" len="med"/>
                                  <a:tailEnd type="none" w="med" len="med"/>
                                </a:ln>
                              </wps:spPr>
                              <wps:bodyPr/>
                            </wps:wsp>
                            <wps:wsp>
                              <wps:cNvPr id="73" name="直接箭头连接符 42"/>
                              <wps:cNvCnPr/>
                              <wps:spPr>
                                <a:xfrm>
                                  <a:off x="679450" y="2129790"/>
                                  <a:ext cx="504190" cy="635"/>
                                </a:xfrm>
                                <a:prstGeom prst="straightConnector1">
                                  <a:avLst/>
                                </a:prstGeom>
                                <a:ln w="9525" cap="flat" cmpd="sng">
                                  <a:solidFill>
                                    <a:srgbClr val="000000"/>
                                  </a:solidFill>
                                  <a:prstDash val="solid"/>
                                  <a:headEnd type="none" w="med" len="med"/>
                                  <a:tailEnd type="triangle" w="sm" len="lg"/>
                                </a:ln>
                              </wps:spPr>
                              <wps:bodyPr/>
                            </wps:wsp>
                            <wps:wsp>
                              <wps:cNvPr id="101" name="矩形 44"/>
                              <wps:cNvSpPr/>
                              <wps:spPr>
                                <a:xfrm>
                                  <a:off x="3575050" y="1885315"/>
                                  <a:ext cx="431800" cy="320675"/>
                                </a:xfrm>
                                <a:prstGeom prst="rect">
                                  <a:avLst/>
                                </a:prstGeom>
                                <a:noFill/>
                                <a:ln>
                                  <a:noFill/>
                                </a:ln>
                              </wps:spPr>
                              <wps:txbx>
                                <w:txbxContent>
                                  <w:p w14:paraId="629F75D2">
                                    <w:pPr>
                                      <w:rPr>
                                        <w:rFonts w:hint="eastAsia" w:eastAsia="仿宋"/>
                                        <w:szCs w:val="21"/>
                                        <w:lang w:eastAsia="zh-CN"/>
                                      </w:rPr>
                                    </w:pPr>
                                    <w:r>
                                      <w:rPr>
                                        <w:rFonts w:eastAsia="仿宋"/>
                                        <w:szCs w:val="21"/>
                                      </w:rPr>
                                      <w:t>0.</w:t>
                                    </w:r>
                                    <w:r>
                                      <w:rPr>
                                        <w:rFonts w:hint="eastAsia" w:eastAsia="仿宋"/>
                                        <w:szCs w:val="21"/>
                                        <w:lang w:val="en-US" w:eastAsia="zh-CN"/>
                                      </w:rPr>
                                      <w:t>6</w:t>
                                    </w:r>
                                  </w:p>
                                </w:txbxContent>
                              </wps:txbx>
                              <wps:bodyPr upright="1"/>
                            </wps:wsp>
                            <wps:wsp>
                              <wps:cNvPr id="133" name="矩形 46"/>
                              <wps:cNvSpPr/>
                              <wps:spPr>
                                <a:xfrm>
                                  <a:off x="1657985" y="1583690"/>
                                  <a:ext cx="523875" cy="321310"/>
                                </a:xfrm>
                                <a:prstGeom prst="rect">
                                  <a:avLst/>
                                </a:prstGeom>
                                <a:noFill/>
                                <a:ln>
                                  <a:noFill/>
                                </a:ln>
                              </wps:spPr>
                              <wps:txbx>
                                <w:txbxContent>
                                  <w:p w14:paraId="4A22F9B5">
                                    <w:pPr>
                                      <w:rPr>
                                        <w:rFonts w:hint="default" w:eastAsia="仿宋"/>
                                        <w:szCs w:val="21"/>
                                        <w:lang w:val="en-US" w:eastAsia="zh-CN"/>
                                      </w:rPr>
                                    </w:pPr>
                                    <w:r>
                                      <w:rPr>
                                        <w:rFonts w:eastAsia="仿宋"/>
                                        <w:szCs w:val="21"/>
                                      </w:rPr>
                                      <w:t>0.</w:t>
                                    </w:r>
                                    <w:r>
                                      <w:rPr>
                                        <w:rFonts w:hint="eastAsia" w:eastAsia="仿宋"/>
                                        <w:szCs w:val="21"/>
                                        <w:lang w:val="en-US" w:eastAsia="zh-CN"/>
                                      </w:rPr>
                                      <w:t>15</w:t>
                                    </w:r>
                                  </w:p>
                                </w:txbxContent>
                              </wps:txbx>
                              <wps:bodyPr upright="1"/>
                            </wps:wsp>
                            <wps:wsp>
                              <wps:cNvPr id="135" name="矩形 49"/>
                              <wps:cNvSpPr/>
                              <wps:spPr>
                                <a:xfrm>
                                  <a:off x="0" y="1435735"/>
                                  <a:ext cx="748030" cy="545465"/>
                                </a:xfrm>
                                <a:prstGeom prst="rect">
                                  <a:avLst/>
                                </a:prstGeom>
                                <a:noFill/>
                                <a:ln>
                                  <a:noFill/>
                                </a:ln>
                              </wps:spPr>
                              <wps:txbx>
                                <w:txbxContent>
                                  <w:p w14:paraId="3DC3A76C">
                                    <w:pPr>
                                      <w:jc w:val="center"/>
                                      <w:rPr>
                                        <w:szCs w:val="21"/>
                                      </w:rPr>
                                    </w:pPr>
                                    <w:r>
                                      <w:rPr>
                                        <w:szCs w:val="21"/>
                                      </w:rPr>
                                      <w:t>新鲜水</w:t>
                                    </w:r>
                                  </w:p>
                                  <w:p w14:paraId="05285575">
                                    <w:pPr>
                                      <w:jc w:val="center"/>
                                      <w:rPr>
                                        <w:rFonts w:hint="default" w:eastAsia="宋体"/>
                                        <w:szCs w:val="21"/>
                                        <w:lang w:val="en-US" w:eastAsia="zh-CN"/>
                                      </w:rPr>
                                    </w:pPr>
                                    <w:r>
                                      <w:rPr>
                                        <w:rFonts w:hint="eastAsia"/>
                                        <w:szCs w:val="21"/>
                                        <w:lang w:val="en-US" w:eastAsia="zh-CN"/>
                                      </w:rPr>
                                      <w:t>3.971</w:t>
                                    </w:r>
                                  </w:p>
                                </w:txbxContent>
                              </wps:txbx>
                              <wps:bodyPr upright="1"/>
                            </wps:wsp>
                            <wps:wsp>
                              <wps:cNvPr id="136" name="直接箭头连接符 50"/>
                              <wps:cNvCnPr>
                                <a:endCxn id="137" idx="1"/>
                              </wps:cNvCnPr>
                              <wps:spPr>
                                <a:xfrm>
                                  <a:off x="670560" y="579755"/>
                                  <a:ext cx="1845945" cy="6350"/>
                                </a:xfrm>
                                <a:prstGeom prst="straightConnector1">
                                  <a:avLst/>
                                </a:prstGeom>
                                <a:ln w="9525" cap="flat" cmpd="sng">
                                  <a:solidFill>
                                    <a:srgbClr val="000000"/>
                                  </a:solidFill>
                                  <a:prstDash val="solid"/>
                                  <a:headEnd type="none" w="med" len="med"/>
                                  <a:tailEnd type="triangle" w="sm" len="lg"/>
                                </a:ln>
                              </wps:spPr>
                              <wps:bodyPr/>
                            </wps:wsp>
                            <wps:wsp>
                              <wps:cNvPr id="137" name="矩形 51"/>
                              <wps:cNvSpPr/>
                              <wps:spPr>
                                <a:xfrm>
                                  <a:off x="2516505" y="445770"/>
                                  <a:ext cx="1019175" cy="2800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68D175">
                                    <w:pPr>
                                      <w:jc w:val="center"/>
                                      <w:rPr>
                                        <w:rFonts w:hint="eastAsia" w:ascii="宋体" w:hAnsi="宋体" w:cs="宋体"/>
                                        <w:color w:val="000000"/>
                                        <w:kern w:val="0"/>
                                        <w:sz w:val="24"/>
                                      </w:rPr>
                                    </w:pPr>
                                    <w:r>
                                      <w:rPr>
                                        <w:rFonts w:hint="eastAsia" w:ascii="宋体" w:hAnsi="宋体" w:cs="宋体"/>
                                        <w:color w:val="000000"/>
                                        <w:szCs w:val="21"/>
                                        <w:lang w:val="en-US" w:eastAsia="zh-CN"/>
                                      </w:rPr>
                                      <w:t>地坪保洁</w:t>
                                    </w:r>
                                    <w:r>
                                      <w:rPr>
                                        <w:rFonts w:hint="eastAsia" w:ascii="宋体" w:hAnsi="宋体" w:cs="宋体"/>
                                        <w:color w:val="000000"/>
                                        <w:szCs w:val="21"/>
                                      </w:rPr>
                                      <w:t>用水</w:t>
                                    </w:r>
                                  </w:p>
                                </w:txbxContent>
                              </wps:txbx>
                              <wps:bodyPr upright="1"/>
                            </wps:wsp>
                            <wps:wsp>
                              <wps:cNvPr id="138" name="矩形 56"/>
                              <wps:cNvSpPr/>
                              <wps:spPr>
                                <a:xfrm>
                                  <a:off x="2932430" y="59690"/>
                                  <a:ext cx="707390" cy="299085"/>
                                </a:xfrm>
                                <a:prstGeom prst="rect">
                                  <a:avLst/>
                                </a:prstGeom>
                                <a:noFill/>
                                <a:ln>
                                  <a:noFill/>
                                </a:ln>
                              </wps:spPr>
                              <wps:txbx>
                                <w:txbxContent>
                                  <w:p w14:paraId="37DA88E3">
                                    <w:pPr>
                                      <w:jc w:val="center"/>
                                      <w:rPr>
                                        <w:rFonts w:hint="default" w:eastAsia="宋体"/>
                                        <w:color w:val="000000"/>
                                        <w:kern w:val="0"/>
                                        <w:sz w:val="24"/>
                                        <w:lang w:val="en-US" w:eastAsia="zh-CN"/>
                                      </w:rPr>
                                    </w:pPr>
                                    <w:r>
                                      <w:rPr>
                                        <w:rFonts w:hint="eastAsia" w:eastAsia="仿宋"/>
                                        <w:color w:val="000000"/>
                                        <w:szCs w:val="21"/>
                                        <w:lang w:val="en-US" w:eastAsia="zh-CN"/>
                                      </w:rPr>
                                      <w:t>0.09</w:t>
                                    </w:r>
                                  </w:p>
                                </w:txbxContent>
                              </wps:txbx>
                              <wps:bodyPr upright="1"/>
                            </wps:wsp>
                            <wps:wsp>
                              <wps:cNvPr id="139" name="矩形 58"/>
                              <wps:cNvSpPr/>
                              <wps:spPr>
                                <a:xfrm>
                                  <a:off x="1082040" y="323215"/>
                                  <a:ext cx="594360" cy="320040"/>
                                </a:xfrm>
                                <a:prstGeom prst="rect">
                                  <a:avLst/>
                                </a:prstGeom>
                                <a:noFill/>
                                <a:ln>
                                  <a:noFill/>
                                </a:ln>
                              </wps:spPr>
                              <wps:txbx>
                                <w:txbxContent>
                                  <w:p w14:paraId="1559620F">
                                    <w:pPr>
                                      <w:jc w:val="center"/>
                                      <w:rPr>
                                        <w:rFonts w:hint="default" w:eastAsia="宋体"/>
                                        <w:color w:val="000000"/>
                                        <w:kern w:val="0"/>
                                        <w:sz w:val="24"/>
                                        <w:lang w:val="en-US" w:eastAsia="zh-CN"/>
                                      </w:rPr>
                                    </w:pPr>
                                    <w:r>
                                      <w:rPr>
                                        <w:rFonts w:hint="eastAsia" w:eastAsia="仿宋"/>
                                        <w:color w:val="000000"/>
                                        <w:szCs w:val="21"/>
                                        <w:lang w:val="en-US" w:eastAsia="zh-CN"/>
                                      </w:rPr>
                                      <w:t>0.45</w:t>
                                    </w:r>
                                  </w:p>
                                </w:txbxContent>
                              </wps:txbx>
                              <wps:bodyPr upright="1"/>
                            </wps:wsp>
                            <wps:wsp>
                              <wps:cNvPr id="140" name="任意多边形 71"/>
                              <wps:cNvSpPr>
                                <a:spLocks noChangeAspect="1"/>
                              </wps:cNvSpPr>
                              <wps:spPr bwMode="auto">
                                <a:xfrm rot="20409858">
                                  <a:off x="2997200" y="328930"/>
                                  <a:ext cx="277495" cy="72390"/>
                                </a:xfrm>
                                <a:custGeom>
                                  <a:avLst/>
                                  <a:gdLst>
                                    <a:gd name="T0" fmla="*/ 0 w 360"/>
                                    <a:gd name="T1" fmla="*/ 156 h 156"/>
                                    <a:gd name="T2" fmla="*/ 180 w 360"/>
                                    <a:gd name="T3" fmla="*/ 0 h 156"/>
                                    <a:gd name="T4" fmla="*/ 180 w 360"/>
                                    <a:gd name="T5" fmla="*/ 156 h 156"/>
                                    <a:gd name="T6" fmla="*/ 360 w 360"/>
                                    <a:gd name="T7" fmla="*/ 0 h 156"/>
                                  </a:gdLst>
                                  <a:ahLst/>
                                  <a:cxnLst>
                                    <a:cxn ang="0">
                                      <a:pos x="T0" y="T1"/>
                                    </a:cxn>
                                    <a:cxn ang="0">
                                      <a:pos x="T2" y="T3"/>
                                    </a:cxn>
                                    <a:cxn ang="0">
                                      <a:pos x="T4" y="T5"/>
                                    </a:cxn>
                                    <a:cxn ang="0">
                                      <a:pos x="T6" y="T7"/>
                                    </a:cxn>
                                  </a:cxnLst>
                                  <a:rect l="0" t="0" r="r" b="b"/>
                                  <a:pathLst>
                                    <a:path w="360" h="156">
                                      <a:moveTo>
                                        <a:pt x="0" y="156"/>
                                      </a:moveTo>
                                      <a:cubicBezTo>
                                        <a:pt x="75" y="78"/>
                                        <a:pt x="150" y="0"/>
                                        <a:pt x="180" y="0"/>
                                      </a:cubicBezTo>
                                      <a:cubicBezTo>
                                        <a:pt x="210" y="0"/>
                                        <a:pt x="150" y="156"/>
                                        <a:pt x="180" y="156"/>
                                      </a:cubicBezTo>
                                      <a:cubicBezTo>
                                        <a:pt x="210" y="156"/>
                                        <a:pt x="285" y="78"/>
                                        <a:pt x="360" y="0"/>
                                      </a:cubicBezTo>
                                    </a:path>
                                  </a:pathLst>
                                </a:custGeom>
                                <a:noFill/>
                                <a:ln w="9525">
                                  <a:solidFill>
                                    <a:srgbClr val="000000"/>
                                  </a:solidFill>
                                  <a:round/>
                                  <a:tailEnd type="triangle" w="sm" len="lg"/>
                                </a:ln>
                                <a:effectLst/>
                              </wps:spPr>
                              <wps:bodyPr rot="0" vert="horz" wrap="square" lIns="91440" tIns="45720" rIns="91440" bIns="45720" anchor="t" anchorCtr="0" upright="1">
                                <a:noAutofit/>
                              </wps:bodyPr>
                            </wps:wsp>
                            <wps:wsp>
                              <wps:cNvPr id="141" name="任意多边形 75"/>
                              <wps:cNvSpPr>
                                <a:spLocks noChangeAspect="1"/>
                              </wps:cNvSpPr>
                              <wps:spPr bwMode="auto">
                                <a:xfrm rot="20409858">
                                  <a:off x="1555750" y="1859915"/>
                                  <a:ext cx="277495" cy="72390"/>
                                </a:xfrm>
                                <a:custGeom>
                                  <a:avLst/>
                                  <a:gdLst>
                                    <a:gd name="T0" fmla="*/ 0 w 360"/>
                                    <a:gd name="T1" fmla="*/ 156 h 156"/>
                                    <a:gd name="T2" fmla="*/ 180 w 360"/>
                                    <a:gd name="T3" fmla="*/ 0 h 156"/>
                                    <a:gd name="T4" fmla="*/ 180 w 360"/>
                                    <a:gd name="T5" fmla="*/ 156 h 156"/>
                                    <a:gd name="T6" fmla="*/ 360 w 360"/>
                                    <a:gd name="T7" fmla="*/ 0 h 156"/>
                                  </a:gdLst>
                                  <a:ahLst/>
                                  <a:cxnLst>
                                    <a:cxn ang="0">
                                      <a:pos x="T0" y="T1"/>
                                    </a:cxn>
                                    <a:cxn ang="0">
                                      <a:pos x="T2" y="T3"/>
                                    </a:cxn>
                                    <a:cxn ang="0">
                                      <a:pos x="T4" y="T5"/>
                                    </a:cxn>
                                    <a:cxn ang="0">
                                      <a:pos x="T6" y="T7"/>
                                    </a:cxn>
                                  </a:cxnLst>
                                  <a:rect l="0" t="0" r="r" b="b"/>
                                  <a:pathLst>
                                    <a:path w="360" h="156">
                                      <a:moveTo>
                                        <a:pt x="0" y="156"/>
                                      </a:moveTo>
                                      <a:cubicBezTo>
                                        <a:pt x="75" y="78"/>
                                        <a:pt x="150" y="0"/>
                                        <a:pt x="180" y="0"/>
                                      </a:cubicBezTo>
                                      <a:cubicBezTo>
                                        <a:pt x="210" y="0"/>
                                        <a:pt x="150" y="156"/>
                                        <a:pt x="180" y="156"/>
                                      </a:cubicBezTo>
                                      <a:cubicBezTo>
                                        <a:pt x="210" y="156"/>
                                        <a:pt x="285" y="78"/>
                                        <a:pt x="360" y="0"/>
                                      </a:cubicBezTo>
                                    </a:path>
                                  </a:pathLst>
                                </a:custGeom>
                                <a:noFill/>
                                <a:ln w="9525">
                                  <a:solidFill>
                                    <a:srgbClr val="000000"/>
                                  </a:solidFill>
                                  <a:round/>
                                  <a:tailEnd type="triangle" w="sm" len="lg"/>
                                </a:ln>
                                <a:effectLst/>
                              </wps:spPr>
                              <wps:bodyPr rot="0" vert="horz" wrap="square" lIns="91440" tIns="45720" rIns="91440" bIns="45720" anchor="t" anchorCtr="0" upright="1">
                                <a:noAutofit/>
                              </wps:bodyPr>
                            </wps:wsp>
                            <wps:wsp>
                              <wps:cNvPr id="142" name="任意多边形 76"/>
                              <wps:cNvSpPr>
                                <a:spLocks noChangeAspect="1"/>
                              </wps:cNvSpPr>
                              <wps:spPr bwMode="auto">
                                <a:xfrm rot="20409858">
                                  <a:off x="1568450" y="1105535"/>
                                  <a:ext cx="277495" cy="72390"/>
                                </a:xfrm>
                                <a:custGeom>
                                  <a:avLst/>
                                  <a:gdLst>
                                    <a:gd name="T0" fmla="*/ 0 w 360"/>
                                    <a:gd name="T1" fmla="*/ 156 h 156"/>
                                    <a:gd name="T2" fmla="*/ 180 w 360"/>
                                    <a:gd name="T3" fmla="*/ 0 h 156"/>
                                    <a:gd name="T4" fmla="*/ 180 w 360"/>
                                    <a:gd name="T5" fmla="*/ 156 h 156"/>
                                    <a:gd name="T6" fmla="*/ 360 w 360"/>
                                    <a:gd name="T7" fmla="*/ 0 h 156"/>
                                  </a:gdLst>
                                  <a:ahLst/>
                                  <a:cxnLst>
                                    <a:cxn ang="0">
                                      <a:pos x="T0" y="T1"/>
                                    </a:cxn>
                                    <a:cxn ang="0">
                                      <a:pos x="T2" y="T3"/>
                                    </a:cxn>
                                    <a:cxn ang="0">
                                      <a:pos x="T4" y="T5"/>
                                    </a:cxn>
                                    <a:cxn ang="0">
                                      <a:pos x="T6" y="T7"/>
                                    </a:cxn>
                                  </a:cxnLst>
                                  <a:rect l="0" t="0" r="r" b="b"/>
                                  <a:pathLst>
                                    <a:path w="360" h="156">
                                      <a:moveTo>
                                        <a:pt x="0" y="156"/>
                                      </a:moveTo>
                                      <a:cubicBezTo>
                                        <a:pt x="75" y="78"/>
                                        <a:pt x="150" y="0"/>
                                        <a:pt x="180" y="0"/>
                                      </a:cubicBezTo>
                                      <a:cubicBezTo>
                                        <a:pt x="210" y="0"/>
                                        <a:pt x="150" y="156"/>
                                        <a:pt x="180" y="156"/>
                                      </a:cubicBezTo>
                                      <a:cubicBezTo>
                                        <a:pt x="210" y="156"/>
                                        <a:pt x="285" y="78"/>
                                        <a:pt x="360" y="0"/>
                                      </a:cubicBezTo>
                                    </a:path>
                                  </a:pathLst>
                                </a:custGeom>
                                <a:noFill/>
                                <a:ln w="9525">
                                  <a:solidFill>
                                    <a:srgbClr val="000000"/>
                                  </a:solidFill>
                                  <a:round/>
                                  <a:tailEnd type="triangle" w="sm" len="lg"/>
                                </a:ln>
                                <a:effectLst/>
                              </wps:spPr>
                              <wps:bodyPr rot="0" vert="horz" wrap="square" lIns="91440" tIns="45720" rIns="91440" bIns="45720" anchor="t" anchorCtr="0" upright="1">
                                <a:noAutofit/>
                              </wps:bodyPr>
                            </wps:wsp>
                            <wps:wsp>
                              <wps:cNvPr id="143" name="矩形 77"/>
                              <wps:cNvSpPr/>
                              <wps:spPr>
                                <a:xfrm>
                                  <a:off x="1449070" y="830580"/>
                                  <a:ext cx="707390" cy="299085"/>
                                </a:xfrm>
                                <a:prstGeom prst="rect">
                                  <a:avLst/>
                                </a:prstGeom>
                                <a:noFill/>
                                <a:ln>
                                  <a:noFill/>
                                </a:ln>
                              </wps:spPr>
                              <wps:txbx>
                                <w:txbxContent>
                                  <w:p w14:paraId="713917C9">
                                    <w:pPr>
                                      <w:jc w:val="center"/>
                                      <w:rPr>
                                        <w:rFonts w:hint="default" w:eastAsia="宋体"/>
                                        <w:color w:val="000000"/>
                                        <w:kern w:val="0"/>
                                        <w:sz w:val="24"/>
                                        <w:lang w:val="en-US" w:eastAsia="zh-CN"/>
                                      </w:rPr>
                                    </w:pPr>
                                    <w:r>
                                      <w:rPr>
                                        <w:rFonts w:hint="eastAsia" w:eastAsia="仿宋"/>
                                        <w:color w:val="000000"/>
                                        <w:szCs w:val="21"/>
                                        <w:lang w:val="en-US" w:eastAsia="zh-CN"/>
                                      </w:rPr>
                                      <w:t>0.5</w:t>
                                    </w:r>
                                  </w:p>
                                </w:txbxContent>
                              </wps:txbx>
                              <wps:bodyPr upright="1"/>
                            </wps:wsp>
                            <wps:wsp>
                              <wps:cNvPr id="145" name="直接箭头连接符 41"/>
                              <wps:cNvCnPr>
                                <a:endCxn id="41" idx="3"/>
                              </wps:cNvCnPr>
                              <wps:spPr>
                                <a:xfrm flipH="1">
                                  <a:off x="3369310" y="1358265"/>
                                  <a:ext cx="885825" cy="635"/>
                                </a:xfrm>
                                <a:prstGeom prst="straightConnector1">
                                  <a:avLst/>
                                </a:prstGeom>
                                <a:ln w="9525" cap="flat" cmpd="sng">
                                  <a:solidFill>
                                    <a:srgbClr val="000000"/>
                                  </a:solidFill>
                                  <a:prstDash val="solid"/>
                                  <a:headEnd type="none" w="med" len="med"/>
                                  <a:tailEnd type="none" w="med" len="med"/>
                                </a:ln>
                              </wps:spPr>
                              <wps:bodyPr/>
                            </wps:wsp>
                            <wps:wsp>
                              <wps:cNvPr id="146" name="直接箭头连接符 37"/>
                              <wps:cNvCnPr/>
                              <wps:spPr>
                                <a:xfrm flipH="1">
                                  <a:off x="4259580" y="586740"/>
                                  <a:ext cx="6350" cy="2533015"/>
                                </a:xfrm>
                                <a:prstGeom prst="straightConnector1">
                                  <a:avLst/>
                                </a:prstGeom>
                                <a:ln w="9525" cap="flat" cmpd="sng">
                                  <a:solidFill>
                                    <a:srgbClr val="000000"/>
                                  </a:solidFill>
                                  <a:prstDash val="solid"/>
                                  <a:headEnd type="none" w="med" len="med"/>
                                  <a:tailEnd type="triangle" w="sm" len="lg"/>
                                </a:ln>
                              </wps:spPr>
                              <wps:bodyPr/>
                            </wps:wsp>
                            <wps:wsp>
                              <wps:cNvPr id="147" name="矩形 77"/>
                              <wps:cNvSpPr/>
                              <wps:spPr>
                                <a:xfrm>
                                  <a:off x="3556635" y="341630"/>
                                  <a:ext cx="707390" cy="299085"/>
                                </a:xfrm>
                                <a:prstGeom prst="rect">
                                  <a:avLst/>
                                </a:prstGeom>
                                <a:noFill/>
                                <a:ln>
                                  <a:noFill/>
                                </a:ln>
                              </wps:spPr>
                              <wps:txbx>
                                <w:txbxContent>
                                  <w:p w14:paraId="6C811861">
                                    <w:pPr>
                                      <w:jc w:val="center"/>
                                      <w:rPr>
                                        <w:rFonts w:hint="default" w:eastAsia="宋体"/>
                                        <w:color w:val="000000"/>
                                        <w:kern w:val="0"/>
                                        <w:sz w:val="24"/>
                                        <w:lang w:val="en-US" w:eastAsia="zh-CN"/>
                                      </w:rPr>
                                    </w:pPr>
                                    <w:r>
                                      <w:rPr>
                                        <w:rFonts w:hint="eastAsia" w:eastAsia="仿宋"/>
                                        <w:color w:val="000000"/>
                                        <w:szCs w:val="21"/>
                                        <w:lang w:val="en-US" w:eastAsia="zh-CN"/>
                                      </w:rPr>
                                      <w:t>0.36</w:t>
                                    </w:r>
                                  </w:p>
                                </w:txbxContent>
                              </wps:txbx>
                              <wps:bodyPr upright="1"/>
                            </wps:wsp>
                            <wps:wsp>
                              <wps:cNvPr id="79" name="直接箭头连接符 41"/>
                              <wps:cNvCnPr/>
                              <wps:spPr>
                                <a:xfrm flipH="1" flipV="1">
                                  <a:off x="3534410" y="583565"/>
                                  <a:ext cx="728345" cy="1905"/>
                                </a:xfrm>
                                <a:prstGeom prst="straightConnector1">
                                  <a:avLst/>
                                </a:prstGeom>
                                <a:ln w="9525" cap="flat" cmpd="sng">
                                  <a:solidFill>
                                    <a:srgbClr val="000000"/>
                                  </a:solidFill>
                                  <a:prstDash val="solid"/>
                                  <a:headEnd type="none" w="med" len="med"/>
                                  <a:tailEnd type="none" w="med" len="med"/>
                                </a:ln>
                              </wps:spPr>
                              <wps:bodyPr/>
                            </wps:wsp>
                            <wps:wsp>
                              <wps:cNvPr id="80" name="矩形 21"/>
                              <wps:cNvSpPr/>
                              <wps:spPr>
                                <a:xfrm>
                                  <a:off x="3596005" y="1123950"/>
                                  <a:ext cx="493395" cy="320675"/>
                                </a:xfrm>
                                <a:prstGeom prst="rect">
                                  <a:avLst/>
                                </a:prstGeom>
                                <a:noFill/>
                                <a:ln>
                                  <a:noFill/>
                                </a:ln>
                              </wps:spPr>
                              <wps:txbx>
                                <w:txbxContent>
                                  <w:p w14:paraId="28880E7D">
                                    <w:pPr>
                                      <w:rPr>
                                        <w:rFonts w:hint="default" w:eastAsia="仿宋"/>
                                        <w:szCs w:val="21"/>
                                        <w:lang w:val="en-US" w:eastAsia="zh-CN"/>
                                      </w:rPr>
                                    </w:pPr>
                                    <w:r>
                                      <w:rPr>
                                        <w:rFonts w:hint="eastAsia" w:eastAsia="仿宋"/>
                                        <w:szCs w:val="21"/>
                                      </w:rPr>
                                      <w:t>2</w:t>
                                    </w:r>
                                  </w:p>
                                </w:txbxContent>
                              </wps:txbx>
                              <wps:bodyPr upright="1"/>
                            </wps:wsp>
                            <wps:wsp>
                              <wps:cNvPr id="4" name="直接箭头连接符 41"/>
                              <wps:cNvCnPr/>
                              <wps:spPr>
                                <a:xfrm flipH="1">
                                  <a:off x="3359785" y="2110105"/>
                                  <a:ext cx="885825" cy="635"/>
                                </a:xfrm>
                                <a:prstGeom prst="straightConnector1">
                                  <a:avLst/>
                                </a:prstGeom>
                                <a:ln w="9525" cap="flat" cmpd="sng">
                                  <a:solidFill>
                                    <a:srgbClr val="000000"/>
                                  </a:solidFill>
                                  <a:prstDash val="solid"/>
                                  <a:headEnd type="none" w="med" len="med"/>
                                  <a:tailEnd type="none" w="med" len="med"/>
                                </a:ln>
                              </wps:spPr>
                              <wps:bodyPr/>
                            </wps:wsp>
                            <wps:wsp>
                              <wps:cNvPr id="61" name="矩形 61"/>
                              <wps:cNvSpPr/>
                              <wps:spPr>
                                <a:xfrm>
                                  <a:off x="1572895" y="2682240"/>
                                  <a:ext cx="1139825" cy="284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B13FBE">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宋体" w:hAnsi="宋体" w:eastAsia="宋体" w:cs="宋体"/>
                                        <w:szCs w:val="21"/>
                                        <w:lang w:eastAsia="zh-CN"/>
                                      </w:rPr>
                                    </w:pPr>
                                    <w:r>
                                      <w:rPr>
                                        <w:rFonts w:hint="eastAsia" w:ascii="宋体" w:hAnsi="宋体" w:cs="宋体"/>
                                        <w:szCs w:val="21"/>
                                        <w:lang w:eastAsia="zh-CN"/>
                                      </w:rPr>
                                      <w:t>循环冷却用水</w:t>
                                    </w:r>
                                  </w:p>
                                </w:txbxContent>
                              </wps:txbx>
                              <wps:bodyPr upright="1"/>
                            </wps:wsp>
                            <wps:wsp>
                              <wps:cNvPr id="64" name="直接箭头连接符 64"/>
                              <wps:cNvCnPr/>
                              <wps:spPr>
                                <a:xfrm>
                                  <a:off x="2155190" y="2969260"/>
                                  <a:ext cx="0" cy="266700"/>
                                </a:xfrm>
                                <a:prstGeom prst="straightConnector1">
                                  <a:avLst/>
                                </a:prstGeom>
                                <a:ln w="9525" cap="flat" cmpd="sng">
                                  <a:solidFill>
                                    <a:srgbClr val="000000"/>
                                  </a:solidFill>
                                  <a:prstDash val="solid"/>
                                  <a:headEnd type="triangle" w="sm" len="lg"/>
                                  <a:tailEnd type="none" w="sm" len="lg"/>
                                </a:ln>
                              </wps:spPr>
                              <wps:bodyPr/>
                            </wps:wsp>
                            <wps:wsp>
                              <wps:cNvPr id="66" name="直接连接符 66"/>
                              <wps:cNvCnPr/>
                              <wps:spPr>
                                <a:xfrm>
                                  <a:off x="2703830" y="2887980"/>
                                  <a:ext cx="330200" cy="0"/>
                                </a:xfrm>
                                <a:prstGeom prst="line">
                                  <a:avLst/>
                                </a:prstGeom>
                                <a:ln w="9525" cap="flat" cmpd="sng">
                                  <a:solidFill>
                                    <a:srgbClr val="000000"/>
                                  </a:solidFill>
                                  <a:prstDash val="solid"/>
                                  <a:headEnd type="none" w="med" len="med"/>
                                  <a:tailEnd type="none" w="med" len="med"/>
                                </a:ln>
                              </wps:spPr>
                              <wps:bodyPr upright="1"/>
                            </wps:wsp>
                            <wps:wsp>
                              <wps:cNvPr id="67" name="直接连接符 67"/>
                              <wps:cNvCnPr/>
                              <wps:spPr>
                                <a:xfrm>
                                  <a:off x="3032125" y="2886075"/>
                                  <a:ext cx="0" cy="342265"/>
                                </a:xfrm>
                                <a:prstGeom prst="line">
                                  <a:avLst/>
                                </a:prstGeom>
                                <a:ln w="9525" cap="flat" cmpd="sng">
                                  <a:solidFill>
                                    <a:srgbClr val="000000"/>
                                  </a:solidFill>
                                  <a:prstDash val="solid"/>
                                  <a:headEnd type="none" w="med" len="med"/>
                                  <a:tailEnd type="none" w="med" len="med"/>
                                </a:ln>
                              </wps:spPr>
                              <wps:bodyPr upright="1"/>
                            </wps:wsp>
                            <wps:wsp>
                              <wps:cNvPr id="68" name="直接连接符 68"/>
                              <wps:cNvCnPr/>
                              <wps:spPr>
                                <a:xfrm flipV="1">
                                  <a:off x="2147570" y="3232785"/>
                                  <a:ext cx="889000" cy="0"/>
                                </a:xfrm>
                                <a:prstGeom prst="line">
                                  <a:avLst/>
                                </a:prstGeom>
                                <a:ln w="9525" cap="flat" cmpd="sng">
                                  <a:solidFill>
                                    <a:srgbClr val="000000"/>
                                  </a:solidFill>
                                  <a:prstDash val="solid"/>
                                  <a:headEnd type="none" w="med" len="med"/>
                                  <a:tailEnd type="none" w="med" len="med"/>
                                </a:ln>
                              </wps:spPr>
                              <wps:bodyPr upright="1"/>
                            </wps:wsp>
                            <wps:wsp>
                              <wps:cNvPr id="65" name="矩形 65"/>
                              <wps:cNvSpPr/>
                              <wps:spPr>
                                <a:xfrm>
                                  <a:off x="2306320" y="3007360"/>
                                  <a:ext cx="572770" cy="317500"/>
                                </a:xfrm>
                                <a:prstGeom prst="rect">
                                  <a:avLst/>
                                </a:prstGeom>
                                <a:noFill/>
                                <a:ln>
                                  <a:noFill/>
                                </a:ln>
                              </wps:spPr>
                              <wps:txbx>
                                <w:txbxContent>
                                  <w:p w14:paraId="57D4C75C">
                                    <w:pPr>
                                      <w:jc w:val="center"/>
                                      <w:rPr>
                                        <w:rFonts w:hint="default" w:eastAsia="仿宋"/>
                                        <w:szCs w:val="21"/>
                                        <w:lang w:val="en-US" w:eastAsia="zh-CN"/>
                                      </w:rPr>
                                    </w:pPr>
                                    <w:r>
                                      <w:rPr>
                                        <w:rFonts w:hint="eastAsia" w:eastAsia="仿宋"/>
                                        <w:szCs w:val="21"/>
                                        <w:lang w:val="en-US" w:eastAsia="zh-CN"/>
                                      </w:rPr>
                                      <w:t>1m</w:t>
                                    </w:r>
                                    <w:r>
                                      <w:rPr>
                                        <w:rFonts w:hint="eastAsia" w:eastAsia="仿宋"/>
                                        <w:szCs w:val="21"/>
                                        <w:vertAlign w:val="superscript"/>
                                        <w:lang w:val="en-US" w:eastAsia="zh-CN"/>
                                      </w:rPr>
                                      <w:t>3</w:t>
                                    </w:r>
                                    <w:r>
                                      <w:rPr>
                                        <w:rFonts w:hint="eastAsia" w:eastAsia="仿宋"/>
                                        <w:szCs w:val="21"/>
                                        <w:lang w:val="en-US" w:eastAsia="zh-CN"/>
                                      </w:rPr>
                                      <w:t>/h</w:t>
                                    </w:r>
                                  </w:p>
                                </w:txbxContent>
                              </wps:txbx>
                              <wps:bodyPr upright="1"/>
                            </wps:wsp>
                            <wps:wsp>
                              <wps:cNvPr id="6" name="直接箭头连接符 20"/>
                              <wps:cNvCnPr/>
                              <wps:spPr>
                                <a:xfrm flipV="1">
                                  <a:off x="2715260" y="2790190"/>
                                  <a:ext cx="1544320" cy="1270"/>
                                </a:xfrm>
                                <a:prstGeom prst="straightConnector1">
                                  <a:avLst/>
                                </a:prstGeom>
                                <a:ln w="9525" cap="flat" cmpd="sng">
                                  <a:solidFill>
                                    <a:srgbClr val="000000"/>
                                  </a:solidFill>
                                  <a:prstDash val="solid"/>
                                  <a:headEnd type="none" w="med" len="med"/>
                                  <a:tailEnd type="none" w="sm" len="lg"/>
                                </a:ln>
                              </wps:spPr>
                              <wps:bodyPr/>
                            </wps:wsp>
                            <wps:wsp>
                              <wps:cNvPr id="7" name="矩形 43"/>
                              <wps:cNvSpPr/>
                              <wps:spPr>
                                <a:xfrm>
                                  <a:off x="856615" y="2590165"/>
                                  <a:ext cx="508000" cy="320675"/>
                                </a:xfrm>
                                <a:prstGeom prst="rect">
                                  <a:avLst/>
                                </a:prstGeom>
                                <a:noFill/>
                                <a:ln>
                                  <a:noFill/>
                                </a:ln>
                              </wps:spPr>
                              <wps:txbx>
                                <w:txbxContent>
                                  <w:p w14:paraId="00BD6E98">
                                    <w:pPr>
                                      <w:rPr>
                                        <w:rFonts w:hint="default" w:eastAsia="仿宋"/>
                                        <w:szCs w:val="21"/>
                                        <w:lang w:val="en-US" w:eastAsia="zh-CN"/>
                                      </w:rPr>
                                    </w:pPr>
                                    <w:r>
                                      <w:rPr>
                                        <w:rFonts w:hint="eastAsia" w:eastAsia="仿宋"/>
                                        <w:szCs w:val="21"/>
                                        <w:lang w:val="en-US" w:eastAsia="zh-CN"/>
                                      </w:rPr>
                                      <w:t>0.271</w:t>
                                    </w:r>
                                  </w:p>
                                </w:txbxContent>
                              </wps:txbx>
                              <wps:bodyPr upright="1"/>
                            </wps:wsp>
                            <wps:wsp>
                              <wps:cNvPr id="8" name="矩形 46"/>
                              <wps:cNvSpPr/>
                              <wps:spPr>
                                <a:xfrm>
                                  <a:off x="2251710" y="2294890"/>
                                  <a:ext cx="523875" cy="321310"/>
                                </a:xfrm>
                                <a:prstGeom prst="rect">
                                  <a:avLst/>
                                </a:prstGeom>
                                <a:noFill/>
                                <a:ln>
                                  <a:noFill/>
                                </a:ln>
                              </wps:spPr>
                              <wps:txbx>
                                <w:txbxContent>
                                  <w:p w14:paraId="3041C0C5">
                                    <w:pPr>
                                      <w:rPr>
                                        <w:rFonts w:hint="default" w:eastAsia="仿宋"/>
                                        <w:szCs w:val="21"/>
                                        <w:lang w:val="en-US" w:eastAsia="zh-CN"/>
                                      </w:rPr>
                                    </w:pPr>
                                    <w:r>
                                      <w:rPr>
                                        <w:rFonts w:eastAsia="仿宋"/>
                                        <w:szCs w:val="21"/>
                                      </w:rPr>
                                      <w:t>0.</w:t>
                                    </w:r>
                                    <w:r>
                                      <w:rPr>
                                        <w:rFonts w:hint="eastAsia" w:eastAsia="仿宋"/>
                                        <w:szCs w:val="21"/>
                                        <w:lang w:val="en-US" w:eastAsia="zh-CN"/>
                                      </w:rPr>
                                      <w:t>24</w:t>
                                    </w:r>
                                  </w:p>
                                </w:txbxContent>
                              </wps:txbx>
                              <wps:bodyPr upright="1"/>
                            </wps:wsp>
                            <wps:wsp>
                              <wps:cNvPr id="9" name="任意多边形 75"/>
                              <wps:cNvSpPr>
                                <a:spLocks noChangeAspect="1"/>
                              </wps:cNvSpPr>
                              <wps:spPr bwMode="auto">
                                <a:xfrm rot="20409858">
                                  <a:off x="2113915" y="2571750"/>
                                  <a:ext cx="277495" cy="72390"/>
                                </a:xfrm>
                                <a:custGeom>
                                  <a:avLst/>
                                  <a:gdLst>
                                    <a:gd name="T0" fmla="*/ 0 w 360"/>
                                    <a:gd name="T1" fmla="*/ 156 h 156"/>
                                    <a:gd name="T2" fmla="*/ 180 w 360"/>
                                    <a:gd name="T3" fmla="*/ 0 h 156"/>
                                    <a:gd name="T4" fmla="*/ 180 w 360"/>
                                    <a:gd name="T5" fmla="*/ 156 h 156"/>
                                    <a:gd name="T6" fmla="*/ 360 w 360"/>
                                    <a:gd name="T7" fmla="*/ 0 h 156"/>
                                  </a:gdLst>
                                  <a:ahLst/>
                                  <a:cxnLst>
                                    <a:cxn ang="0">
                                      <a:pos x="T0" y="T1"/>
                                    </a:cxn>
                                    <a:cxn ang="0">
                                      <a:pos x="T2" y="T3"/>
                                    </a:cxn>
                                    <a:cxn ang="0">
                                      <a:pos x="T4" y="T5"/>
                                    </a:cxn>
                                    <a:cxn ang="0">
                                      <a:pos x="T6" y="T7"/>
                                    </a:cxn>
                                  </a:cxnLst>
                                  <a:rect l="0" t="0" r="r" b="b"/>
                                  <a:pathLst>
                                    <a:path w="360" h="156">
                                      <a:moveTo>
                                        <a:pt x="0" y="156"/>
                                      </a:moveTo>
                                      <a:cubicBezTo>
                                        <a:pt x="75" y="78"/>
                                        <a:pt x="150" y="0"/>
                                        <a:pt x="180" y="0"/>
                                      </a:cubicBezTo>
                                      <a:cubicBezTo>
                                        <a:pt x="210" y="0"/>
                                        <a:pt x="150" y="156"/>
                                        <a:pt x="180" y="156"/>
                                      </a:cubicBezTo>
                                      <a:cubicBezTo>
                                        <a:pt x="210" y="156"/>
                                        <a:pt x="285" y="78"/>
                                        <a:pt x="360" y="0"/>
                                      </a:cubicBezTo>
                                    </a:path>
                                  </a:pathLst>
                                </a:custGeom>
                                <a:noFill/>
                                <a:ln w="9525">
                                  <a:solidFill>
                                    <a:srgbClr val="000000"/>
                                  </a:solidFill>
                                  <a:round/>
                                  <a:tailEnd type="triangle" w="sm" len="lg"/>
                                </a:ln>
                                <a:effectLst/>
                              </wps:spPr>
                              <wps:bodyPr rot="0" vert="horz" wrap="square" lIns="91440" tIns="45720" rIns="91440" bIns="45720" anchor="t" anchorCtr="0" upright="1">
                                <a:noAutofit/>
                              </wps:bodyPr>
                            </wps:wsp>
                            <wps:wsp>
                              <wps:cNvPr id="10" name="矩形 46"/>
                              <wps:cNvSpPr/>
                              <wps:spPr>
                                <a:xfrm>
                                  <a:off x="3168650" y="2548890"/>
                                  <a:ext cx="523875" cy="321310"/>
                                </a:xfrm>
                                <a:prstGeom prst="rect">
                                  <a:avLst/>
                                </a:prstGeom>
                                <a:noFill/>
                                <a:ln>
                                  <a:noFill/>
                                </a:ln>
                              </wps:spPr>
                              <wps:txbx>
                                <w:txbxContent>
                                  <w:p w14:paraId="7F4CA9DA">
                                    <w:pPr>
                                      <w:rPr>
                                        <w:rFonts w:hint="default" w:eastAsia="仿宋"/>
                                        <w:szCs w:val="21"/>
                                        <w:lang w:val="en-US" w:eastAsia="zh-CN"/>
                                      </w:rPr>
                                    </w:pPr>
                                    <w:r>
                                      <w:rPr>
                                        <w:rFonts w:eastAsia="仿宋"/>
                                        <w:szCs w:val="21"/>
                                      </w:rPr>
                                      <w:t>0.</w:t>
                                    </w:r>
                                    <w:r>
                                      <w:rPr>
                                        <w:rFonts w:hint="eastAsia" w:eastAsia="仿宋"/>
                                        <w:szCs w:val="21"/>
                                        <w:lang w:val="en-US" w:eastAsia="zh-CN"/>
                                      </w:rPr>
                                      <w:t>031</w:t>
                                    </w:r>
                                  </w:p>
                                </w:txbxContent>
                              </wps:txbx>
                              <wps:bodyPr upright="1"/>
                            </wps:wsp>
                            <wps:wsp>
                              <wps:cNvPr id="12" name="矩形 43"/>
                              <wps:cNvSpPr/>
                              <wps:spPr>
                                <a:xfrm>
                                  <a:off x="725805" y="1113790"/>
                                  <a:ext cx="508000" cy="320675"/>
                                </a:xfrm>
                                <a:prstGeom prst="rect">
                                  <a:avLst/>
                                </a:prstGeom>
                                <a:noFill/>
                                <a:ln>
                                  <a:noFill/>
                                </a:ln>
                              </wps:spPr>
                              <wps:txbx>
                                <w:txbxContent>
                                  <w:p w14:paraId="0B006EB1">
                                    <w:pPr>
                                      <w:rPr>
                                        <w:rFonts w:hint="default" w:eastAsia="仿宋"/>
                                        <w:szCs w:val="21"/>
                                        <w:lang w:val="en-US" w:eastAsia="zh-CN"/>
                                      </w:rPr>
                                    </w:pPr>
                                    <w:r>
                                      <w:rPr>
                                        <w:rFonts w:hint="eastAsia" w:eastAsia="仿宋"/>
                                        <w:szCs w:val="21"/>
                                        <w:lang w:val="en-US" w:eastAsia="zh-CN"/>
                                      </w:rPr>
                                      <w:t>2.5</w:t>
                                    </w:r>
                                  </w:p>
                                </w:txbxContent>
                              </wps:txbx>
                              <wps:bodyPr upright="1"/>
                            </wps:wsp>
                            <wps:wsp>
                              <wps:cNvPr id="13" name="矩形 43"/>
                              <wps:cNvSpPr/>
                              <wps:spPr>
                                <a:xfrm>
                                  <a:off x="697865" y="1871980"/>
                                  <a:ext cx="508000" cy="320675"/>
                                </a:xfrm>
                                <a:prstGeom prst="rect">
                                  <a:avLst/>
                                </a:prstGeom>
                                <a:noFill/>
                                <a:ln>
                                  <a:noFill/>
                                </a:ln>
                              </wps:spPr>
                              <wps:txbx>
                                <w:txbxContent>
                                  <w:p w14:paraId="52C9D6C3">
                                    <w:pPr>
                                      <w:rPr>
                                        <w:rFonts w:hint="default" w:eastAsia="仿宋"/>
                                        <w:szCs w:val="21"/>
                                        <w:lang w:val="en-US" w:eastAsia="zh-CN"/>
                                      </w:rPr>
                                    </w:pPr>
                                    <w:r>
                                      <w:rPr>
                                        <w:rFonts w:hint="eastAsia" w:eastAsia="仿宋"/>
                                        <w:szCs w:val="21"/>
                                        <w:lang w:val="en-US" w:eastAsia="zh-CN"/>
                                      </w:rPr>
                                      <w:t>0.75</w:t>
                                    </w:r>
                                  </w:p>
                                </w:txbxContent>
                              </wps:txbx>
                              <wps:bodyPr upright="1"/>
                            </wps:wsp>
                          </wpc:wpc>
                        </a:graphicData>
                      </a:graphic>
                    </wp:inline>
                  </w:drawing>
                </mc:Choice>
                <mc:Fallback>
                  <w:pict>
                    <v:group id="_x0000_s1026" o:spid="_x0000_s1026" o:spt="203" style="height:340pt;width:397.45pt;" coordsize="5047615,4318000" editas="canvas"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">
                      <o:lock v:ext="edit" aspectratio="f"/>
                      <v:shape id="_x0000_s1026" o:spid="_x0000_s1026" style="position:absolute;left:0;top:0;height:4318000;width:5047615;" filled="f" stroked="f" coordsize="21600,21600"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">
                        <v:fill on="f" focussize="0,0"/>
                        <v:stroke on="f"/>
                        <v:imagedata o:title=""/>
                        <o:lock v:ext="edit" aspectratio="t"/>
                      </v:shape>
                      <v:shape id="直接箭头连接符 5" o:spid="_x0000_s1026" o:spt="32" type="#_x0000_t32" style="position:absolute;left:675640;top:1358900;height:635;width:504190;" filled="f" stroked="t" coordsize="21600,21600" o:gfxdata="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vMjdQAAAAFAQAADwAAAAAA&#10;AAABACAAAAAiAAAAZHJzL2Rvd25yZXYueG1sUEsBAhQAFAAAAAgAh07iQAiHI1wXAgAA+wMAAA4A&#10;AAAAAAAAAQAgAAAAIwEAAGRycy9lMm9Eb2MueG1sUEsFBgAAAAAGAAYAWQEAAKwFAAAAAA==&#10;">
                        <v:fill on="f" focussize="0,0"/>
                        <v:stroke color="#000000" joinstyle="round" endarrow="block" endarrowwidth="narrow" endarrowlength="long"/>
                        <v:imagedata o:title=""/>
                        <o:lock v:ext="edit" aspectratio="f"/>
                      </v:shape>
                      <v:rect id="矩形 18" o:spid="_x0000_s1026" o:spt="1" style="position:absolute;left:1157605;top:1218565;height:280035;width:768985;" fillcolor="#FFFFFF" filled="t" stroked="t" coordsize="21600,21600" o:gfxdata="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0+R/s1QAAAAUBAAAPAAAAAAAAAAEAIAAA&#10;ACIAAABkcnMvZG93bnJldi54bWxQSwECFAAUAAAACACHTuJAv4J71A8CAAA2BAAADgAAAAAAAAAB&#10;ACAAAAAkAQAAZHJzL2Uyb0RvYy54bWxQSwUGAAAAAAYABgBZAQAApQUAAAAA&#10;">
                        <v:fill on="t" focussize="0,0"/>
                        <v:stroke color="#000000" joinstyle="miter"/>
                        <v:imagedata o:title=""/>
                        <o:lock v:ext="edit" aspectratio="f"/>
                        <v:textbox>
                          <w:txbxContent>
                            <w:p w14:paraId="108CE6EA">
                              <w:pPr>
                                <w:jc w:val="center"/>
                                <w:rPr>
                                  <w:rFonts w:hint="eastAsia" w:ascii="宋体" w:hAnsi="宋体" w:cs="宋体"/>
                                  <w:szCs w:val="21"/>
                                </w:rPr>
                              </w:pPr>
                              <w:r>
                                <w:rPr>
                                  <w:rFonts w:hint="eastAsia" w:ascii="宋体" w:hAnsi="宋体" w:cs="宋体"/>
                                  <w:szCs w:val="21"/>
                                </w:rPr>
                                <w:t>生活用水</w:t>
                              </w:r>
                            </w:p>
                          </w:txbxContent>
                        </v:textbox>
                      </v:rect>
                      <v:shape id="直接箭头连接符 20" o:spid="_x0000_s1026" o:spt="32" type="#_x0000_t32" style="position:absolute;left:1926590;top:1358900;height:0;width:734060;" filled="f" stroked="t" coordsize="21600,21600" o:gfxdata="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68yN1AAAAAUBAAAPAAAAAAAAAAEAIAAAACIAAABkcnMvZG93bnJldi54bWxQSwECFAAU&#10;AAAACACHTuJANw5zBy4CAAA9BAAADgAAAAAAAAABACAAAAAjAQAAZHJzL2Uyb0RvYy54bWxQSwUG&#10;AAAAAAYABgBZAQAAwwUAAAAA&#10;">
                        <v:fill on="f" focussize="0,0"/>
                        <v:stroke color="#000000" joinstyle="round" endarrow="block" endarrowwidth="narrow" endarrowlength="long"/>
                        <v:imagedata o:title=""/>
                        <o:lock v:ext="edit" aspectratio="f"/>
                      </v:shape>
                      <v:rect id="矩形 21" o:spid="_x0000_s1026" o:spt="1" style="position:absolute;left:2093595;top:1139190;height:320675;width:292735;" filled="f" stroked="f" coordsize="21600,21600"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GZBTnX&#10;AAAABQEAAA8AAAAAAAAAAQAgAAAAIgAAAGRycy9kb3ducmV2LnhtbFBLAQIUABQAAAAIAIdO4kDX&#10;ykiwrwEAAE4DAAAOAAAAAAAAAAEAIAAAACYBAABkcnMvZTJvRG9jLnhtbFBLBQYAAAAABgAGAFkB&#10;AABHBQAAAAA=&#10;">
                        <v:fill on="f" focussize="0,0"/>
                        <v:stroke on="f"/>
                        <v:imagedata o:title=""/>
                        <o:lock v:ext="edit" aspectratio="f"/>
                        <v:textbox>
                          <w:txbxContent>
                            <w:p w14:paraId="2B37CAE4">
                              <w:pPr>
                                <w:rPr>
                                  <w:rFonts w:hint="default" w:eastAsia="仿宋"/>
                                  <w:szCs w:val="21"/>
                                  <w:lang w:val="en-US" w:eastAsia="zh-CN"/>
                                </w:rPr>
                              </w:pPr>
                              <w:r>
                                <w:rPr>
                                  <w:rFonts w:hint="eastAsia" w:eastAsia="仿宋"/>
                                  <w:szCs w:val="21"/>
                                </w:rPr>
                                <w:t>2</w:t>
                              </w:r>
                            </w:p>
                          </w:txbxContent>
                        </v:textbox>
                      </v:rect>
                      <v:shape id="直接箭头连接符 24" o:spid="_x0000_s1026" o:spt="32" type="#_x0000_t32" style="position:absolute;left:52070;top:1697355;height:5080;width:629285;" filled="f" stroked="t" coordsize="21600,21600" o:gfxdata="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368yN1AAAAAUBAAAPAAAA&#10;AAAAAAEAIAAAACIAAABkcnMvZG93bnJldi54bWxQSwECFAAUAAAACACHTuJA/2j2HxkCAAD8AwAA&#10;DgAAAAAAAAABACAAAAAjAQAAZHJzL2Uyb0RvYy54bWxQSwUGAAAAAAYABgBZAQAArgUAAAAA&#10;">
                        <v:fill on="f" focussize="0,0"/>
                        <v:stroke color="#000000" joinstyle="round" endarrow="block" endarrowwidth="narrow" endarrowlength="long"/>
                        <v:imagedata o:title=""/>
                        <o:lock v:ext="edit" aspectratio="f"/>
                      </v:shape>
                      <v:rect id="矩形 26" o:spid="_x0000_s1026" o:spt="1" style="position:absolute;left:2660650;top:1214755;height:288290;width:708660;" fillcolor="#FFFFFF" filled="t" stroked="t" coordsize="21600,21600" o:gfxdata="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Pkf7NUAAAAFAQAADwAAAAAAAAABACAA&#10;AAAiAAAAZHJzL2Rvd25yZXYueG1sUEsBAhQAFAAAAAgAh07iQP+nVC8QAgAANgQAAA4AAAAAAAAA&#10;AQAgAAAAJAEAAGRycy9lMm9Eb2MueG1sUEsFBgAAAAAGAAYAWQEAAKYFAAAAAA==&#10;">
                        <v:fill on="t" focussize="0,0"/>
                        <v:stroke color="#000000" joinstyle="miter"/>
                        <v:imagedata o:title=""/>
                        <o:lock v:ext="edit" aspectratio="f"/>
                        <v:textbox>
                          <w:txbxContent>
                            <w:p w14:paraId="7B80D45F">
                              <w:pPr>
                                <w:jc w:val="center"/>
                                <w:rPr>
                                  <w:rFonts w:hint="eastAsia" w:ascii="宋体" w:hAnsi="宋体" w:cs="宋体"/>
                                  <w:szCs w:val="21"/>
                                </w:rPr>
                              </w:pPr>
                              <w:r>
                                <w:rPr>
                                  <w:rFonts w:hint="eastAsia" w:ascii="宋体" w:hAnsi="宋体" w:cs="宋体"/>
                                  <w:szCs w:val="21"/>
                                </w:rPr>
                                <w:t>化粪池</w:t>
                              </w:r>
                            </w:p>
                          </w:txbxContent>
                        </v:textbox>
                      </v:rect>
                      <v:rect id="矩形 27" o:spid="_x0000_s1026" o:spt="1" style="position:absolute;left:3886200;top:4030980;height:280670;width:732790;" filled="f" stroked="f" coordsize="21600,21600"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ZkFOdcA&#10;AAAFAQAADwAAAAAAAAABACAAAAAiAAAAZHJzL2Rvd25yZXYueG1sUEsBAhQAFAAAAAgAh07iQALf&#10;2lWuAQAATgMAAA4AAAAAAAAAAQAgAAAAJgEAAGRycy9lMm9Eb2MueG1sUEsFBgAAAAAGAAYAWQEA&#10;AEYFAAAAAA==&#10;">
                        <v:fill on="f" focussize="0,0"/>
                        <v:stroke on="f"/>
                        <v:imagedata o:title=""/>
                        <o:lock v:ext="edit" aspectratio="f"/>
                        <v:textbox>
                          <w:txbxContent>
                            <w:p w14:paraId="16E0130A">
                              <w:pPr>
                                <w:pStyle w:val="36"/>
                                <w:spacing w:before="0" w:beforeAutospacing="0" w:after="0" w:afterAutospacing="0"/>
                                <w:ind w:firstLine="210"/>
                                <w:jc w:val="both"/>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淮</w:t>
                              </w:r>
                              <w:r>
                                <w:rPr>
                                  <w:rFonts w:hint="eastAsia" w:cs="宋体"/>
                                  <w:color w:val="000000" w:themeColor="text1"/>
                                  <w:sz w:val="21"/>
                                  <w:szCs w:val="21"/>
                                  <w14:textFill>
                                    <w14:solidFill>
                                      <w14:schemeClr w14:val="tx1"/>
                                    </w14:solidFill>
                                  </w14:textFill>
                                </w:rPr>
                                <w:t>河</w:t>
                              </w:r>
                            </w:p>
                          </w:txbxContent>
                        </v:textbox>
                      </v:rect>
                      <v:rect id="矩形 28" o:spid="_x0000_s1026" o:spt="1" style="position:absolute;left:3611245;top:3116580;height:467360;width:1281430;" fillcolor="#FFFFFF" filled="t" stroked="t" coordsize="21600,21600" o:gfxdata="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Pkf7NUAAAAFAQAADwAAAAAAAAABACAA&#10;AAAiAAAAZHJzL2Rvd25yZXYueG1sUEsBAhQAFAAAAAgAh07iQA2cEPsQAgAANwQAAA4AAAAAAAAA&#10;AQAgAAAAJAEAAGRycy9lMm9Eb2MueG1sUEsFBgAAAAAGAAYAWQEAAKYFAAAAAA==&#10;">
                        <v:fill on="t" focussize="0,0"/>
                        <v:stroke color="#000000" joinstyle="miter"/>
                        <v:imagedata o:title=""/>
                        <o:lock v:ext="edit" aspectratio="f"/>
                        <v:textbox>
                          <w:txbxContent>
                            <w:p w14:paraId="4B940F23">
                              <w:pPr>
                                <w:jc w:val="center"/>
                                <w:rPr>
                                  <w:rFonts w:hint="eastAsia" w:ascii="宋体" w:hAnsi="宋体" w:cs="宋体"/>
                                  <w:szCs w:val="21"/>
                                </w:rPr>
                              </w:pPr>
                              <w:r>
                                <w:rPr>
                                  <w:rFonts w:hint="eastAsia" w:ascii="宋体" w:hAnsi="宋体" w:cs="宋体"/>
                                  <w:szCs w:val="21"/>
                                  <w:lang w:val="en-US" w:eastAsia="zh-CN"/>
                                </w:rPr>
                                <w:t>五河县城南</w:t>
                              </w:r>
                              <w:r>
                                <w:rPr>
                                  <w:rFonts w:hint="eastAsia" w:ascii="宋体" w:hAnsi="宋体" w:cs="宋体"/>
                                  <w:szCs w:val="21"/>
                                </w:rPr>
                                <w:t>污水处理厂</w:t>
                              </w:r>
                            </w:p>
                          </w:txbxContent>
                        </v:textbox>
                      </v:rect>
                      <v:shape id="直接箭头连接符 29" o:spid="_x0000_s1026" o:spt="32" type="#_x0000_t32" style="position:absolute;left:4254500;top:3594735;flip:x;height:475615;width:3810;" filled="f" stroked="t" coordsize="21600,21600" o:gfxdata="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nB8GdUA&#10;AAAFAQAADwAAAAAAAAABACAAAAAiAAAAZHJzL2Rvd25yZXYueG1sUEsBAhQAFAAAAAgAh07iQIJ3&#10;hIEiAgAACAQAAA4AAAAAAAAAAQAgAAAAJAEAAGRycy9lMm9Eb2MueG1sUEsFBgAAAAAGAAYAWQEA&#10;ALgFAAAAAA==&#10;">
                        <v:fill on="f" focussize="0,0"/>
                        <v:stroke color="#000000" joinstyle="round" endarrow="block" endarrowwidth="narrow" endarrowlength="long"/>
                        <v:imagedata o:title=""/>
                        <o:lock v:ext="edit" aspectratio="f"/>
                      </v:shape>
                      <v:rect id="矩形 30" o:spid="_x0000_s1026" o:spt="1" style="position:absolute;left:4218940;top:2794000;height:320675;width:493395;" filled="f" stroked="f" coordsize="21600,21600"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xmQU51wAA&#10;AAUBAAAPAAAAAAAAAAEAIAAAACIAAABkcnMvZG93bnJldi54bWxQSwECFAAUAAAACACHTuJATNns&#10;z60BAABOAwAADgAAAAAAAAABACAAAAAmAQAAZHJzL2Uyb0RvYy54bWxQSwUGAAAAAAYABgBZAQAA&#10;RQUAAAAA&#10;">
                        <v:fill on="f" focussize="0,0"/>
                        <v:stroke on="f"/>
                        <v:imagedata o:title=""/>
                        <o:lock v:ext="edit" aspectratio="f"/>
                        <v:textbox>
                          <w:txbxContent>
                            <w:p w14:paraId="3B903BE6">
                              <w:pPr>
                                <w:rPr>
                                  <w:rFonts w:hint="default" w:eastAsia="仿宋"/>
                                  <w:szCs w:val="21"/>
                                  <w:lang w:val="en-US" w:eastAsia="zh-CN"/>
                                </w:rPr>
                              </w:pPr>
                              <w:r>
                                <w:rPr>
                                  <w:rFonts w:hint="eastAsia" w:eastAsia="仿宋"/>
                                  <w:szCs w:val="21"/>
                                  <w:lang w:val="en-US" w:eastAsia="zh-CN"/>
                                </w:rPr>
                                <w:t>2.991</w:t>
                              </w:r>
                            </w:p>
                          </w:txbxContent>
                        </v:textbox>
                      </v:rect>
                      <v:rect id="矩形 31" o:spid="_x0000_s1026" o:spt="1" style="position:absolute;left:1183640;top:1973580;height:290195;width:756920;" fillcolor="#FFFFFF" filled="t" stroked="t" coordsize="21600,21600" o:gfxdata="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Pkf7NUAAAAFAQAADwAAAAAAAAABACAAAAAi&#10;AAAAZHJzL2Rvd25yZXYueG1sUEsBAhQAFAAAAAgAh07iQDjJu5kNAgAANgQAAA4AAAAAAAAAAQAg&#10;AAAAJAEAAGRycy9lMm9Eb2MueG1sUEsFBgAAAAAGAAYAWQEAAKMFAAAAAA==&#10;">
                        <v:fill on="t" focussize="0,0"/>
                        <v:stroke color="#000000" joinstyle="miter"/>
                        <v:imagedata o:title=""/>
                        <o:lock v:ext="edit" aspectratio="f"/>
                        <v:textbox>
                          <w:txbxContent>
                            <w:p w14:paraId="61F2EB01">
                              <w:pPr>
                                <w:jc w:val="center"/>
                                <w:rPr>
                                  <w:rFonts w:hint="eastAsia" w:ascii="宋体" w:hAnsi="宋体" w:cs="宋体"/>
                                  <w:szCs w:val="21"/>
                                </w:rPr>
                              </w:pPr>
                              <w:r>
                                <w:rPr>
                                  <w:rFonts w:hint="eastAsia" w:ascii="宋体" w:hAnsi="宋体" w:cs="宋体"/>
                                  <w:szCs w:val="21"/>
                                </w:rPr>
                                <w:t>食堂用水哦</w:t>
                              </w:r>
                            </w:p>
                          </w:txbxContent>
                        </v:textbox>
                      </v:rect>
                      <v:shape id="直接箭头连接符 32" o:spid="_x0000_s1026" o:spt="32" type="#_x0000_t32" style="position:absolute;left:1940560;top:2112645;flip:y;height:6350;width:744220;" filled="f" stroked="t" coordsize="21600,21600" o:gfxdata="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nB8GdUAAAAFAQAADwAAAAAAAAABACAAAAAiAAAAZHJzL2Rvd25y&#10;ZXYueG1sUEsBAhQAFAAAAAgAh07iQMqLF6g6AgAASgQAAA4AAAAAAAAAAQAgAAAAJAEAAGRycy9l&#10;Mm9Eb2MueG1sUEsFBgAAAAAGAAYAWQEAANAFAAAAAA==&#10;">
                        <v:fill on="f" focussize="0,0"/>
                        <v:stroke color="#000000" joinstyle="round" endarrow="block" endarrowwidth="narrow" endarrowlength="long"/>
                        <v:imagedata o:title=""/>
                        <o:lock v:ext="edit" aspectratio="f"/>
                      </v:shape>
                      <v:rect id="矩形 36" o:spid="_x0000_s1026" o:spt="1" style="position:absolute;left:2115820;top:1902460;height:320675;width:493395;" filled="f" stroked="f" coordsize="21600,21600"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ZkF&#10;OdcAAAAFAQAADwAAAAAAAAABACAAAAAiAAAAZHJzL2Rvd25yZXYueG1sUEsBAhQAFAAAAAgAh07i&#10;QPluyf6xAQAATgMAAA4AAAAAAAAAAQAgAAAAJgEAAGRycy9lMm9Eb2MueG1sUEsFBgAAAAAGAAYA&#10;WQEAAEkFAAAAAA==&#10;">
                        <v:fill on="f" focussize="0,0"/>
                        <v:stroke on="f"/>
                        <v:imagedata o:title=""/>
                        <o:lock v:ext="edit" aspectratio="f"/>
                        <v:textbox>
                          <w:txbxContent>
                            <w:p w14:paraId="1319762C">
                              <w:pPr>
                                <w:rPr>
                                  <w:rFonts w:hint="eastAsia" w:eastAsia="仿宋"/>
                                  <w:szCs w:val="21"/>
                                  <w:lang w:eastAsia="zh-CN"/>
                                </w:rPr>
                              </w:pPr>
                              <w:r>
                                <w:rPr>
                                  <w:rFonts w:eastAsia="仿宋"/>
                                  <w:szCs w:val="21"/>
                                </w:rPr>
                                <w:t>0.</w:t>
                              </w:r>
                              <w:r>
                                <w:rPr>
                                  <w:rFonts w:hint="eastAsia" w:eastAsia="仿宋"/>
                                  <w:szCs w:val="21"/>
                                  <w:lang w:val="en-US" w:eastAsia="zh-CN"/>
                                </w:rPr>
                                <w:t>6</w:t>
                              </w:r>
                            </w:p>
                          </w:txbxContent>
                        </v:textbox>
                      </v:rect>
                      <v:shape id="直接箭头连接符 37" o:spid="_x0000_s1026" o:spt="32" type="#_x0000_t32" style="position:absolute;left:684530;top:2818130;flip:y;height:4445;width:888365;" filled="f" stroked="t" coordsize="21600,21600" o:gfxdata="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nB8GdUAAAAFAQAA&#10;DwAAAAAAAAABACAAAAAiAAAAZHJzL2Rvd25yZXYueG1sUEsBAhQAFAAAAAgAh07iQMloIoAcAgAA&#10;BwQAAA4AAAAAAAAAAQAgAAAAJAEAAGRycy9lMm9Eb2MueG1sUEsFBgAAAAAGAAYAWQEAALIFAAAA&#10;AA==&#10;">
                        <v:fill on="f" focussize="0,0"/>
                        <v:stroke color="#000000" joinstyle="round" endarrow="block" endarrowwidth="narrow" endarrowlength="long"/>
                        <v:imagedata o:title=""/>
                        <o:lock v:ext="edit" aspectratio="f"/>
                      </v:shape>
                      <v:rect id="矩形 39" o:spid="_x0000_s1026" o:spt="1" style="position:absolute;left:2684780;top:1968500;height:288290;width:674370;" fillcolor="#FFFFFF" filled="t" stroked="t" coordsize="21600,21600" o:gfxdata="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5H+zVAAAABQEAAA8AAAAAAAAAAQAg&#10;AAAAIgAAAGRycy9kb3ducmV2LnhtbFBLAQIUABQAAAAIAIdO4kBqPo42EQIAADYEAAAOAAAAAAAA&#10;AAEAIAAAACQBAABkcnMvZTJvRG9jLnhtbFBLBQYAAAAABgAGAFkBAACnBQAAAAA=&#10;">
                        <v:fill on="t" focussize="0,0"/>
                        <v:stroke color="#000000" joinstyle="miter"/>
                        <v:imagedata o:title=""/>
                        <o:lock v:ext="edit" aspectratio="f"/>
                        <v:textbox>
                          <w:txbxContent>
                            <w:p w14:paraId="201E0DFB">
                              <w:pPr>
                                <w:jc w:val="center"/>
                                <w:rPr>
                                  <w:rFonts w:hint="eastAsia" w:ascii="宋体" w:hAnsi="宋体" w:eastAsia="宋体" w:cs="宋体"/>
                                  <w:szCs w:val="21"/>
                                  <w:lang w:eastAsia="zh-CN"/>
                                </w:rPr>
                              </w:pPr>
                              <w:r>
                                <w:rPr>
                                  <w:rFonts w:hint="eastAsia" w:ascii="宋体" w:hAnsi="宋体" w:cs="宋体"/>
                                  <w:szCs w:val="21"/>
                                  <w:lang w:val="en-US" w:eastAsia="zh-CN"/>
                                </w:rPr>
                                <w:t>隔油池</w:t>
                              </w:r>
                            </w:p>
                          </w:txbxContent>
                        </v:textbox>
                      </v:rect>
                      <v:shape id="直接箭头连接符 41" o:spid="_x0000_s1026" o:spt="32" type="#_x0000_t32" style="position:absolute;left:675640;top:584835;height:2235200;width:0;" filled="f" stroked="t" coordsize="21600,21600" o:gfxdata="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kGIkNYAAAAFAQAADwAAAAAAAAABACAAAAAiAAAA&#10;ZHJzL2Rvd25yZXYueG1sUEsBAhQAFAAAAAgAh07iQEeIDSMJAgAA+AMAAA4AAAAAAAAAAQAgAAAA&#10;JQEAAGRycy9lMm9Eb2MueG1sUEsFBgAAAAAGAAYAWQEAAKAFAAAAAA==&#10;">
                        <v:fill on="f" focussize="0,0"/>
                        <v:stroke color="#000000" joinstyle="round"/>
                        <v:imagedata o:title=""/>
                        <o:lock v:ext="edit" aspectratio="f"/>
                      </v:shape>
                      <v:shape id="直接箭头连接符 42" o:spid="_x0000_s1026" o:spt="32" type="#_x0000_t32" style="position:absolute;left:679450;top:2129790;height:635;width:504190;" filled="f" stroked="t" coordsize="21600,21600" o:gfxdata="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368yN1AAAAAUBAAAPAAAAAAAA&#10;AAEAIAAAACIAAABkcnMvZG93bnJldi54bWxQSwECFAAUAAAACACHTuJAQZVwiRYCAAD8AwAADgAA&#10;AAAAAAABACAAAAAjAQAAZHJzL2Uyb0RvYy54bWxQSwUGAAAAAAYABgBZAQAAqwUAAAAA&#10;">
                        <v:fill on="f" focussize="0,0"/>
                        <v:stroke color="#000000" joinstyle="round" endarrow="block" endarrowwidth="narrow" endarrowlength="long"/>
                        <v:imagedata o:title=""/>
                        <o:lock v:ext="edit" aspectratio="f"/>
                      </v:shape>
                      <v:rect id="矩形 44" o:spid="_x0000_s1026" o:spt="1" style="position:absolute;left:3575050;top:1885315;height:320675;width:431800;" filled="f" stroked="f" coordsize="21600,21600"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ZkF&#10;OdcAAAAFAQAADwAAAAAAAAABACAAAAAiAAAAZHJzL2Rvd25yZXYueG1sUEsBAhQAFAAAAAgAh07i&#10;QDvdHg2xAQAATwMAAA4AAAAAAAAAAQAgAAAAJgEAAGRycy9lMm9Eb2MueG1sUEsFBgAAAAAGAAYA&#10;WQEAAEkFAAAAAA==&#10;">
                        <v:fill on="f" focussize="0,0"/>
                        <v:stroke on="f"/>
                        <v:imagedata o:title=""/>
                        <o:lock v:ext="edit" aspectratio="f"/>
                        <v:textbox>
                          <w:txbxContent>
                            <w:p w14:paraId="629F75D2">
                              <w:pPr>
                                <w:rPr>
                                  <w:rFonts w:hint="eastAsia" w:eastAsia="仿宋"/>
                                  <w:szCs w:val="21"/>
                                  <w:lang w:eastAsia="zh-CN"/>
                                </w:rPr>
                              </w:pPr>
                              <w:r>
                                <w:rPr>
                                  <w:rFonts w:eastAsia="仿宋"/>
                                  <w:szCs w:val="21"/>
                                </w:rPr>
                                <w:t>0.</w:t>
                              </w:r>
                              <w:r>
                                <w:rPr>
                                  <w:rFonts w:hint="eastAsia" w:eastAsia="仿宋"/>
                                  <w:szCs w:val="21"/>
                                  <w:lang w:val="en-US" w:eastAsia="zh-CN"/>
                                </w:rPr>
                                <w:t>6</w:t>
                              </w:r>
                            </w:p>
                          </w:txbxContent>
                        </v:textbox>
                      </v:rect>
                      <v:rect id="矩形 46" o:spid="_x0000_s1026" o:spt="1" style="position:absolute;left:1657985;top:1583690;height:321310;width:523875;" filled="f" stroked="f" coordsize="21600,21600"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xmQU5&#10;1wAAAAUBAAAPAAAAAAAAAAEAIAAAACIAAABkcnMvZG93bnJldi54bWxQSwECFAAUAAAACACHTuJA&#10;0wXW5bABAABPAwAADgAAAAAAAAABACAAAAAmAQAAZHJzL2Uyb0RvYy54bWxQSwUGAAAAAAYABgBZ&#10;AQAASAUAAAAA&#10;">
                        <v:fill on="f" focussize="0,0"/>
                        <v:stroke on="f"/>
                        <v:imagedata o:title=""/>
                        <o:lock v:ext="edit" aspectratio="f"/>
                        <v:textbox>
                          <w:txbxContent>
                            <w:p w14:paraId="4A22F9B5">
                              <w:pPr>
                                <w:rPr>
                                  <w:rFonts w:hint="default" w:eastAsia="仿宋"/>
                                  <w:szCs w:val="21"/>
                                  <w:lang w:val="en-US" w:eastAsia="zh-CN"/>
                                </w:rPr>
                              </w:pPr>
                              <w:r>
                                <w:rPr>
                                  <w:rFonts w:eastAsia="仿宋"/>
                                  <w:szCs w:val="21"/>
                                </w:rPr>
                                <w:t>0.</w:t>
                              </w:r>
                              <w:r>
                                <w:rPr>
                                  <w:rFonts w:hint="eastAsia" w:eastAsia="仿宋"/>
                                  <w:szCs w:val="21"/>
                                  <w:lang w:val="en-US" w:eastAsia="zh-CN"/>
                                </w:rPr>
                                <w:t>15</w:t>
                              </w:r>
                            </w:p>
                          </w:txbxContent>
                        </v:textbox>
                      </v:rect>
                      <v:rect id="矩形 49" o:spid="_x0000_s1026" o:spt="1" style="position:absolute;left:0;top:1435735;height:545465;width:748030;" filled="f" stroked="f" coordsize="21600,21600"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GZBTnXAAAABQEA&#10;AA8AAAAAAAAAAQAgAAAAIgAAAGRycy9kb3ducmV2LnhtbFBLAQIUABQAAAAIAIdO4kDebnQKqQEA&#10;AEkDAAAOAAAAAAAAAAEAIAAAACYBAABkcnMvZTJvRG9jLnhtbFBLBQYAAAAABgAGAFkBAABBBQAA&#10;AAA=&#10;">
                        <v:fill on="f" focussize="0,0"/>
                        <v:stroke on="f"/>
                        <v:imagedata o:title=""/>
                        <o:lock v:ext="edit" aspectratio="f"/>
                        <v:textbox>
                          <w:txbxContent>
                            <w:p w14:paraId="3DC3A76C">
                              <w:pPr>
                                <w:jc w:val="center"/>
                                <w:rPr>
                                  <w:szCs w:val="21"/>
                                </w:rPr>
                              </w:pPr>
                              <w:r>
                                <w:rPr>
                                  <w:szCs w:val="21"/>
                                </w:rPr>
                                <w:t>新鲜水</w:t>
                              </w:r>
                            </w:p>
                            <w:p w14:paraId="05285575">
                              <w:pPr>
                                <w:jc w:val="center"/>
                                <w:rPr>
                                  <w:rFonts w:hint="default" w:eastAsia="宋体"/>
                                  <w:szCs w:val="21"/>
                                  <w:lang w:val="en-US" w:eastAsia="zh-CN"/>
                                </w:rPr>
                              </w:pPr>
                              <w:r>
                                <w:rPr>
                                  <w:rFonts w:hint="eastAsia"/>
                                  <w:szCs w:val="21"/>
                                  <w:lang w:val="en-US" w:eastAsia="zh-CN"/>
                                </w:rPr>
                                <w:t>3.971</w:t>
                              </w:r>
                            </w:p>
                          </w:txbxContent>
                        </v:textbox>
                      </v:rect>
                      <v:shape id="直接箭头连接符 50" o:spid="_x0000_s1026" o:spt="32" type="#_x0000_t32" style="position:absolute;left:670560;top:579755;height:6350;width:1845945;" filled="f" stroked="t" coordsize="21600,21600" o:gfxdata="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vMjdQAAAAFAQAADwAAAAAAAAABACAAAAAiAAAAZHJzL2Rvd25yZXYueG1sUEsBAhQAFAAAAAgA&#10;h07iQKxXc+UpAgAAJwQAAA4AAAAAAAAAAQAgAAAAIwEAAGRycy9lMm9Eb2MueG1sUEsFBgAAAAAG&#10;AAYAWQEAAL4FAAAAAA==&#10;">
                        <v:fill on="f" focussize="0,0"/>
                        <v:stroke color="#000000" joinstyle="round" endarrow="block" endarrowwidth="narrow" endarrowlength="long"/>
                        <v:imagedata o:title=""/>
                        <o:lock v:ext="edit" aspectratio="f"/>
                      </v:shape>
                      <v:rect id="矩形 51" o:spid="_x0000_s1026" o:spt="1" style="position:absolute;left:2516505;top:445770;height:280035;width:1019175;" fillcolor="#FFFFFF" filled="t" stroked="t" coordsize="21600,21600" o:gfxdata="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Pkf7NUAAAAFAQAADwAAAAAAAAABACAAAAAi&#10;AAAAZHJzL2Rvd25yZXYueG1sUEsBAhQAFAAAAAgAh07iQLBVBrINAgAANwQAAA4AAAAAAAAAAQAg&#10;AAAAJAEAAGRycy9lMm9Eb2MueG1sUEsFBgAAAAAGAAYAWQEAAKMFAAAAAA==&#10;">
                        <v:fill on="t" focussize="0,0"/>
                        <v:stroke color="#000000" joinstyle="miter"/>
                        <v:imagedata o:title=""/>
                        <o:lock v:ext="edit" aspectratio="f"/>
                        <v:textbox>
                          <w:txbxContent>
                            <w:p w14:paraId="1B68D175">
                              <w:pPr>
                                <w:jc w:val="center"/>
                                <w:rPr>
                                  <w:rFonts w:hint="eastAsia" w:ascii="宋体" w:hAnsi="宋体" w:cs="宋体"/>
                                  <w:color w:val="000000"/>
                                  <w:kern w:val="0"/>
                                  <w:sz w:val="24"/>
                                </w:rPr>
                              </w:pPr>
                              <w:r>
                                <w:rPr>
                                  <w:rFonts w:hint="eastAsia" w:ascii="宋体" w:hAnsi="宋体" w:cs="宋体"/>
                                  <w:color w:val="000000"/>
                                  <w:szCs w:val="21"/>
                                  <w:lang w:val="en-US" w:eastAsia="zh-CN"/>
                                </w:rPr>
                                <w:t>地坪保洁</w:t>
                              </w:r>
                              <w:r>
                                <w:rPr>
                                  <w:rFonts w:hint="eastAsia" w:ascii="宋体" w:hAnsi="宋体" w:cs="宋体"/>
                                  <w:color w:val="000000"/>
                                  <w:szCs w:val="21"/>
                                </w:rPr>
                                <w:t>用水</w:t>
                              </w:r>
                            </w:p>
                          </w:txbxContent>
                        </v:textbox>
                      </v:rect>
                      <v:rect id="矩形 56" o:spid="_x0000_s1026" o:spt="1" style="position:absolute;left:2932430;top:59690;height:299085;width:707390;" filled="f" stroked="f" coordsize="21600,21600"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GZBTnX&#10;AAAABQEAAA8AAAAAAAAAAQAgAAAAIgAAAGRycy9kb3ducmV2LnhtbFBLAQIUABQAAAAIAIdO4kBX&#10;gvO8rwEAAE0DAAAOAAAAAAAAAAEAIAAAACYBAABkcnMvZTJvRG9jLnhtbFBLBQYAAAAABgAGAFkB&#10;AABHBQAAAAA=&#10;">
                        <v:fill on="f" focussize="0,0"/>
                        <v:stroke on="f"/>
                        <v:imagedata o:title=""/>
                        <o:lock v:ext="edit" aspectratio="f"/>
                        <v:textbox>
                          <w:txbxContent>
                            <w:p w14:paraId="37DA88E3">
                              <w:pPr>
                                <w:jc w:val="center"/>
                                <w:rPr>
                                  <w:rFonts w:hint="default" w:eastAsia="宋体"/>
                                  <w:color w:val="000000"/>
                                  <w:kern w:val="0"/>
                                  <w:sz w:val="24"/>
                                  <w:lang w:val="en-US" w:eastAsia="zh-CN"/>
                                </w:rPr>
                              </w:pPr>
                              <w:r>
                                <w:rPr>
                                  <w:rFonts w:hint="eastAsia" w:eastAsia="仿宋"/>
                                  <w:color w:val="000000"/>
                                  <w:szCs w:val="21"/>
                                  <w:lang w:val="en-US" w:eastAsia="zh-CN"/>
                                </w:rPr>
                                <w:t>0.09</w:t>
                              </w:r>
                            </w:p>
                          </w:txbxContent>
                        </v:textbox>
                      </v:rect>
                      <v:rect id="矩形 58" o:spid="_x0000_s1026" o:spt="1" style="position:absolute;left:1082040;top:323215;height:320040;width:594360;" filled="f" stroked="f" coordsize="21600,21600"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xmQU51wAA&#10;AAUBAAAPAAAAAAAAAAEAIAAAACIAAABkcnMvZG93bnJldi54bWxQSwECFAAUAAAACACHTuJABbUU&#10;aK0BAABOAwAADgAAAAAAAAABACAAAAAmAQAAZHJzL2Uyb0RvYy54bWxQSwUGAAAAAAYABgBZAQAA&#10;RQUAAAAA&#10;">
                        <v:fill on="f" focussize="0,0"/>
                        <v:stroke on="f"/>
                        <v:imagedata o:title=""/>
                        <o:lock v:ext="edit" aspectratio="f"/>
                        <v:textbox>
                          <w:txbxContent>
                            <w:p w14:paraId="1559620F">
                              <w:pPr>
                                <w:jc w:val="center"/>
                                <w:rPr>
                                  <w:rFonts w:hint="default" w:eastAsia="宋体"/>
                                  <w:color w:val="000000"/>
                                  <w:kern w:val="0"/>
                                  <w:sz w:val="24"/>
                                  <w:lang w:val="en-US" w:eastAsia="zh-CN"/>
                                </w:rPr>
                              </w:pPr>
                              <w:r>
                                <w:rPr>
                                  <w:rFonts w:hint="eastAsia" w:eastAsia="仿宋"/>
                                  <w:color w:val="000000"/>
                                  <w:szCs w:val="21"/>
                                  <w:lang w:val="en-US" w:eastAsia="zh-CN"/>
                                </w:rPr>
                                <w:t>0.45</w:t>
                              </w:r>
                            </w:p>
                          </w:txbxContent>
                        </v:textbox>
                      </v:rect>
                      <v:shape id="任意多边形 71" o:spid="_x0000_s1026" o:spt="100" style="position:absolute;left:2997200;top:328930;height:72390;width:277495;rotation:-1299952f;" filled="f" stroked="t" coordsize="360,156" o:gfxdata="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" path="m0,156c75,78,150,0,180,0c210,0,150,156,180,156c210,156,285,78,360,0e">
                        <v:path o:connectlocs="0,72390;138747,0;138747,72390;277495,0" o:connectangles="0,0,0,0"/>
                        <v:fill on="f" focussize="0,0"/>
                        <v:stroke color="#000000" joinstyle="round" endarrow="block" endarrowwidth="narrow" endarrowlength="long"/>
                        <v:imagedata o:title=""/>
                        <o:lock v:ext="edit" aspectratio="t"/>
                      </v:shape>
                      <v:shape id="任意多边形 75" o:spid="_x0000_s1026" o:spt="100" style="position:absolute;left:1555750;top:1859915;height:72390;width:277495;rotation:-1299952f;" filled="f" stroked="t" coordsize="360,156" o:gfxdata="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u7bK&#10;a9QAAAAFAQAADwAAAAAAAAABACAAAAAiAAAAZHJzL2Rvd25yZXYueG1sUEsBAhQAFAAAAAgAh07i&#10;QGxN3hV8AwAALggAAA4AAAAAAAAAAQAgAAAAIwEAAGRycy9lMm9Eb2MueG1sUEsFBgAAAAAGAAYA&#10;WQEAABEHAAAAAA==&#10;" path="m0,156c75,78,150,0,180,0c210,0,150,156,180,156c210,156,285,78,360,0e">
                        <v:path o:connectlocs="0,72390;138747,0;138747,72390;277495,0" o:connectangles="0,0,0,0"/>
                        <v:fill on="f" focussize="0,0"/>
                        <v:stroke color="#000000" joinstyle="round" endarrow="block" endarrowwidth="narrow" endarrowlength="long"/>
                        <v:imagedata o:title=""/>
                        <o:lock v:ext="edit" aspectratio="t"/>
                      </v:shape>
                      <v:shape id="任意多边形 76" o:spid="_x0000_s1026" o:spt="100" style="position:absolute;left:1568450;top:1105535;height:72390;width:277495;rotation:-1299952f;" filled="f" stroked="t" coordsize="360,156" o:gfxdata="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u7bK&#10;a9QAAAAFAQAADwAAAAAAAAABACAAAAAiAAAAZHJzL2Rvd25yZXYueG1sUEsBAhQAFAAAAAgAh07i&#10;QLKrplR8AwAALggAAA4AAAAAAAAAAQAgAAAAIwEAAGRycy9lMm9Eb2MueG1sUEsFBgAAAAAGAAYA&#10;WQEAABEHAAAAAA==&#10;" path="m0,156c75,78,150,0,180,0c210,0,150,156,180,156c210,156,285,78,360,0e">
                        <v:path o:connectlocs="0,72390;138747,0;138747,72390;277495,0" o:connectangles="0,0,0,0"/>
                        <v:fill on="f" focussize="0,0"/>
                        <v:stroke color="#000000" joinstyle="round" endarrow="block" endarrowwidth="narrow" endarrowlength="long"/>
                        <v:imagedata o:title=""/>
                        <o:lock v:ext="edit" aspectratio="t"/>
                      </v:shape>
                      <v:rect id="矩形 77" o:spid="_x0000_s1026" o:spt="1" style="position:absolute;left:1449070;top:830580;height:299085;width:707390;" filled="f" stroked="f" coordsize="21600,21600"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ZkFOdcA&#10;AAAFAQAADwAAAAAAAAABACAAAAAiAAAAZHJzL2Rvd25yZXYueG1sUEsBAhQAFAAAAAgAh07iQBTH&#10;yq2uAQAATgMAAA4AAAAAAAAAAQAgAAAAJgEAAGRycy9lMm9Eb2MueG1sUEsFBgAAAAAGAAYAWQEA&#10;AEYFAAAAAA==&#10;">
                        <v:fill on="f" focussize="0,0"/>
                        <v:stroke on="f"/>
                        <v:imagedata o:title=""/>
                        <o:lock v:ext="edit" aspectratio="f"/>
                        <v:textbox>
                          <w:txbxContent>
                            <w:p w14:paraId="713917C9">
                              <w:pPr>
                                <w:jc w:val="center"/>
                                <w:rPr>
                                  <w:rFonts w:hint="default" w:eastAsia="宋体"/>
                                  <w:color w:val="000000"/>
                                  <w:kern w:val="0"/>
                                  <w:sz w:val="24"/>
                                  <w:lang w:val="en-US" w:eastAsia="zh-CN"/>
                                </w:rPr>
                              </w:pPr>
                              <w:r>
                                <w:rPr>
                                  <w:rFonts w:hint="eastAsia" w:eastAsia="仿宋"/>
                                  <w:color w:val="000000"/>
                                  <w:szCs w:val="21"/>
                                  <w:lang w:val="en-US" w:eastAsia="zh-CN"/>
                                </w:rPr>
                                <w:t>0.5</w:t>
                              </w:r>
                            </w:p>
                          </w:txbxContent>
                        </v:textbox>
                      </v:rect>
                      <v:shape id="直接箭头连接符 41" o:spid="_x0000_s1026" o:spt="32" type="#_x0000_t32" style="position:absolute;left:3369310;top:1358265;flip:x;height:635;width:885825;" filled="f" stroked="t" coordsize="21600,21600" o:gfxdata="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5Ecp9UA&#10;AAAFAQAADwAAAAAAAAABACAAAAAiAAAAZHJzL2Rvd25yZXYueG1sUEsBAhQAFAAAAAgAh07iQIN+&#10;5XMiAgAALgQAAA4AAAAAAAAAAQAgAAAAJAEAAGRycy9lMm9Eb2MueG1sUEsFBgAAAAAGAAYAWQEA&#10;ALgFAAAAAA==&#10;">
                        <v:fill on="f" focussize="0,0"/>
                        <v:stroke color="#000000" joinstyle="round"/>
                        <v:imagedata o:title=""/>
                        <o:lock v:ext="edit" aspectratio="f"/>
                      </v:shape>
                      <v:shape id="直接箭头连接符 37" o:spid="_x0000_s1026" o:spt="32" type="#_x0000_t32" style="position:absolute;left:4259580;top:586740;flip:x;height:2533015;width:6350;" filled="f" stroked="t" coordsize="21600,21600" o:gfxdata="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JwfBnVAAAA&#10;BQEAAA8AAAAAAAAAAQAgAAAAIgAAAGRycy9kb3ducmV2LnhtbFBLAQIUABQAAAAIAIdO4kCv7yvI&#10;IAIAAAkEAAAOAAAAAAAAAAEAIAAAACQBAABkcnMvZTJvRG9jLnhtbFBLBQYAAAAABgAGAFkBAAC2&#10;BQAAAAA=&#10;">
                        <v:fill on="f" focussize="0,0"/>
                        <v:stroke color="#000000" joinstyle="round" endarrow="block" endarrowwidth="narrow" endarrowlength="long"/>
                        <v:imagedata o:title=""/>
                        <o:lock v:ext="edit" aspectratio="f"/>
                      </v:shape>
                      <v:rect id="矩形 77" o:spid="_x0000_s1026" o:spt="1" style="position:absolute;left:3556635;top:341630;height:299085;width:707390;" filled="f" stroked="f" coordsize="21600,21600"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xmQU5&#10;1wAAAAUBAAAPAAAAAAAAAAEAIAAAACIAAABkcnMvZG93bnJldi54bWxQSwECFAAUAAAACACHTuJA&#10;0Zwj97ABAABOAwAADgAAAAAAAAABACAAAAAmAQAAZHJzL2Uyb0RvYy54bWxQSwUGAAAAAAYABgBZ&#10;AQAASAUAAAAA&#10;">
                        <v:fill on="f" focussize="0,0"/>
                        <v:stroke on="f"/>
                        <v:imagedata o:title=""/>
                        <o:lock v:ext="edit" aspectratio="f"/>
                        <v:textbox>
                          <w:txbxContent>
                            <w:p w14:paraId="6C811861">
                              <w:pPr>
                                <w:jc w:val="center"/>
                                <w:rPr>
                                  <w:rFonts w:hint="default" w:eastAsia="宋体"/>
                                  <w:color w:val="000000"/>
                                  <w:kern w:val="0"/>
                                  <w:sz w:val="24"/>
                                  <w:lang w:val="en-US" w:eastAsia="zh-CN"/>
                                </w:rPr>
                              </w:pPr>
                              <w:r>
                                <w:rPr>
                                  <w:rFonts w:hint="eastAsia" w:eastAsia="仿宋"/>
                                  <w:color w:val="000000"/>
                                  <w:szCs w:val="21"/>
                                  <w:lang w:val="en-US" w:eastAsia="zh-CN"/>
                                </w:rPr>
                                <w:t>0.36</w:t>
                              </w:r>
                            </w:p>
                          </w:txbxContent>
                        </v:textbox>
                      </v:rect>
                      <v:shape id="直接箭头连接符 41" o:spid="_x0000_s1026" o:spt="32" type="#_x0000_t32" style="position:absolute;left:3534410;top:583565;flip:x y;height:1905;width:728345;" filled="f" stroked="t" coordsize="21600,21600" o:gfxdata="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PgQfXAAAABQEA&#10;AA8AAAAAAAAAAQAgAAAAIgAAAGRycy9kb3ducmV2LnhtbFBLAQIUABQAAAAIAIdO4kCHjlDaGwIA&#10;AA8EAAAOAAAAAAAAAAEAIAAAACYBAABkcnMvZTJvRG9jLnhtbFBLBQYAAAAABgAGAFkBAACzBQAA&#10;AAA=&#10;">
                        <v:fill on="f" focussize="0,0"/>
                        <v:stroke color="#000000" joinstyle="round"/>
                        <v:imagedata o:title=""/>
                        <o:lock v:ext="edit" aspectratio="f"/>
                      </v:shape>
                      <v:rect id="矩形 21" o:spid="_x0000_s1026" o:spt="1" style="position:absolute;left:3596005;top:1123950;height:320675;width:493395;" filled="f" stroked="f" coordsize="21600,21600"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GZBTnX&#10;AAAABQEAAA8AAAAAAAAAAQAgAAAAIgAAAGRycy9kb3ducmV2LnhtbFBLAQIUABQAAAAIAIdO4kAH&#10;754HrwEAAE4DAAAOAAAAAAAAAAEAIAAAACYBAABkcnMvZTJvRG9jLnhtbFBLBQYAAAAABgAGAFkB&#10;AABHBQAAAAA=&#10;">
                        <v:fill on="f" focussize="0,0"/>
                        <v:stroke on="f"/>
                        <v:imagedata o:title=""/>
                        <o:lock v:ext="edit" aspectratio="f"/>
                        <v:textbox>
                          <w:txbxContent>
                            <w:p w14:paraId="28880E7D">
                              <w:pPr>
                                <w:rPr>
                                  <w:rFonts w:hint="default" w:eastAsia="仿宋"/>
                                  <w:szCs w:val="21"/>
                                  <w:lang w:val="en-US" w:eastAsia="zh-CN"/>
                                </w:rPr>
                              </w:pPr>
                              <w:r>
                                <w:rPr>
                                  <w:rFonts w:hint="eastAsia" w:eastAsia="仿宋"/>
                                  <w:szCs w:val="21"/>
                                </w:rPr>
                                <w:t>2</w:t>
                              </w:r>
                            </w:p>
                          </w:txbxContent>
                        </v:textbox>
                      </v:rect>
                      <v:shape id="直接箭头连接符 41" o:spid="_x0000_s1026" o:spt="32" type="#_x0000_t32" style="position:absolute;left:3359785;top:2110105;flip:x;height:635;width:885825;" filled="f" stroked="t" coordsize="21600,21600" o:gfxdata="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vkRyn1QAAAAUBAAAPAAAAAAAA&#10;AAEAIAAAACIAAABkcnMvZG93bnJldi54bWxQSwECFAAUAAAACACHTuJAb1+InhUCAAAEBAAADgAA&#10;AAAAAAABACAAAAAkAQAAZHJzL2Uyb0RvYy54bWxQSwUGAAAAAAYABgBZAQAAqwUAAAAA&#10;">
                        <v:fill on="f" focussize="0,0"/>
                        <v:stroke color="#000000" joinstyle="round"/>
                        <v:imagedata o:title=""/>
                        <o:lock v:ext="edit" aspectratio="f"/>
                      </v:shape>
                      <v:rect id="_x0000_s1026" o:spid="_x0000_s1026" o:spt="1" style="position:absolute;left:1572895;top:2682240;height:284480;width:1139825;" fillcolor="#FFFFFF" filled="t" stroked="t" coordsize="21600,21600" o:gfxdata="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Pkf7NUAAAAFAQAADwAAAAAAAAABACAAAAAi&#10;AAAAZHJzL2Rvd25yZXYueG1sUEsBAhQAFAAAAAgAh07iQDjmtycNAgAANwQAAA4AAAAAAAAAAQAg&#10;AAAAJAEAAGRycy9lMm9Eb2MueG1sUEsFBgAAAAAGAAYAWQEAAKMFAAAAAA==&#10;">
                        <v:fill on="t" focussize="0,0"/>
                        <v:stroke color="#000000" joinstyle="miter"/>
                        <v:imagedata o:title=""/>
                        <o:lock v:ext="edit" aspectratio="f"/>
                        <v:textbox>
                          <w:txbxContent>
                            <w:p w14:paraId="6EB13FBE">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宋体" w:hAnsi="宋体" w:eastAsia="宋体" w:cs="宋体"/>
                                  <w:szCs w:val="21"/>
                                  <w:lang w:eastAsia="zh-CN"/>
                                </w:rPr>
                              </w:pPr>
                              <w:r>
                                <w:rPr>
                                  <w:rFonts w:hint="eastAsia" w:ascii="宋体" w:hAnsi="宋体" w:cs="宋体"/>
                                  <w:szCs w:val="21"/>
                                  <w:lang w:eastAsia="zh-CN"/>
                                </w:rPr>
                                <w:t>循环冷却用水</w:t>
                              </w:r>
                            </w:p>
                          </w:txbxContent>
                        </v:textbox>
                      </v:rect>
                      <v:shape id="_x0000_s1026" o:spid="_x0000_s1026" o:spt="32" type="#_x0000_t32" style="position:absolute;left:2155190;top:2969260;height:266700;width:0;" filled="f" stroked="t" coordsize="21600,21600" o:gfxdata="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YEdB9YAAAAFAQAADwAAAAAAAAABACAA&#10;AAAiAAAAZHJzL2Rvd25yZXYueG1sUEsBAhQAFAAAAAgAh07iQHTrwlsPAgAA+QMAAA4AAAAAAAAA&#10;AQAgAAAAJQEAAGRycy9lMm9Eb2MueG1sUEsFBgAAAAAGAAYAWQEAAKYFAAAAAA==&#10;">
                        <v:fill on="f" focussize="0,0"/>
                        <v:stroke color="#000000" joinstyle="round" startarrow="block" startarrowwidth="narrow" startarrowlength="long" endarrowwidth="narrow" endarrowlength="long"/>
                        <v:imagedata o:title=""/>
                        <o:lock v:ext="edit" aspectratio="f"/>
                      </v:shape>
                      <v:line id="_x0000_s1026" o:spid="_x0000_s1026" o:spt="20" style="position:absolute;left:2703830;top:2887980;height:0;width:330200;" filled="f" stroked="t" coordsize="21600,21600" o:gfxdata="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507RtUAAAAFAQAADwAAAAAAAAABACAAAAAiAAAAZHJzL2Rv&#10;d25yZXYueG1sUEsBAhQAFAAAAAgAh07iQIKREzQEAgAA8QMAAA4AAAAAAAAAAQAgAAAAJAEAAGRy&#10;cy9lMm9Eb2MueG1sUEsFBgAAAAAGAAYAWQEAAJoFAAAAAA==&#10;">
                        <v:fill on="f" focussize="0,0"/>
                        <v:stroke color="#000000" joinstyle="round"/>
                        <v:imagedata o:title=""/>
                        <o:lock v:ext="edit" aspectratio="f"/>
                      </v:line>
                      <v:line id="_x0000_s1026" o:spid="_x0000_s1026" o:spt="20" style="position:absolute;left:3032125;top:2886075;height:342265;width:0;" filled="f" stroked="t" coordsize="21600,21600" o:gfxdata="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O0bVAAAABQEAAA8AAAAAAAAAAQAgAAAAIgAAAGRycy9k&#10;b3ducmV2LnhtbFBLAQIUABQAAAAIAIdO4kCU7Q3wBQIAAPEDAAAOAAAAAAAAAAEAIAAAACQBAABk&#10;cnMvZTJvRG9jLnhtbFBLBQYAAAAABgAGAFkBAACbBQAAAAA=&#10;">
                        <v:fill on="f" focussize="0,0"/>
                        <v:stroke color="#000000" joinstyle="round"/>
                        <v:imagedata o:title=""/>
                        <o:lock v:ext="edit" aspectratio="f"/>
                      </v:line>
                      <v:line id="_x0000_s1026" o:spid="_x0000_s1026" o:spt="20" style="position:absolute;left:2147570;top:3232785;flip:y;height:0;width:889000;" filled="f" stroked="t" coordsize="21600,21600" o:gfxdata="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s06NUAAAAFAQAADwAAAAAAAAABACAAAAAi&#10;AAAAZHJzL2Rvd25yZXYueG1sUEsBAhQAFAAAAAgAh07iQO5L2aANAgAA+wMAAA4AAAAAAAAAAQAg&#10;AAAAJAEAAGRycy9lMm9Eb2MueG1sUEsFBgAAAAAGAAYAWQEAAKMFAAAAAA==&#10;">
                        <v:fill on="f" focussize="0,0"/>
                        <v:stroke color="#000000" joinstyle="round"/>
                        <v:imagedata o:title=""/>
                        <o:lock v:ext="edit" aspectratio="f"/>
                      </v:line>
                      <v:rect id="_x0000_s1026" o:spid="_x0000_s1026" o:spt="1" style="position:absolute;left:2306320;top:3007360;height:317500;width:572770;" filled="f" stroked="f" coordsize="21600,21600"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ZkFOdcA&#10;AAAFAQAADwAAAAAAAAABACAAAAAiAAAAZHJzL2Rvd25yZXYueG1sUEsBAhQAFAAAAAgAh07iQE7u&#10;TU2uAQAATgMAAA4AAAAAAAAAAQAgAAAAJgEAAGRycy9lMm9Eb2MueG1sUEsFBgAAAAAGAAYAWQEA&#10;AEYFAAAAAA==&#10;">
                        <v:fill on="f" focussize="0,0"/>
                        <v:stroke on="f"/>
                        <v:imagedata o:title=""/>
                        <o:lock v:ext="edit" aspectratio="f"/>
                        <v:textbox>
                          <w:txbxContent>
                            <w:p w14:paraId="57D4C75C">
                              <w:pPr>
                                <w:jc w:val="center"/>
                                <w:rPr>
                                  <w:rFonts w:hint="default" w:eastAsia="仿宋"/>
                                  <w:szCs w:val="21"/>
                                  <w:lang w:val="en-US" w:eastAsia="zh-CN"/>
                                </w:rPr>
                              </w:pPr>
                              <w:r>
                                <w:rPr>
                                  <w:rFonts w:hint="eastAsia" w:eastAsia="仿宋"/>
                                  <w:szCs w:val="21"/>
                                  <w:lang w:val="en-US" w:eastAsia="zh-CN"/>
                                </w:rPr>
                                <w:t>1m</w:t>
                              </w:r>
                              <w:r>
                                <w:rPr>
                                  <w:rFonts w:hint="eastAsia" w:eastAsia="仿宋"/>
                                  <w:szCs w:val="21"/>
                                  <w:vertAlign w:val="superscript"/>
                                  <w:lang w:val="en-US" w:eastAsia="zh-CN"/>
                                </w:rPr>
                                <w:t>3</w:t>
                              </w:r>
                              <w:r>
                                <w:rPr>
                                  <w:rFonts w:hint="eastAsia" w:eastAsia="仿宋"/>
                                  <w:szCs w:val="21"/>
                                  <w:lang w:val="en-US" w:eastAsia="zh-CN"/>
                                </w:rPr>
                                <w:t>/h</w:t>
                              </w:r>
                            </w:p>
                          </w:txbxContent>
                        </v:textbox>
                      </v:rect>
                      <v:shape id="直接箭头连接符 20" o:spid="_x0000_s1026" o:spt="32" type="#_x0000_t32" style="position:absolute;left:2715260;top:2790190;flip:y;height:1270;width:1544320;" filled="f" stroked="t" coordsize="21600,21600" o:gfxdata="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q+5QbXAAAABQEAAA8A&#10;AAAAAAAAAQAgAAAAIgAAAGRycy9kb3ducmV2LnhtbFBLAQIUABQAAAAIAIdO4kAf86DbGAIAAAQE&#10;AAAOAAAAAAAAAAEAIAAAACYBAABkcnMvZTJvRG9jLnhtbFBLBQYAAAAABgAGAFkBAACwBQAAAAA=&#10;">
                        <v:fill on="f" focussize="0,0"/>
                        <v:stroke color="#000000" joinstyle="round" endarrowwidth="narrow" endarrowlength="long"/>
                        <v:imagedata o:title=""/>
                        <o:lock v:ext="edit" aspectratio="f"/>
                      </v:shape>
                      <v:rect id="矩形 43" o:spid="_x0000_s1026" o:spt="1" style="position:absolute;left:856615;top:2590165;height:320675;width:508000;" filled="f" stroked="f" coordsize="21600,21600"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xmQU5&#10;1wAAAAUBAAAPAAAAAAAAAAEAIAAAACIAAABkcnMvZG93bnJldi54bWxQSwECFAAUAAAACACHTuJA&#10;CLCWMLABAABMAwAADgAAAAAAAAABACAAAAAmAQAAZHJzL2Uyb0RvYy54bWxQSwUGAAAAAAYABgBZ&#10;AQAASAUAAAAA&#10;">
                        <v:fill on="f" focussize="0,0"/>
                        <v:stroke on="f"/>
                        <v:imagedata o:title=""/>
                        <o:lock v:ext="edit" aspectratio="f"/>
                        <v:textbox>
                          <w:txbxContent>
                            <w:p w14:paraId="00BD6E98">
                              <w:pPr>
                                <w:rPr>
                                  <w:rFonts w:hint="default" w:eastAsia="仿宋"/>
                                  <w:szCs w:val="21"/>
                                  <w:lang w:val="en-US" w:eastAsia="zh-CN"/>
                                </w:rPr>
                              </w:pPr>
                              <w:r>
                                <w:rPr>
                                  <w:rFonts w:hint="eastAsia" w:eastAsia="仿宋"/>
                                  <w:szCs w:val="21"/>
                                  <w:lang w:val="en-US" w:eastAsia="zh-CN"/>
                                </w:rPr>
                                <w:t>0.271</w:t>
                              </w:r>
                            </w:p>
                          </w:txbxContent>
                        </v:textbox>
                      </v:rect>
                      <v:rect id="矩形 46" o:spid="_x0000_s1026" o:spt="1" style="position:absolute;left:2251710;top:2294890;height:321310;width:523875;" filled="f" stroked="f" coordsize="21600,21600"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ZkFOdcA&#10;AAAFAQAADwAAAAAAAAABACAAAAAiAAAAZHJzL2Rvd25yZXYueG1sUEsBAhQAFAAAAAgAh07iQGvW&#10;THSuAQAATQMAAA4AAAAAAAAAAQAgAAAAJgEAAGRycy9lMm9Eb2MueG1sUEsFBgAAAAAGAAYAWQEA&#10;AEYFAAAAAA==&#10;">
                        <v:fill on="f" focussize="0,0"/>
                        <v:stroke on="f"/>
                        <v:imagedata o:title=""/>
                        <o:lock v:ext="edit" aspectratio="f"/>
                        <v:textbox>
                          <w:txbxContent>
                            <w:p w14:paraId="3041C0C5">
                              <w:pPr>
                                <w:rPr>
                                  <w:rFonts w:hint="default" w:eastAsia="仿宋"/>
                                  <w:szCs w:val="21"/>
                                  <w:lang w:val="en-US" w:eastAsia="zh-CN"/>
                                </w:rPr>
                              </w:pPr>
                              <w:r>
                                <w:rPr>
                                  <w:rFonts w:eastAsia="仿宋"/>
                                  <w:szCs w:val="21"/>
                                </w:rPr>
                                <w:t>0.</w:t>
                              </w:r>
                              <w:r>
                                <w:rPr>
                                  <w:rFonts w:hint="eastAsia" w:eastAsia="仿宋"/>
                                  <w:szCs w:val="21"/>
                                  <w:lang w:val="en-US" w:eastAsia="zh-CN"/>
                                </w:rPr>
                                <w:t>24</w:t>
                              </w:r>
                            </w:p>
                          </w:txbxContent>
                        </v:textbox>
                      </v:rect>
                      <v:shape id="任意多边形 75" o:spid="_x0000_s1026" o:spt="100" style="position:absolute;left:2113915;top:2571750;height:72390;width:277495;rotation:-1299952f;" filled="f" stroked="t" coordsize="360,156" o:gfxdata="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" path="m0,156c75,78,150,0,180,0c210,0,150,156,180,156c210,156,285,78,360,0e">
                        <v:path o:connectlocs="0,72390;138747,0;138747,72390;277495,0" o:connectangles="0,0,0,0"/>
                        <v:fill on="f" focussize="0,0"/>
                        <v:stroke color="#000000" joinstyle="round" endarrow="block" endarrowwidth="narrow" endarrowlength="long"/>
                        <v:imagedata o:title=""/>
                        <o:lock v:ext="edit" aspectratio="t"/>
                      </v:shape>
                      <v:rect id="矩形 46" o:spid="_x0000_s1026" o:spt="1" style="position:absolute;left:3168650;top:2548890;height:321310;width:523875;" filled="f" stroked="f" coordsize="21600,21600"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ZkF&#10;OdcAAAAFAQAADwAAAAAAAAABACAAAAAiAAAAZHJzL2Rvd25yZXYueG1sUEsBAhQAFAAAAAgAh07i&#10;QE8Uzl+xAQAATgMAAA4AAAAAAAAAAQAgAAAAJgEAAGRycy9lMm9Eb2MueG1sUEsFBgAAAAAGAAYA&#10;WQEAAEkFAAAAAA==&#10;">
                        <v:fill on="f" focussize="0,0"/>
                        <v:stroke on="f"/>
                        <v:imagedata o:title=""/>
                        <o:lock v:ext="edit" aspectratio="f"/>
                        <v:textbox>
                          <w:txbxContent>
                            <w:p w14:paraId="7F4CA9DA">
                              <w:pPr>
                                <w:rPr>
                                  <w:rFonts w:hint="default" w:eastAsia="仿宋"/>
                                  <w:szCs w:val="21"/>
                                  <w:lang w:val="en-US" w:eastAsia="zh-CN"/>
                                </w:rPr>
                              </w:pPr>
                              <w:r>
                                <w:rPr>
                                  <w:rFonts w:eastAsia="仿宋"/>
                                  <w:szCs w:val="21"/>
                                </w:rPr>
                                <w:t>0.</w:t>
                              </w:r>
                              <w:r>
                                <w:rPr>
                                  <w:rFonts w:hint="eastAsia" w:eastAsia="仿宋"/>
                                  <w:szCs w:val="21"/>
                                  <w:lang w:val="en-US" w:eastAsia="zh-CN"/>
                                </w:rPr>
                                <w:t>031</w:t>
                              </w:r>
                            </w:p>
                          </w:txbxContent>
                        </v:textbox>
                      </v:rect>
                      <v:rect id="矩形 43" o:spid="_x0000_s1026" o:spt="1" style="position:absolute;left:725805;top:1113790;height:320675;width:508000;" filled="f" stroked="f" coordsize="21600,21600"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xmQU5&#10;1wAAAAUBAAAPAAAAAAAAAAEAIAAAACIAAABkcnMvZG93bnJldi54bWxQSwECFAAUAAAACACHTuJA&#10;R7V2/bABAABNAwAADgAAAAAAAAABACAAAAAmAQAAZHJzL2Uyb0RvYy54bWxQSwUGAAAAAAYABgBZ&#10;AQAASAUAAAAA&#10;">
                        <v:fill on="f" focussize="0,0"/>
                        <v:stroke on="f"/>
                        <v:imagedata o:title=""/>
                        <o:lock v:ext="edit" aspectratio="f"/>
                        <v:textbox>
                          <w:txbxContent>
                            <w:p w14:paraId="0B006EB1">
                              <w:pPr>
                                <w:rPr>
                                  <w:rFonts w:hint="default" w:eastAsia="仿宋"/>
                                  <w:szCs w:val="21"/>
                                  <w:lang w:val="en-US" w:eastAsia="zh-CN"/>
                                </w:rPr>
                              </w:pPr>
                              <w:r>
                                <w:rPr>
                                  <w:rFonts w:hint="eastAsia" w:eastAsia="仿宋"/>
                                  <w:szCs w:val="21"/>
                                  <w:lang w:val="en-US" w:eastAsia="zh-CN"/>
                                </w:rPr>
                                <w:t>2.5</w:t>
                              </w:r>
                            </w:p>
                          </w:txbxContent>
                        </v:textbox>
                      </v:rect>
                      <v:rect id="矩形 43" o:spid="_x0000_s1026" o:spt="1" style="position:absolute;left:697865;top:1871980;height:320675;width:508000;" filled="f" stroked="f" coordsize="21600,21600" o:gfxdata="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xmQU5&#10;1wAAAAUBAAAPAAAAAAAAAAEAIAAAACIAAABkcnMvZG93bnJldi54bWxQSwECFAAUAAAACACHTuJA&#10;aXIttrABAABNAwAADgAAAAAAAAABACAAAAAmAQAAZHJzL2Uyb0RvYy54bWxQSwUGAAAAAAYABgBZ&#10;AQAASAUAAAAA&#10;">
                        <v:fill on="f" focussize="0,0"/>
                        <v:stroke on="f"/>
                        <v:imagedata o:title=""/>
                        <o:lock v:ext="edit" aspectratio="f"/>
                        <v:textbox>
                          <w:txbxContent>
                            <w:p w14:paraId="52C9D6C3">
                              <w:pPr>
                                <w:rPr>
                                  <w:rFonts w:hint="default" w:eastAsia="仿宋"/>
                                  <w:szCs w:val="21"/>
                                  <w:lang w:val="en-US" w:eastAsia="zh-CN"/>
                                </w:rPr>
                              </w:pPr>
                              <w:r>
                                <w:rPr>
                                  <w:rFonts w:hint="eastAsia" w:eastAsia="仿宋"/>
                                  <w:szCs w:val="21"/>
                                  <w:lang w:val="en-US" w:eastAsia="zh-CN"/>
                                </w:rPr>
                                <w:t>0.75</w:t>
                              </w:r>
                            </w:p>
                          </w:txbxContent>
                        </v:textbox>
                      </v:rect>
                      <w10:wrap type="none"/>
                      <w10:anchorlock/>
                    </v:group>
                  </w:pict>
                </mc:Fallback>
              </mc:AlternateContent>
            </w:r>
          </w:p>
          <w:p w14:paraId="311B549B">
            <w:pPr>
              <w:pStyle w:val="16"/>
              <w:keepNext w:val="0"/>
              <w:keepLines w:val="0"/>
              <w:suppressLineNumbers w:val="0"/>
              <w:spacing w:before="0" w:beforeAutospacing="0" w:afterAutospacing="0"/>
              <w:ind w:left="0" w:leftChars="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图2-</w:t>
            </w:r>
            <w:r>
              <w:rPr>
                <w:rFonts w:hint="eastAsia" w:cs="Times New Roman"/>
                <w:b/>
                <w:bCs/>
                <w:color w:val="auto"/>
                <w:kern w:val="0"/>
                <w:sz w:val="21"/>
                <w:szCs w:val="21"/>
                <w:highlight w:val="none"/>
                <w:lang w:val="en-US" w:eastAsia="zh-CN"/>
              </w:rPr>
              <w:t>1</w:t>
            </w:r>
            <w:r>
              <w:rPr>
                <w:rFonts w:hint="default" w:ascii="Times New Roman" w:hAnsi="Times New Roman" w:eastAsia="宋体" w:cs="Times New Roman"/>
                <w:b/>
                <w:bCs/>
                <w:color w:val="auto"/>
                <w:kern w:val="0"/>
                <w:sz w:val="21"/>
                <w:szCs w:val="21"/>
                <w:highlight w:val="none"/>
              </w:rPr>
              <w:t xml:space="preserve"> </w:t>
            </w:r>
            <w:r>
              <w:rPr>
                <w:rFonts w:hint="default" w:ascii="Times New Roman" w:hAnsi="Times New Roman" w:eastAsia="宋体" w:cs="Times New Roman"/>
                <w:b/>
                <w:bCs/>
                <w:color w:val="auto"/>
                <w:kern w:val="0"/>
                <w:sz w:val="21"/>
                <w:szCs w:val="21"/>
                <w:highlight w:val="none"/>
                <w:lang w:val="en-US" w:eastAsia="zh-CN"/>
              </w:rPr>
              <w:t xml:space="preserve"> </w:t>
            </w:r>
            <w:r>
              <w:rPr>
                <w:rFonts w:hint="default" w:ascii="Times New Roman" w:hAnsi="Times New Roman" w:eastAsia="宋体" w:cs="Times New Roman"/>
                <w:b/>
                <w:bCs/>
                <w:color w:val="auto"/>
                <w:kern w:val="0"/>
                <w:sz w:val="21"/>
                <w:szCs w:val="21"/>
                <w:highlight w:val="none"/>
              </w:rPr>
              <w:t>本项目水平衡图（单位：</w:t>
            </w:r>
            <w:r>
              <w:rPr>
                <w:rFonts w:hint="default" w:ascii="Times New Roman" w:hAnsi="Times New Roman" w:eastAsia="宋体" w:cs="Times New Roman"/>
                <w:b/>
                <w:color w:val="auto"/>
                <w:sz w:val="21"/>
                <w:szCs w:val="21"/>
                <w:highlight w:val="none"/>
              </w:rPr>
              <w:t>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/d）</w:t>
            </w:r>
          </w:p>
          <w:p w14:paraId="2F1651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color w:val="auto"/>
                <w:sz w:val="24"/>
                <w:szCs w:val="22"/>
                <w:highlight w:val="none"/>
              </w:rPr>
            </w:pPr>
            <w:r>
              <w:rPr>
                <w:rFonts w:hint="eastAsia" w:cs="Times New Roman"/>
                <w:b/>
                <w:color w:val="auto"/>
                <w:sz w:val="24"/>
                <w:szCs w:val="22"/>
                <w:highlight w:val="none"/>
                <w:lang w:val="en-US" w:eastAsia="zh-CN"/>
              </w:rPr>
              <w:t>9</w:t>
            </w:r>
            <w:r>
              <w:rPr>
                <w:rFonts w:hint="default" w:ascii="Times New Roman" w:hAnsi="Times New Roman" w:eastAsia="宋体" w:cs="Times New Roman"/>
                <w:b/>
                <w:color w:val="auto"/>
                <w:sz w:val="24"/>
                <w:szCs w:val="22"/>
                <w:highlight w:val="none"/>
              </w:rPr>
              <w:t>、</w:t>
            </w:r>
            <w:r>
              <w:rPr>
                <w:rFonts w:hint="default" w:ascii="Times New Roman" w:hAnsi="Times New Roman" w:eastAsia="宋体" w:cs="Times New Roman"/>
                <w:b/>
                <w:iCs/>
                <w:color w:val="auto"/>
                <w:sz w:val="24"/>
                <w:szCs w:val="24"/>
                <w:highlight w:val="none"/>
              </w:rPr>
              <w:t>工作制度</w:t>
            </w:r>
            <w:r>
              <w:rPr>
                <w:rFonts w:hint="default" w:ascii="Times New Roman" w:hAnsi="Times New Roman" w:eastAsia="宋体" w:cs="Times New Roman"/>
                <w:b/>
                <w:color w:val="auto"/>
                <w:sz w:val="24"/>
                <w:szCs w:val="22"/>
                <w:highlight w:val="none"/>
              </w:rPr>
              <w:t>及劳动定员</w:t>
            </w:r>
          </w:p>
          <w:p w14:paraId="5C06EC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劳动定员：项目共有员工</w:t>
            </w:r>
            <w:r>
              <w:rPr>
                <w:rFonts w:hint="eastAsia"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人，厂内设</w:t>
            </w:r>
            <w:r>
              <w:rPr>
                <w:rFonts w:hint="eastAsia" w:cs="Times New Roman"/>
                <w:color w:val="auto"/>
                <w:sz w:val="24"/>
                <w:szCs w:val="24"/>
                <w:highlight w:val="none"/>
                <w:lang w:val="en-US" w:eastAsia="zh-CN"/>
              </w:rPr>
              <w:t>食堂</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不设住宿</w:t>
            </w:r>
            <w:r>
              <w:rPr>
                <w:rFonts w:hint="default" w:ascii="Times New Roman" w:hAnsi="Times New Roman" w:eastAsia="宋体" w:cs="Times New Roman"/>
                <w:color w:val="auto"/>
                <w:sz w:val="24"/>
                <w:szCs w:val="24"/>
                <w:highlight w:val="none"/>
              </w:rPr>
              <w:t>。</w:t>
            </w:r>
          </w:p>
          <w:p w14:paraId="581F8F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工作制度：年工作</w:t>
            </w:r>
            <w:r>
              <w:rPr>
                <w:rFonts w:hint="eastAsia" w:cs="Times New Roman"/>
                <w:color w:val="auto"/>
                <w:sz w:val="24"/>
                <w:szCs w:val="24"/>
                <w:highlight w:val="none"/>
                <w:lang w:val="en-US" w:eastAsia="zh-CN"/>
              </w:rPr>
              <w:t>260</w:t>
            </w:r>
            <w:r>
              <w:rPr>
                <w:rFonts w:hint="default" w:ascii="Times New Roman" w:hAnsi="Times New Roman" w:eastAsia="宋体" w:cs="Times New Roman"/>
                <w:color w:val="auto"/>
                <w:sz w:val="24"/>
                <w:szCs w:val="24"/>
                <w:highlight w:val="none"/>
              </w:rPr>
              <w:t>天，实行</w:t>
            </w:r>
            <w:r>
              <w:rPr>
                <w:rFonts w:hint="eastAsia" w:cs="Times New Roman"/>
                <w:color w:val="auto"/>
                <w:sz w:val="24"/>
                <w:szCs w:val="24"/>
                <w:highlight w:val="none"/>
                <w:lang w:val="en-US" w:eastAsia="zh-CN"/>
              </w:rPr>
              <w:t>单</w:t>
            </w:r>
            <w:r>
              <w:rPr>
                <w:rFonts w:hint="default" w:ascii="Times New Roman" w:hAnsi="Times New Roman" w:eastAsia="宋体" w:cs="Times New Roman"/>
                <w:color w:val="auto"/>
                <w:sz w:val="24"/>
                <w:szCs w:val="24"/>
                <w:highlight w:val="none"/>
              </w:rPr>
              <w:t>班</w:t>
            </w:r>
            <w:r>
              <w:rPr>
                <w:rFonts w:hint="eastAsia" w:cs="Times New Roman"/>
                <w:color w:val="auto"/>
                <w:sz w:val="24"/>
                <w:szCs w:val="24"/>
                <w:highlight w:val="none"/>
                <w:lang w:val="en-US" w:eastAsia="zh-CN"/>
              </w:rPr>
              <w:t>制</w:t>
            </w:r>
            <w:r>
              <w:rPr>
                <w:rFonts w:hint="default" w:ascii="Times New Roman" w:hAnsi="Times New Roman" w:eastAsia="宋体" w:cs="Times New Roman"/>
                <w:color w:val="auto"/>
                <w:sz w:val="24"/>
                <w:szCs w:val="24"/>
                <w:highlight w:val="none"/>
              </w:rPr>
              <w:t>、8小时工作制。</w:t>
            </w:r>
          </w:p>
          <w:p w14:paraId="52040C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color w:val="auto"/>
                <w:sz w:val="24"/>
                <w:szCs w:val="24"/>
                <w:highlight w:val="none"/>
                <w:lang w:eastAsia="zh-CN"/>
              </w:rPr>
            </w:pPr>
            <w:r>
              <w:rPr>
                <w:rFonts w:hint="eastAsia" w:cs="Times New Roman"/>
                <w:b/>
                <w:color w:val="auto"/>
                <w:sz w:val="24"/>
                <w:szCs w:val="24"/>
                <w:highlight w:val="none"/>
                <w:lang w:val="en-US" w:eastAsia="zh-CN"/>
              </w:rPr>
              <w:t>10</w:t>
            </w:r>
            <w:r>
              <w:rPr>
                <w:rFonts w:hint="default" w:ascii="Times New Roman" w:hAnsi="Times New Roman" w:eastAsia="宋体" w:cs="Times New Roman"/>
                <w:b/>
                <w:color w:val="auto"/>
                <w:sz w:val="24"/>
                <w:szCs w:val="24"/>
                <w:highlight w:val="none"/>
              </w:rPr>
              <w:t>、厂区平面布置</w:t>
            </w:r>
          </w:p>
          <w:p w14:paraId="7A481E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0"/>
                <w:sz w:val="24"/>
                <w:szCs w:val="24"/>
                <w:highlight w:val="none"/>
                <w:lang w:bidi="ar"/>
              </w:rPr>
            </w:pPr>
            <w:r>
              <w:rPr>
                <w:rFonts w:hint="default" w:ascii="Times New Roman" w:hAnsi="Times New Roman" w:cs="Times New Roman"/>
                <w:color w:val="auto"/>
                <w:kern w:val="0"/>
                <w:sz w:val="24"/>
                <w:szCs w:val="24"/>
                <w:highlight w:val="none"/>
                <w:lang w:val="en-US" w:eastAsia="zh-CN" w:bidi="ar"/>
              </w:rPr>
              <w:t>项目</w:t>
            </w:r>
            <w:r>
              <w:rPr>
                <w:rFonts w:hint="eastAsia" w:cs="Times New Roman"/>
                <w:color w:val="auto"/>
                <w:kern w:val="0"/>
                <w:sz w:val="24"/>
                <w:szCs w:val="24"/>
                <w:highlight w:val="none"/>
                <w:lang w:val="en-US" w:eastAsia="zh-CN" w:bidi="ar"/>
              </w:rPr>
              <w:t>厂区现有3栋厂房位于厂区北侧，食堂和办公楼位于厂区南侧</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cs="Times New Roman"/>
                <w:color w:val="auto"/>
                <w:sz w:val="24"/>
                <w:szCs w:val="22"/>
                <w:highlight w:val="none"/>
              </w:rPr>
              <w:t>厂区出入口位于厂区</w:t>
            </w:r>
            <w:r>
              <w:rPr>
                <w:rFonts w:hint="eastAsia" w:cs="Times New Roman"/>
                <w:color w:val="auto"/>
                <w:sz w:val="24"/>
                <w:szCs w:val="22"/>
                <w:highlight w:val="none"/>
                <w:lang w:val="en-US" w:eastAsia="zh-CN"/>
              </w:rPr>
              <w:t>北</w:t>
            </w:r>
            <w:r>
              <w:rPr>
                <w:rFonts w:hint="default" w:ascii="Times New Roman" w:hAnsi="Times New Roman" w:cs="Times New Roman"/>
                <w:color w:val="auto"/>
                <w:sz w:val="24"/>
                <w:szCs w:val="22"/>
                <w:highlight w:val="none"/>
              </w:rPr>
              <w:t>侧，</w:t>
            </w:r>
            <w:r>
              <w:rPr>
                <w:rFonts w:hint="default" w:cs="Times New Roman"/>
                <w:color w:val="auto"/>
                <w:kern w:val="0"/>
                <w:sz w:val="24"/>
                <w:szCs w:val="24"/>
                <w:highlight w:val="none"/>
                <w:lang w:val="en-US" w:eastAsia="zh-CN" w:bidi="ar"/>
              </w:rPr>
              <w:t>靠近</w:t>
            </w:r>
            <w:r>
              <w:rPr>
                <w:rFonts w:hint="eastAsia" w:cs="Times New Roman"/>
                <w:color w:val="auto"/>
                <w:kern w:val="0"/>
                <w:sz w:val="24"/>
                <w:szCs w:val="24"/>
                <w:highlight w:val="none"/>
                <w:lang w:val="en-US" w:eastAsia="zh-CN" w:bidi="ar"/>
              </w:rPr>
              <w:t>兴</w:t>
            </w:r>
            <w:r>
              <w:rPr>
                <w:rFonts w:hint="default" w:cs="Times New Roman"/>
                <w:color w:val="auto"/>
                <w:kern w:val="0"/>
                <w:sz w:val="24"/>
                <w:szCs w:val="24"/>
                <w:highlight w:val="none"/>
                <w:lang w:val="en-US" w:eastAsia="zh-CN" w:bidi="ar"/>
              </w:rPr>
              <w:t>漴</w:t>
            </w:r>
            <w:r>
              <w:rPr>
                <w:rFonts w:hint="eastAsia" w:cs="Times New Roman"/>
                <w:color w:val="auto"/>
                <w:kern w:val="0"/>
                <w:sz w:val="24"/>
                <w:szCs w:val="24"/>
                <w:highlight w:val="none"/>
                <w:lang w:val="en-US" w:eastAsia="zh-CN" w:bidi="ar"/>
              </w:rPr>
              <w:t>路</w:t>
            </w:r>
            <w:r>
              <w:rPr>
                <w:rFonts w:hint="default" w:cs="Times New Roman"/>
                <w:color w:val="auto"/>
                <w:kern w:val="0"/>
                <w:sz w:val="24"/>
                <w:szCs w:val="24"/>
                <w:highlight w:val="none"/>
                <w:lang w:val="en-US" w:eastAsia="zh-CN" w:bidi="ar"/>
              </w:rPr>
              <w:t>，交通便</w:t>
            </w:r>
            <w:r>
              <w:rPr>
                <w:rFonts w:hint="default" w:ascii="Times New Roman" w:hAnsi="Times New Roman" w:cs="Times New Roman"/>
                <w:color w:val="auto"/>
                <w:sz w:val="24"/>
                <w:szCs w:val="22"/>
                <w:highlight w:val="none"/>
              </w:rPr>
              <w:t>利，</w:t>
            </w:r>
            <w:r>
              <w:rPr>
                <w:rFonts w:hint="default" w:ascii="Times New Roman" w:hAnsi="Times New Roman" w:cs="Times New Roman"/>
                <w:color w:val="auto"/>
                <w:kern w:val="0"/>
                <w:sz w:val="24"/>
                <w:szCs w:val="24"/>
                <w:highlight w:val="none"/>
                <w:lang w:bidi="ar"/>
              </w:rPr>
              <w:t>满足项目原辅材料及产品运输需求。</w:t>
            </w:r>
          </w:p>
          <w:p w14:paraId="4ACD00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根据《工业企业总平面设计规范》（GB50187-2012）相关要求，项目总平面布置合理性分析如下：</w:t>
            </w:r>
          </w:p>
          <w:p w14:paraId="4DA6F2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①项目总平面布置根据周边交通情况、厂址自然条件根据《建筑设计防火规范》（GB50016-2014，2018版）要求合理设置，满足防火、安全、卫生、施工及检修要求。</w:t>
            </w:r>
          </w:p>
          <w:p w14:paraId="1E211B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②在满足生产要求和防火间距的情况下，项目各建筑物、道路和绿化合理设计，平面布置紧凑。办公生活区、生产区周围设置绿化防护区，尽可能的减少生产过程中污染物排放对办公生活区的影响。</w:t>
            </w:r>
          </w:p>
          <w:p w14:paraId="4D253A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③生产车间根据工艺流程合理设置，车间内设置完整的生产线，满足生产流程要求，工艺线路短捷、顺畅。厂区设置</w:t>
            </w:r>
            <w:r>
              <w:rPr>
                <w:rFonts w:hint="default" w:ascii="Times New Roman" w:hAnsi="Times New Roman"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个出入口，临近道路，交通条件便利，可以满足运输及消防要求，保证人流和物流部交叉，交通便捷。</w:t>
            </w:r>
          </w:p>
          <w:p w14:paraId="5756B6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④结合现有场地情况，生产厂房平面布置以最佳的生产流程（物流、人流、信息流、能源流）和生产工艺工程进行设计，整体布置上强调物流的合理，减少物流的返回、交叉、往返等无效搬运；减少库存和在制品，缩短物料的停滞和等待；选用适当装卸搬运方式和机具。</w:t>
            </w:r>
          </w:p>
          <w:p w14:paraId="4A5316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⑤结合厂区内部布局，项目</w:t>
            </w:r>
            <w:r>
              <w:rPr>
                <w:rFonts w:hint="eastAsia" w:cs="Times New Roman"/>
                <w:color w:val="auto"/>
                <w:kern w:val="0"/>
                <w:sz w:val="24"/>
                <w:szCs w:val="24"/>
                <w:highlight w:val="none"/>
                <w:lang w:val="en-US" w:eastAsia="zh-CN" w:bidi="ar"/>
              </w:rPr>
              <w:t>办公生活区远离1#厂房</w:t>
            </w:r>
            <w:r>
              <w:rPr>
                <w:rFonts w:hint="default" w:ascii="Times New Roman" w:hAnsi="Times New Roman" w:eastAsia="宋体" w:cs="Times New Roman"/>
                <w:color w:val="auto"/>
                <w:kern w:val="0"/>
                <w:sz w:val="24"/>
                <w:szCs w:val="24"/>
                <w:highlight w:val="none"/>
                <w:lang w:val="en-US" w:eastAsia="zh-CN" w:bidi="ar"/>
              </w:rPr>
              <w:t>，降低了这些工序产生的</w:t>
            </w:r>
            <w:r>
              <w:rPr>
                <w:rFonts w:hint="eastAsia" w:cs="Times New Roman"/>
                <w:color w:val="auto"/>
                <w:kern w:val="0"/>
                <w:sz w:val="24"/>
                <w:szCs w:val="24"/>
                <w:highlight w:val="none"/>
                <w:lang w:val="en-US" w:eastAsia="zh-CN" w:bidi="ar"/>
              </w:rPr>
              <w:t>大气</w:t>
            </w:r>
            <w:r>
              <w:rPr>
                <w:rFonts w:hint="default" w:ascii="Times New Roman" w:hAnsi="Times New Roman" w:eastAsia="宋体" w:cs="Times New Roman"/>
                <w:color w:val="auto"/>
                <w:kern w:val="0"/>
                <w:sz w:val="24"/>
                <w:szCs w:val="24"/>
                <w:highlight w:val="none"/>
                <w:lang w:val="en-US" w:eastAsia="zh-CN" w:bidi="ar"/>
              </w:rPr>
              <w:t>污染对厂区员工的健康影响的影响。</w:t>
            </w:r>
          </w:p>
          <w:p w14:paraId="2072BF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综上所述，本工程建成后厂区平面布置考虑了厂区内生产、生活环境，从方便生产、安全管理、保护环境角度考虑，布局比较合理。</w:t>
            </w:r>
          </w:p>
          <w:p w14:paraId="675D00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pacing w:val="4"/>
                <w:szCs w:val="24"/>
                <w:highlight w:val="none"/>
                <w:lang w:val="en-US" w:eastAsia="zh-CN"/>
              </w:rPr>
            </w:pPr>
            <w:r>
              <w:rPr>
                <w:rFonts w:hint="default" w:ascii="Times New Roman" w:hAnsi="Times New Roman" w:eastAsia="宋体" w:cs="Times New Roman"/>
                <w:color w:val="auto"/>
                <w:sz w:val="24"/>
                <w:szCs w:val="24"/>
                <w:highlight w:val="none"/>
              </w:rPr>
              <w:t>综上，项目总平面布置较合理</w:t>
            </w:r>
            <w:r>
              <w:rPr>
                <w:rFonts w:hint="default" w:ascii="Times New Roman" w:hAnsi="Times New Roman" w:cs="Times New Roman"/>
                <w:color w:val="auto"/>
                <w:sz w:val="24"/>
                <w:szCs w:val="24"/>
                <w:highlight w:val="none"/>
              </w:rPr>
              <w:t>。</w:t>
            </w:r>
          </w:p>
        </w:tc>
      </w:tr>
      <w:tr w14:paraId="4A59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1" w:hRule="atLeast"/>
          <w:jc w:val="center"/>
        </w:trPr>
        <w:tc>
          <w:tcPr>
            <w:tcW w:w="453" w:type="dxa"/>
            <w:noWrap w:val="0"/>
            <w:vAlign w:val="center"/>
          </w:tcPr>
          <w:p w14:paraId="61D177A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Cs w:val="21"/>
                <w:highlight w:val="none"/>
              </w:rPr>
              <w:t>工艺流程和产排污环节</w:t>
            </w:r>
          </w:p>
        </w:tc>
        <w:tc>
          <w:tcPr>
            <w:tcW w:w="9118" w:type="dxa"/>
            <w:noWrap w:val="0"/>
            <w:vAlign w:val="top"/>
          </w:tcPr>
          <w:p w14:paraId="3B2A5C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color w:val="auto"/>
                <w:kern w:val="1"/>
                <w:sz w:val="24"/>
                <w:szCs w:val="22"/>
                <w:highlight w:val="none"/>
              </w:rPr>
            </w:pPr>
            <w:r>
              <w:rPr>
                <w:rFonts w:hint="default" w:ascii="Times New Roman" w:hAnsi="Times New Roman" w:eastAsia="宋体" w:cs="Times New Roman"/>
                <w:b/>
                <w:color w:val="auto"/>
                <w:kern w:val="1"/>
                <w:sz w:val="24"/>
                <w:szCs w:val="22"/>
                <w:highlight w:val="none"/>
              </w:rPr>
              <w:t>一、施工期</w:t>
            </w:r>
          </w:p>
          <w:p w14:paraId="6DA771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本项目为</w:t>
            </w:r>
            <w:r>
              <w:rPr>
                <w:rFonts w:hint="default" w:ascii="Times New Roman" w:hAnsi="Times New Roman" w:cs="Times New Roman"/>
                <w:color w:val="auto"/>
                <w:sz w:val="24"/>
                <w:szCs w:val="24"/>
                <w:highlight w:val="none"/>
              </w:rPr>
              <w:t>新建项目，企业在</w:t>
            </w:r>
            <w:r>
              <w:rPr>
                <w:rFonts w:hint="eastAsia" w:cs="Times New Roman"/>
                <w:color w:val="auto"/>
                <w:sz w:val="24"/>
                <w:szCs w:val="24"/>
                <w:highlight w:val="none"/>
                <w:lang w:val="en-US" w:eastAsia="zh-CN"/>
              </w:rPr>
              <w:t>蚌埠</w:t>
            </w:r>
            <w:r>
              <w:rPr>
                <w:rFonts w:hint="default" w:ascii="Times New Roman" w:hAnsi="Times New Roman" w:cs="Times New Roman"/>
                <w:color w:val="auto"/>
                <w:sz w:val="24"/>
                <w:szCs w:val="24"/>
                <w:highlight w:val="none"/>
              </w:rPr>
              <w:t>市</w:t>
            </w:r>
            <w:r>
              <w:rPr>
                <w:rFonts w:hint="eastAsia" w:cs="Times New Roman"/>
                <w:color w:val="auto"/>
                <w:sz w:val="24"/>
                <w:szCs w:val="24"/>
                <w:highlight w:val="none"/>
                <w:lang w:val="en-US" w:eastAsia="zh-CN"/>
              </w:rPr>
              <w:t>五河县城南工业园区工业五路中段南侧收购蚌埠市康福特服装有限公司厂区</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利用现有厂区内的厂房、仓库和办公楼进行生产办公活动</w:t>
            </w:r>
            <w:r>
              <w:rPr>
                <w:rFonts w:hint="default" w:ascii="Times New Roman" w:hAnsi="Times New Roman" w:eastAsia="宋体" w:cs="Times New Roman"/>
                <w:color w:val="auto"/>
                <w:sz w:val="24"/>
                <w:szCs w:val="22"/>
                <w:highlight w:val="none"/>
                <w:lang w:val="en-US" w:eastAsia="zh-CN"/>
              </w:rPr>
              <w:t>，施工期影响主要为部分设备安装</w:t>
            </w:r>
            <w:r>
              <w:rPr>
                <w:rFonts w:hint="eastAsia" w:ascii="Times New Roman" w:hAnsi="Times New Roman" w:eastAsia="宋体" w:cs="Times New Roman"/>
                <w:color w:val="auto"/>
                <w:sz w:val="24"/>
                <w:szCs w:val="22"/>
                <w:highlight w:val="none"/>
                <w:lang w:val="en-US" w:eastAsia="zh-CN"/>
              </w:rPr>
              <w:t>产生的噪声</w:t>
            </w:r>
            <w:r>
              <w:rPr>
                <w:rFonts w:hint="default" w:ascii="Times New Roman" w:hAnsi="Times New Roman" w:eastAsia="宋体" w:cs="Times New Roman"/>
                <w:color w:val="auto"/>
                <w:sz w:val="24"/>
                <w:szCs w:val="22"/>
                <w:highlight w:val="none"/>
                <w:lang w:val="en-US" w:eastAsia="zh-CN"/>
              </w:rPr>
              <w:t>，</w:t>
            </w:r>
            <w:r>
              <w:rPr>
                <w:rFonts w:hint="eastAsia" w:ascii="Times New Roman" w:hAnsi="Times New Roman" w:eastAsia="宋体" w:cs="Times New Roman"/>
                <w:color w:val="auto"/>
                <w:sz w:val="24"/>
                <w:szCs w:val="22"/>
                <w:highlight w:val="none"/>
                <w:lang w:val="en-US" w:eastAsia="zh-CN"/>
              </w:rPr>
              <w:t xml:space="preserve">无土石方、建筑施工。施工活动集中在现有厂房内，施工期短，施工产生的影响在施工结束后即可消除，不会对外环境产生影响。 </w:t>
            </w:r>
            <w:r>
              <w:rPr>
                <w:rFonts w:hint="default" w:ascii="Times New Roman" w:hAnsi="Times New Roman" w:cs="Times New Roman"/>
                <w:color w:val="auto"/>
                <w:sz w:val="24"/>
                <w:szCs w:val="24"/>
                <w:highlight w:val="none"/>
              </w:rPr>
              <w:t xml:space="preserve">                                                                                                                                                                                                                                                                                                                                                                                                                                                                                                                                                                                                                                                                                                                                                                                                                                                                                                                                  </w:t>
            </w:r>
          </w:p>
          <w:p w14:paraId="5CF15C53">
            <w:pPr>
              <w:keepNext w:val="0"/>
              <w:keepLines w:val="0"/>
              <w:pageBreakBefore w:val="0"/>
              <w:widowControl w:val="0"/>
              <w:numPr>
                <w:ilvl w:val="0"/>
                <w:numId w:val="4"/>
              </w:numPr>
              <w:suppressLineNumbers w:val="0"/>
              <w:kinsoku/>
              <w:wordWrap/>
              <w:overflowPunct/>
              <w:topLinePunct w:val="0"/>
              <w:bidi w:val="0"/>
              <w:snapToGrid/>
              <w:spacing w:before="0" w:beforeAutospacing="0" w:after="0" w:afterAutospacing="0" w:line="360" w:lineRule="auto"/>
              <w:ind w:left="0" w:right="0"/>
              <w:jc w:val="both"/>
              <w:textAlignment w:val="auto"/>
              <w:rPr>
                <w:rFonts w:hint="default" w:ascii="Times New Roman" w:hAnsi="Times New Roman" w:eastAsia="宋体" w:cs="Times New Roman"/>
                <w:b/>
                <w:color w:val="auto"/>
                <w:kern w:val="1"/>
                <w:sz w:val="24"/>
                <w:szCs w:val="22"/>
                <w:highlight w:val="none"/>
              </w:rPr>
            </w:pPr>
            <w:r>
              <w:rPr>
                <w:rFonts w:hint="default" w:ascii="Times New Roman" w:hAnsi="Times New Roman" w:eastAsia="宋体" w:cs="Times New Roman"/>
                <w:b/>
                <w:color w:val="auto"/>
                <w:kern w:val="1"/>
                <w:sz w:val="24"/>
                <w:szCs w:val="22"/>
                <w:highlight w:val="none"/>
              </w:rPr>
              <w:t>营运期</w:t>
            </w:r>
          </w:p>
          <w:p w14:paraId="7E4B99E8">
            <w:pPr>
              <w:pStyle w:val="55"/>
              <w:keepNext w:val="0"/>
              <w:keepLines w:val="0"/>
              <w:pageBreakBefore w:val="0"/>
              <w:widowControl w:val="0"/>
              <w:numPr>
                <w:ilvl w:val="1"/>
                <w:numId w:val="0"/>
              </w:numPr>
              <w:suppressLineNumbers w:val="0"/>
              <w:kinsoku/>
              <w:wordWrap/>
              <w:overflowPunct/>
              <w:topLinePunct w:val="0"/>
              <w:bidi w:val="0"/>
              <w:snapToGrid/>
              <w:spacing w:before="0" w:beforeLines="0" w:beforeAutospacing="0" w:after="0" w:afterLines="0" w:afterAutospacing="0" w:line="360" w:lineRule="auto"/>
              <w:ind w:left="0" w:right="0" w:rightChars="0"/>
              <w:jc w:val="both"/>
              <w:textAlignment w:val="auto"/>
              <w:rPr>
                <w:rFonts w:hint="default" w:ascii="Times New Roman" w:hAnsi="Times New Roman" w:eastAsia="宋体" w:cs="Times New Roman"/>
                <w:b/>
                <w:bCs w:val="0"/>
                <w:color w:val="auto"/>
                <w:kern w:val="1"/>
                <w:sz w:val="24"/>
                <w:highlight w:val="none"/>
                <w:lang w:val="en-US" w:eastAsia="zh-CN"/>
              </w:rPr>
            </w:pPr>
            <w:r>
              <w:rPr>
                <w:rFonts w:hint="default" w:ascii="Times New Roman" w:hAnsi="Times New Roman" w:eastAsia="宋体" w:cs="Times New Roman"/>
                <w:b/>
                <w:bCs w:val="0"/>
                <w:color w:val="auto"/>
                <w:kern w:val="1"/>
                <w:sz w:val="24"/>
                <w:highlight w:val="none"/>
                <w:lang w:val="en-US" w:eastAsia="zh-CN"/>
              </w:rPr>
              <w:t>1、项目生产工艺流程及产污环节</w:t>
            </w:r>
          </w:p>
          <w:p w14:paraId="3024E52E">
            <w:pPr>
              <w:pStyle w:val="59"/>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360" w:leftChars="0" w:right="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w:t>
            </w:r>
            <w:r>
              <w:rPr>
                <w:rFonts w:hint="eastAsia" w:cs="Times New Roman"/>
                <w:b/>
                <w:bCs/>
                <w:color w:val="auto"/>
                <w:highlight w:val="none"/>
                <w:lang w:val="en-US" w:eastAsia="zh-CN"/>
              </w:rPr>
              <w:t>防静电无尘鞋生产</w:t>
            </w:r>
            <w:r>
              <w:rPr>
                <w:rFonts w:hint="default" w:ascii="Times New Roman" w:hAnsi="Times New Roman" w:cs="Times New Roman"/>
                <w:b/>
                <w:bCs/>
                <w:color w:val="auto"/>
                <w:highlight w:val="none"/>
                <w:lang w:val="en-US" w:eastAsia="zh-CN"/>
              </w:rPr>
              <w:t>工艺流程</w:t>
            </w:r>
          </w:p>
          <w:p w14:paraId="0C4845A5">
            <w:pPr>
              <w:pStyle w:val="59"/>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eastAsia" w:cs="Times New Roman"/>
                <w:b w:val="0"/>
                <w:bCs w:val="0"/>
                <w:color w:val="auto"/>
                <w:highlight w:val="none"/>
                <w:lang w:val="en-US" w:eastAsia="zh-CN"/>
              </w:rPr>
            </w:pPr>
            <w:r>
              <w:rPr>
                <w:rFonts w:hint="eastAsia"/>
                <w:bCs/>
                <w:color w:val="auto"/>
                <w:kern w:val="0"/>
                <w:szCs w:val="24"/>
                <w:highlight w:val="none"/>
              </w:rPr>
              <w:t>本项目</w:t>
            </w:r>
            <w:r>
              <w:rPr>
                <w:rFonts w:hint="eastAsia" w:cs="Times New Roman"/>
                <w:b w:val="0"/>
                <w:bCs w:val="0"/>
                <w:color w:val="auto"/>
                <w:highlight w:val="none"/>
                <w:lang w:val="en-US" w:eastAsia="zh-CN"/>
              </w:rPr>
              <w:t>防静电无尘鞋生产在1#厂房内进行，包括PU连帮鞋和PVC连帮鞋产品两种类型产品。</w:t>
            </w:r>
          </w:p>
          <w:p w14:paraId="4AAE5E40">
            <w:pPr>
              <w:pStyle w:val="59"/>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420" w:leftChars="200" w:right="0" w:rightChars="0"/>
              <w:textAlignment w:val="auto"/>
              <w:rPr>
                <w:rFonts w:hint="eastAsia" w:cs="Times New Roman"/>
                <w:b/>
                <w:bCs/>
                <w:color w:val="auto"/>
                <w:highlight w:val="none"/>
                <w:lang w:val="en-US" w:eastAsia="zh-CN"/>
              </w:rPr>
            </w:pPr>
            <w:r>
              <w:rPr>
                <w:rFonts w:hint="eastAsia" w:cs="Times New Roman"/>
                <w:b/>
                <w:bCs/>
                <w:color w:val="auto"/>
                <w:highlight w:val="none"/>
                <w:lang w:val="en-US" w:eastAsia="zh-CN"/>
              </w:rPr>
              <w:t>1）聚氨酯连帮鞋</w:t>
            </w:r>
          </w:p>
          <w:p w14:paraId="130B798C">
            <w:pPr>
              <w:pStyle w:val="59"/>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eastAsia" w:cs="Times New Roman"/>
                <w:b w:val="0"/>
                <w:bCs w:val="0"/>
                <w:color w:val="auto"/>
                <w:highlight w:val="none"/>
                <w:lang w:val="en-US" w:eastAsia="zh-CN"/>
              </w:rPr>
            </w:pPr>
          </w:p>
          <w:p w14:paraId="5AA4FE08">
            <w:pPr>
              <w:pStyle w:val="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b/>
                <w:bCs/>
                <w:color w:val="auto"/>
                <w:sz w:val="21"/>
                <w:szCs w:val="21"/>
                <w:highlight w:val="none"/>
              </w:rPr>
            </w:pPr>
            <w:r>
              <w:rPr>
                <w:rFonts w:hint="default" w:cs="Times New Roman"/>
                <w:b w:val="0"/>
                <w:bCs w:val="0"/>
                <w:color w:val="auto"/>
                <w:highlight w:val="none"/>
                <w:lang w:val="en-US" w:eastAsia="zh-CN"/>
              </w:rPr>
              <w:object>
                <v:shape id="_x0000_i1025" o:spt="75" type="#_x0000_t75" style="height:492.25pt;width:387.4pt;" o:ole="t" filled="f" o:preferrelative="t" stroked="f" coordsize="21600,21600">
                  <v:path/>
                  <v:fill on="f" focussize="0,0"/>
                  <v:stroke on="f"/>
                  <v:imagedata r:id="rId13" o:title=""/>
                  <o:lock v:ext="edit" aspectratio="f"/>
                  <w10:wrap type="none"/>
                  <w10:anchorlock/>
                </v:shape>
                <o:OLEObject Type="Embed" ProgID="Visio.Drawing.15" ShapeID="_x0000_i1025" DrawAspect="Content" ObjectID="_1468075725" r:id="rId12">
                  <o:LockedField>false</o:LockedField>
                </o:OLEObject>
              </w:object>
            </w:r>
            <w:r>
              <w:rPr>
                <w:rFonts w:hint="eastAsia" w:ascii="宋体" w:hAnsi="宋体"/>
                <w:color w:val="auto"/>
                <w:sz w:val="21"/>
                <w:szCs w:val="21"/>
                <w:highlight w:val="none"/>
                <w:lang w:val="zh-CN"/>
              </w:rPr>
              <w:t>注：</w:t>
            </w:r>
            <w:r>
              <w:rPr>
                <w:rFonts w:hint="default" w:ascii="Times New Roman" w:hAnsi="Times New Roman" w:eastAsia="Times New Roman"/>
                <w:color w:val="auto"/>
                <w:sz w:val="21"/>
                <w:szCs w:val="21"/>
                <w:highlight w:val="none"/>
                <w:lang w:val="zh-CN"/>
              </w:rPr>
              <w:t xml:space="preserve">G1-1 </w:t>
            </w:r>
            <w:r>
              <w:rPr>
                <w:rFonts w:hint="eastAsia" w:ascii="宋体" w:hAnsi="宋体"/>
                <w:color w:val="auto"/>
                <w:sz w:val="21"/>
                <w:szCs w:val="21"/>
                <w:highlight w:val="none"/>
                <w:lang w:val="zh-CN"/>
              </w:rPr>
              <w:t>搅拌粉尘、</w:t>
            </w:r>
            <w:r>
              <w:rPr>
                <w:rFonts w:hint="default" w:ascii="Times New Roman" w:hAnsi="Times New Roman" w:eastAsia="Times New Roman"/>
                <w:color w:val="auto"/>
                <w:sz w:val="21"/>
                <w:szCs w:val="21"/>
                <w:highlight w:val="none"/>
                <w:lang w:val="zh-CN"/>
              </w:rPr>
              <w:t>G1-</w:t>
            </w:r>
            <w:r>
              <w:rPr>
                <w:rFonts w:hint="eastAsia" w:ascii="Times New Roman" w:hAnsi="Times New Roman" w:eastAsia="宋体"/>
                <w:color w:val="auto"/>
                <w:sz w:val="21"/>
                <w:szCs w:val="21"/>
                <w:highlight w:val="none"/>
                <w:lang w:val="en-US" w:eastAsia="zh-CN"/>
              </w:rPr>
              <w:t>2</w:t>
            </w:r>
            <w:r>
              <w:rPr>
                <w:rFonts w:hint="default" w:ascii="Times New Roman" w:hAnsi="Times New Roman" w:eastAsia="Times New Roman"/>
                <w:color w:val="auto"/>
                <w:sz w:val="21"/>
                <w:szCs w:val="21"/>
                <w:highlight w:val="none"/>
                <w:lang w:val="zh-CN"/>
              </w:rPr>
              <w:t xml:space="preserve"> </w:t>
            </w:r>
            <w:r>
              <w:rPr>
                <w:rFonts w:hint="eastAsia" w:ascii="宋体" w:hAnsi="宋体"/>
                <w:color w:val="auto"/>
                <w:sz w:val="21"/>
                <w:szCs w:val="21"/>
                <w:highlight w:val="none"/>
                <w:lang w:val="zh-CN"/>
              </w:rPr>
              <w:t>注塑废气、</w:t>
            </w:r>
            <w:r>
              <w:rPr>
                <w:rFonts w:hint="default" w:ascii="Times New Roman" w:hAnsi="Times New Roman" w:eastAsia="Times New Roman"/>
                <w:color w:val="auto"/>
                <w:sz w:val="21"/>
                <w:szCs w:val="21"/>
                <w:highlight w:val="none"/>
                <w:lang w:val="zh-CN"/>
              </w:rPr>
              <w:t>G1-</w:t>
            </w:r>
            <w:r>
              <w:rPr>
                <w:rFonts w:hint="eastAsia" w:ascii="Times New Roman" w:hAnsi="Times New Roman" w:eastAsia="宋体"/>
                <w:color w:val="auto"/>
                <w:sz w:val="21"/>
                <w:szCs w:val="21"/>
                <w:highlight w:val="none"/>
                <w:lang w:val="en-US" w:eastAsia="zh-CN"/>
              </w:rPr>
              <w:t>3</w:t>
            </w:r>
            <w:r>
              <w:rPr>
                <w:rFonts w:hint="default" w:ascii="Times New Roman" w:hAnsi="Times New Roman" w:eastAsia="Times New Roman"/>
                <w:color w:val="auto"/>
                <w:sz w:val="21"/>
                <w:szCs w:val="21"/>
                <w:highlight w:val="none"/>
                <w:lang w:val="zh-CN"/>
              </w:rPr>
              <w:t xml:space="preserve"> </w:t>
            </w:r>
            <w:r>
              <w:rPr>
                <w:rFonts w:hint="eastAsia" w:ascii="宋体" w:hAnsi="宋体"/>
                <w:color w:val="auto"/>
                <w:sz w:val="21"/>
                <w:szCs w:val="21"/>
                <w:highlight w:val="none"/>
                <w:lang w:val="zh-CN"/>
              </w:rPr>
              <w:t>破碎粉尘；</w:t>
            </w:r>
            <w:r>
              <w:rPr>
                <w:rFonts w:hint="default" w:ascii="Times New Roman" w:hAnsi="Times New Roman" w:eastAsia="Times New Roman"/>
                <w:color w:val="auto"/>
                <w:sz w:val="21"/>
                <w:szCs w:val="21"/>
                <w:highlight w:val="none"/>
                <w:lang w:val="zh-CN"/>
              </w:rPr>
              <w:t xml:space="preserve">S1-1 </w:t>
            </w:r>
            <w:r>
              <w:rPr>
                <w:rFonts w:hint="eastAsia" w:ascii="宋体" w:hAnsi="宋体"/>
                <w:color w:val="auto"/>
                <w:sz w:val="21"/>
                <w:szCs w:val="21"/>
                <w:highlight w:val="none"/>
                <w:lang w:val="zh-CN"/>
              </w:rPr>
              <w:t>皮</w:t>
            </w:r>
            <w:r>
              <w:rPr>
                <w:rFonts w:hint="eastAsia" w:ascii="宋体" w:hAnsi="宋体"/>
                <w:color w:val="auto"/>
                <w:sz w:val="21"/>
                <w:szCs w:val="21"/>
                <w:highlight w:val="none"/>
                <w:lang w:val="en-US" w:eastAsia="zh-CN"/>
              </w:rPr>
              <w:t>布</w:t>
            </w:r>
            <w:r>
              <w:rPr>
                <w:rFonts w:hint="eastAsia" w:ascii="宋体" w:hAnsi="宋体"/>
                <w:color w:val="auto"/>
                <w:sz w:val="21"/>
                <w:szCs w:val="21"/>
                <w:highlight w:val="none"/>
                <w:lang w:val="zh-CN"/>
              </w:rPr>
              <w:t>边角料、</w:t>
            </w:r>
            <w:r>
              <w:rPr>
                <w:rFonts w:hint="default" w:ascii="Times New Roman" w:hAnsi="Times New Roman" w:eastAsia="Times New Roman"/>
                <w:color w:val="auto"/>
                <w:sz w:val="21"/>
                <w:szCs w:val="21"/>
                <w:highlight w:val="none"/>
                <w:lang w:val="zh-CN"/>
              </w:rPr>
              <w:t xml:space="preserve">S1-2 </w:t>
            </w:r>
            <w:r>
              <w:rPr>
                <w:rFonts w:hint="eastAsia" w:ascii="宋体" w:hAnsi="宋体"/>
                <w:color w:val="auto"/>
                <w:sz w:val="21"/>
                <w:szCs w:val="21"/>
                <w:highlight w:val="none"/>
                <w:lang w:val="zh-CN"/>
              </w:rPr>
              <w:t>废包装袋、</w:t>
            </w:r>
            <w:r>
              <w:rPr>
                <w:rFonts w:hint="default" w:ascii="Times New Roman" w:hAnsi="Times New Roman" w:eastAsia="Times New Roman"/>
                <w:color w:val="auto"/>
                <w:sz w:val="21"/>
                <w:szCs w:val="21"/>
                <w:highlight w:val="none"/>
                <w:lang w:val="zh-CN"/>
              </w:rPr>
              <w:t xml:space="preserve">S1-3 </w:t>
            </w:r>
            <w:r>
              <w:rPr>
                <w:rFonts w:hint="eastAsia" w:ascii="宋体" w:hAnsi="宋体"/>
                <w:color w:val="auto"/>
                <w:sz w:val="21"/>
                <w:szCs w:val="21"/>
                <w:highlight w:val="none"/>
                <w:lang w:val="zh-CN"/>
              </w:rPr>
              <w:t>废包装桶、</w:t>
            </w:r>
            <w:r>
              <w:rPr>
                <w:rFonts w:hint="default" w:ascii="Times New Roman" w:hAnsi="Times New Roman" w:eastAsia="Times New Roman"/>
                <w:color w:val="auto"/>
                <w:sz w:val="21"/>
                <w:szCs w:val="21"/>
                <w:highlight w:val="none"/>
                <w:lang w:val="zh-CN"/>
              </w:rPr>
              <w:t xml:space="preserve">S1-4 </w:t>
            </w:r>
            <w:r>
              <w:rPr>
                <w:rFonts w:hint="eastAsia" w:ascii="宋体" w:hAnsi="宋体"/>
                <w:color w:val="auto"/>
                <w:sz w:val="21"/>
                <w:szCs w:val="21"/>
                <w:highlight w:val="none"/>
                <w:lang w:val="zh-CN"/>
              </w:rPr>
              <w:t>树脂边角料、</w:t>
            </w:r>
            <w:r>
              <w:rPr>
                <w:rFonts w:hint="default" w:ascii="Times New Roman" w:hAnsi="Times New Roman" w:eastAsia="Times New Roman"/>
                <w:color w:val="auto"/>
                <w:sz w:val="21"/>
                <w:szCs w:val="21"/>
                <w:highlight w:val="none"/>
                <w:lang w:val="zh-CN"/>
              </w:rPr>
              <w:t xml:space="preserve">S1-5 </w:t>
            </w:r>
            <w:r>
              <w:rPr>
                <w:rFonts w:hint="eastAsia" w:ascii="宋体" w:hAnsi="宋体"/>
                <w:color w:val="auto"/>
                <w:sz w:val="21"/>
                <w:szCs w:val="21"/>
                <w:highlight w:val="none"/>
                <w:lang w:val="zh-CN"/>
              </w:rPr>
              <w:t>不合格品；</w:t>
            </w:r>
            <w:r>
              <w:rPr>
                <w:rFonts w:hint="default" w:ascii="Times New Roman" w:hAnsi="Times New Roman" w:eastAsia="Times New Roman"/>
                <w:color w:val="auto"/>
                <w:sz w:val="21"/>
                <w:szCs w:val="21"/>
                <w:highlight w:val="none"/>
                <w:lang w:val="zh-CN"/>
              </w:rPr>
              <w:t>N</w:t>
            </w:r>
            <w:r>
              <w:rPr>
                <w:rFonts w:hint="eastAsia" w:ascii="宋体" w:hAnsi="宋体"/>
                <w:color w:val="auto"/>
                <w:sz w:val="21"/>
                <w:szCs w:val="21"/>
                <w:highlight w:val="none"/>
                <w:lang w:val="zh-CN"/>
              </w:rPr>
              <w:t>噪声</w:t>
            </w:r>
          </w:p>
          <w:p w14:paraId="1A5D50A4">
            <w:pPr>
              <w:pStyle w:val="59"/>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jc w:val="center"/>
              <w:textAlignment w:val="auto"/>
              <w:rPr>
                <w:rFonts w:hint="default" w:cs="Times New Roman"/>
                <w:b w:val="0"/>
                <w:bCs w:val="0"/>
                <w:color w:val="auto"/>
                <w:highlight w:val="none"/>
                <w:lang w:val="en-US" w:eastAsia="zh-CN"/>
              </w:rPr>
            </w:pPr>
            <w:r>
              <w:rPr>
                <w:b/>
                <w:bCs/>
                <w:color w:val="auto"/>
                <w:sz w:val="24"/>
                <w:highlight w:val="none"/>
              </w:rPr>
              <w:t>图</w:t>
            </w:r>
            <w:r>
              <w:rPr>
                <w:rFonts w:hint="eastAsia"/>
                <w:b/>
                <w:bCs/>
                <w:color w:val="auto"/>
                <w:sz w:val="24"/>
                <w:highlight w:val="none"/>
                <w:lang w:val="en-US" w:eastAsia="zh-CN"/>
              </w:rPr>
              <w:t>2</w:t>
            </w:r>
            <w:r>
              <w:rPr>
                <w:b/>
                <w:bCs/>
                <w:color w:val="auto"/>
                <w:sz w:val="24"/>
                <w:highlight w:val="none"/>
              </w:rPr>
              <w:t>-</w:t>
            </w:r>
            <w:r>
              <w:rPr>
                <w:rFonts w:hint="eastAsia"/>
                <w:b/>
                <w:bCs/>
                <w:color w:val="auto"/>
                <w:sz w:val="24"/>
                <w:highlight w:val="none"/>
                <w:lang w:val="en-US" w:eastAsia="zh-CN"/>
              </w:rPr>
              <w:t>2</w:t>
            </w:r>
            <w:r>
              <w:rPr>
                <w:rFonts w:hint="eastAsia"/>
                <w:b/>
                <w:bCs/>
                <w:color w:val="auto"/>
                <w:sz w:val="24"/>
                <w:highlight w:val="none"/>
              </w:rPr>
              <w:t xml:space="preserve"> </w:t>
            </w:r>
            <w:r>
              <w:rPr>
                <w:b/>
                <w:bCs/>
                <w:color w:val="auto"/>
                <w:sz w:val="24"/>
                <w:highlight w:val="none"/>
              </w:rPr>
              <w:t xml:space="preserve"> </w:t>
            </w:r>
            <w:r>
              <w:rPr>
                <w:rFonts w:hint="eastAsia"/>
                <w:b/>
                <w:bCs/>
                <w:color w:val="auto"/>
                <w:sz w:val="24"/>
                <w:highlight w:val="none"/>
                <w:lang w:val="en-US" w:eastAsia="zh-CN"/>
              </w:rPr>
              <w:t>PVC连帮鞋</w:t>
            </w:r>
            <w:r>
              <w:rPr>
                <w:b/>
                <w:bCs/>
                <w:color w:val="auto"/>
                <w:sz w:val="24"/>
                <w:highlight w:val="none"/>
              </w:rPr>
              <w:t>生产工艺流程</w:t>
            </w:r>
            <w:r>
              <w:rPr>
                <w:rFonts w:hint="eastAsia"/>
                <w:b/>
                <w:bCs/>
                <w:color w:val="auto"/>
                <w:sz w:val="24"/>
                <w:highlight w:val="none"/>
              </w:rPr>
              <w:t>及产污节点</w:t>
            </w:r>
            <w:r>
              <w:rPr>
                <w:b/>
                <w:bCs/>
                <w:color w:val="auto"/>
                <w:sz w:val="24"/>
                <w:highlight w:val="none"/>
              </w:rPr>
              <w:t>图</w:t>
            </w:r>
          </w:p>
          <w:p w14:paraId="3709F116">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auto"/>
                <w:kern w:val="0"/>
                <w:sz w:val="24"/>
                <w:szCs w:val="24"/>
                <w:highlight w:val="none"/>
                <w:lang w:val="zh-CN" w:eastAsia="zh-CN" w:bidi="ar-SA"/>
              </w:rPr>
            </w:pPr>
            <w:r>
              <w:rPr>
                <w:rFonts w:hint="default" w:ascii="Times New Roman" w:hAnsi="Times New Roman" w:eastAsia="宋体" w:cs="Times New Roman"/>
                <w:b/>
                <w:bCs/>
                <w:color w:val="auto"/>
                <w:kern w:val="0"/>
                <w:sz w:val="24"/>
                <w:szCs w:val="24"/>
                <w:highlight w:val="none"/>
                <w:lang w:val="zh-CN" w:eastAsia="zh-CN" w:bidi="ar-SA"/>
              </w:rPr>
              <w:t>工艺流程简述：</w:t>
            </w:r>
          </w:p>
          <w:p w14:paraId="72D51C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snapToGrid w:val="0"/>
                <w:color w:val="auto"/>
                <w:kern w:val="0"/>
                <w:sz w:val="24"/>
                <w:szCs w:val="24"/>
                <w:highlight w:val="none"/>
                <w:lang w:val="en-US" w:eastAsia="zh-CN" w:bidi="ar-SA"/>
              </w:rPr>
            </w:pPr>
            <w:r>
              <w:rPr>
                <w:rFonts w:hint="eastAsia" w:ascii="Times New Roman" w:hAnsi="Times New Roman" w:eastAsia="宋体" w:cs="Times New Roman"/>
                <w:b w:val="0"/>
                <w:bCs w:val="0"/>
                <w:snapToGrid w:val="0"/>
                <w:color w:val="auto"/>
                <w:kern w:val="0"/>
                <w:sz w:val="24"/>
                <w:szCs w:val="24"/>
                <w:highlight w:val="none"/>
                <w:lang w:val="en-US" w:eastAsia="zh-CN" w:bidi="ar-SA"/>
              </w:rPr>
              <w:t>①裁剪缝制：将外购的P</w:t>
            </w:r>
            <w:r>
              <w:rPr>
                <w:rFonts w:hint="eastAsia" w:cs="Times New Roman"/>
                <w:b w:val="0"/>
                <w:bCs w:val="0"/>
                <w:snapToGrid w:val="0"/>
                <w:color w:val="auto"/>
                <w:kern w:val="0"/>
                <w:sz w:val="24"/>
                <w:szCs w:val="24"/>
                <w:highlight w:val="none"/>
                <w:lang w:val="en-US" w:eastAsia="zh-CN" w:bidi="ar-SA"/>
              </w:rPr>
              <w:t>VC</w:t>
            </w:r>
            <w:r>
              <w:rPr>
                <w:rFonts w:hint="eastAsia" w:ascii="Times New Roman" w:hAnsi="Times New Roman" w:eastAsia="宋体" w:cs="Times New Roman"/>
                <w:b w:val="0"/>
                <w:bCs w:val="0"/>
                <w:snapToGrid w:val="0"/>
                <w:color w:val="auto"/>
                <w:kern w:val="0"/>
                <w:sz w:val="24"/>
                <w:szCs w:val="24"/>
                <w:highlight w:val="none"/>
                <w:lang w:val="en-US" w:eastAsia="zh-CN" w:bidi="ar-SA"/>
              </w:rPr>
              <w:t>皮革经裁断机根据模具冲裁成指定形状，再经过缝纫机符合尺寸的鞋帮面。</w:t>
            </w:r>
            <w:r>
              <w:rPr>
                <w:rFonts w:hint="default" w:ascii="Times New Roman" w:hAnsi="Times New Roman" w:eastAsia="宋体" w:cs="Times New Roman"/>
                <w:b w:val="0"/>
                <w:bCs w:val="0"/>
                <w:snapToGrid w:val="0"/>
                <w:color w:val="auto"/>
                <w:kern w:val="0"/>
                <w:sz w:val="24"/>
                <w:szCs w:val="24"/>
                <w:highlight w:val="none"/>
                <w:lang w:val="zh-CN" w:eastAsia="zh-CN" w:bidi="ar-SA"/>
              </w:rPr>
              <w:t>此工序</w:t>
            </w:r>
            <w:r>
              <w:rPr>
                <w:rFonts w:hint="eastAsia" w:ascii="Times New Roman" w:hAnsi="Times New Roman" w:eastAsia="宋体" w:cs="Times New Roman"/>
                <w:b w:val="0"/>
                <w:bCs w:val="0"/>
                <w:snapToGrid w:val="0"/>
                <w:color w:val="auto"/>
                <w:kern w:val="0"/>
                <w:sz w:val="24"/>
                <w:szCs w:val="24"/>
                <w:highlight w:val="none"/>
                <w:lang w:val="en-US" w:eastAsia="zh-CN" w:bidi="ar-SA"/>
              </w:rPr>
              <w:t>主要产生皮</w:t>
            </w:r>
            <w:r>
              <w:rPr>
                <w:rFonts w:hint="eastAsia" w:cs="Times New Roman"/>
                <w:b w:val="0"/>
                <w:bCs w:val="0"/>
                <w:snapToGrid w:val="0"/>
                <w:color w:val="auto"/>
                <w:kern w:val="0"/>
                <w:sz w:val="24"/>
                <w:szCs w:val="24"/>
                <w:highlight w:val="none"/>
                <w:lang w:val="en-US" w:eastAsia="zh-CN" w:bidi="ar-SA"/>
              </w:rPr>
              <w:t>布</w:t>
            </w:r>
            <w:r>
              <w:rPr>
                <w:rFonts w:hint="eastAsia" w:ascii="Times New Roman" w:hAnsi="Times New Roman" w:eastAsia="宋体" w:cs="Times New Roman"/>
                <w:b w:val="0"/>
                <w:bCs w:val="0"/>
                <w:snapToGrid w:val="0"/>
                <w:color w:val="auto"/>
                <w:kern w:val="0"/>
                <w:sz w:val="24"/>
                <w:szCs w:val="24"/>
                <w:highlight w:val="none"/>
                <w:lang w:val="en-US" w:eastAsia="zh-CN" w:bidi="ar-SA"/>
              </w:rPr>
              <w:t>边角料S1-1和设备噪声N。</w:t>
            </w:r>
          </w:p>
          <w:p w14:paraId="5F381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snapToGrid w:val="0"/>
                <w:color w:val="auto"/>
                <w:kern w:val="0"/>
                <w:sz w:val="24"/>
                <w:szCs w:val="24"/>
                <w:highlight w:val="none"/>
                <w:lang w:val="en-US" w:eastAsia="zh-CN" w:bidi="ar-SA"/>
              </w:rPr>
            </w:pPr>
            <w:r>
              <w:rPr>
                <w:rFonts w:hint="eastAsia" w:ascii="Times New Roman" w:hAnsi="Times New Roman" w:eastAsia="宋体" w:cs="Times New Roman"/>
                <w:b w:val="0"/>
                <w:bCs w:val="0"/>
                <w:snapToGrid w:val="0"/>
                <w:color w:val="auto"/>
                <w:kern w:val="0"/>
                <w:sz w:val="24"/>
                <w:szCs w:val="24"/>
                <w:highlight w:val="none"/>
                <w:lang w:val="en-US" w:eastAsia="zh-CN" w:bidi="ar-SA"/>
              </w:rPr>
              <w:t>②搅拌</w:t>
            </w:r>
            <w:r>
              <w:rPr>
                <w:rFonts w:hint="default" w:ascii="Times New Roman" w:hAnsi="Times New Roman" w:eastAsia="宋体" w:cs="Times New Roman"/>
                <w:b w:val="0"/>
                <w:bCs w:val="0"/>
                <w:snapToGrid w:val="0"/>
                <w:color w:val="auto"/>
                <w:kern w:val="0"/>
                <w:sz w:val="24"/>
                <w:szCs w:val="24"/>
                <w:highlight w:val="none"/>
                <w:lang w:val="zh-CN" w:eastAsia="zh-CN" w:bidi="ar-SA"/>
              </w:rPr>
              <w:t>：</w:t>
            </w:r>
            <w:r>
              <w:rPr>
                <w:rFonts w:hint="eastAsia" w:ascii="Times New Roman" w:hAnsi="Times New Roman" w:eastAsia="宋体" w:cs="Times New Roman"/>
                <w:b w:val="0"/>
                <w:bCs w:val="0"/>
                <w:snapToGrid w:val="0"/>
                <w:color w:val="auto"/>
                <w:kern w:val="0"/>
                <w:sz w:val="24"/>
                <w:szCs w:val="24"/>
                <w:highlight w:val="none"/>
                <w:lang w:val="en-US" w:eastAsia="zh-CN" w:bidi="ar-SA"/>
              </w:rPr>
              <w:t>将外购的袋装PVC树脂粉、碳酸钙和桶装增塑剂（DOP）</w:t>
            </w:r>
            <w:r>
              <w:rPr>
                <w:rFonts w:hint="eastAsia" w:cs="Times New Roman"/>
                <w:b w:val="0"/>
                <w:bCs w:val="0"/>
                <w:snapToGrid w:val="0"/>
                <w:color w:val="auto"/>
                <w:kern w:val="0"/>
                <w:sz w:val="24"/>
                <w:szCs w:val="24"/>
                <w:highlight w:val="none"/>
                <w:lang w:val="en-US" w:eastAsia="zh-CN" w:bidi="ar-SA"/>
              </w:rPr>
              <w:t>先运至原料库、化学品库储存，再</w:t>
            </w:r>
            <w:r>
              <w:rPr>
                <w:rFonts w:hint="eastAsia" w:ascii="Times New Roman" w:hAnsi="Times New Roman" w:eastAsia="宋体" w:cs="Times New Roman"/>
                <w:b w:val="0"/>
                <w:bCs w:val="0"/>
                <w:snapToGrid w:val="0"/>
                <w:color w:val="auto"/>
                <w:kern w:val="0"/>
                <w:sz w:val="24"/>
                <w:szCs w:val="24"/>
                <w:highlight w:val="none"/>
                <w:lang w:val="en-US" w:eastAsia="zh-CN" w:bidi="ar-SA"/>
              </w:rPr>
              <w:t>运送至拌料间，原料拆封后按照1:1:1配比投入搅拌罐中进行预混塑化。物料混合后电加热搅拌罐至80℃，搅拌过程中保持密闭状态，拌合后物料为液态</w:t>
            </w:r>
            <w:r>
              <w:rPr>
                <w:rFonts w:hint="default" w:ascii="Times New Roman" w:hAnsi="Times New Roman" w:eastAsia="宋体" w:cs="Times New Roman"/>
                <w:b w:val="0"/>
                <w:bCs w:val="0"/>
                <w:snapToGrid w:val="0"/>
                <w:color w:val="auto"/>
                <w:kern w:val="0"/>
                <w:sz w:val="24"/>
                <w:szCs w:val="24"/>
                <w:highlight w:val="none"/>
                <w:lang w:val="zh-CN" w:eastAsia="zh-CN" w:bidi="ar-SA"/>
              </w:rPr>
              <w:t>。</w:t>
            </w:r>
            <w:r>
              <w:rPr>
                <w:rFonts w:hint="eastAsia" w:ascii="Times New Roman" w:hAnsi="Times New Roman" w:eastAsia="宋体" w:cs="Times New Roman"/>
                <w:b w:val="0"/>
                <w:bCs w:val="0"/>
                <w:snapToGrid w:val="0"/>
                <w:color w:val="auto"/>
                <w:kern w:val="0"/>
                <w:sz w:val="24"/>
                <w:szCs w:val="24"/>
                <w:highlight w:val="none"/>
                <w:lang w:val="en-US" w:eastAsia="zh-CN" w:bidi="ar-SA"/>
              </w:rPr>
              <w:t>DOP沸点温度较高</w:t>
            </w:r>
            <w:r>
              <w:rPr>
                <w:rFonts w:hint="eastAsia" w:ascii="Times New Roman" w:hAnsi="Times New Roman" w:eastAsia="宋体" w:cs="Times New Roman"/>
                <w:b w:val="0"/>
                <w:bCs w:val="0"/>
                <w:snapToGrid w:val="0"/>
                <w:color w:val="auto"/>
                <w:kern w:val="0"/>
                <w:sz w:val="24"/>
                <w:szCs w:val="24"/>
                <w:highlight w:val="none"/>
                <w:lang w:val="zh-CN" w:eastAsia="zh-CN" w:bidi="ar-SA"/>
              </w:rPr>
              <w:t>，</w:t>
            </w:r>
            <w:r>
              <w:rPr>
                <w:rFonts w:hint="default" w:ascii="Times New Roman" w:hAnsi="Times New Roman" w:eastAsia="宋体" w:cs="Times New Roman"/>
                <w:b w:val="0"/>
                <w:bCs w:val="0"/>
                <w:snapToGrid w:val="0"/>
                <w:color w:val="auto"/>
                <w:kern w:val="0"/>
                <w:sz w:val="24"/>
                <w:szCs w:val="24"/>
                <w:highlight w:val="none"/>
                <w:lang w:val="zh-CN" w:eastAsia="zh-CN" w:bidi="ar-SA"/>
              </w:rPr>
              <w:t>此工序</w:t>
            </w:r>
            <w:r>
              <w:rPr>
                <w:rFonts w:hint="eastAsia" w:ascii="Times New Roman" w:hAnsi="Times New Roman" w:eastAsia="宋体" w:cs="Times New Roman"/>
                <w:b w:val="0"/>
                <w:bCs w:val="0"/>
                <w:snapToGrid w:val="0"/>
                <w:color w:val="auto"/>
                <w:kern w:val="0"/>
                <w:sz w:val="24"/>
                <w:szCs w:val="24"/>
                <w:highlight w:val="none"/>
                <w:lang w:val="en-US" w:eastAsia="zh-CN" w:bidi="ar-SA"/>
              </w:rPr>
              <w:t>主要</w:t>
            </w:r>
            <w:r>
              <w:rPr>
                <w:rFonts w:hint="default" w:ascii="Times New Roman" w:hAnsi="Times New Roman" w:eastAsia="宋体" w:cs="Times New Roman"/>
                <w:b w:val="0"/>
                <w:bCs w:val="0"/>
                <w:snapToGrid w:val="0"/>
                <w:color w:val="auto"/>
                <w:kern w:val="0"/>
                <w:sz w:val="24"/>
                <w:szCs w:val="24"/>
                <w:highlight w:val="none"/>
                <w:lang w:val="zh-CN" w:eastAsia="zh-CN" w:bidi="ar-SA"/>
              </w:rPr>
              <w:t>产生</w:t>
            </w:r>
            <w:r>
              <w:rPr>
                <w:rFonts w:hint="eastAsia" w:ascii="Times New Roman" w:hAnsi="Times New Roman" w:eastAsia="宋体" w:cs="Times New Roman"/>
                <w:b w:val="0"/>
                <w:bCs w:val="0"/>
                <w:snapToGrid w:val="0"/>
                <w:color w:val="auto"/>
                <w:kern w:val="0"/>
                <w:sz w:val="24"/>
                <w:szCs w:val="24"/>
                <w:highlight w:val="none"/>
                <w:lang w:val="en-US" w:eastAsia="zh-CN" w:bidi="ar-SA"/>
              </w:rPr>
              <w:t>投料粉尘G1-1、废包装袋S1-2、废包装桶S1-3和设备噪声N。</w:t>
            </w:r>
          </w:p>
          <w:p w14:paraId="658D4B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snapToGrid w:val="0"/>
                <w:color w:val="auto"/>
                <w:kern w:val="0"/>
                <w:sz w:val="24"/>
                <w:szCs w:val="24"/>
                <w:highlight w:val="none"/>
                <w:lang w:val="en-US" w:eastAsia="zh-CN" w:bidi="ar-SA"/>
              </w:rPr>
            </w:pPr>
            <w:r>
              <w:rPr>
                <w:rFonts w:hint="eastAsia" w:ascii="Times New Roman" w:hAnsi="Times New Roman" w:eastAsia="宋体" w:cs="Times New Roman"/>
                <w:b w:val="0"/>
                <w:bCs w:val="0"/>
                <w:snapToGrid w:val="0"/>
                <w:color w:val="auto"/>
                <w:kern w:val="0"/>
                <w:sz w:val="24"/>
                <w:szCs w:val="24"/>
                <w:highlight w:val="none"/>
                <w:lang w:val="en-US" w:eastAsia="zh-CN" w:bidi="ar-SA"/>
              </w:rPr>
              <w:t>DOP增塑PVC原理：在温度升高时，DOP分子插入到PVC分子链间，DOP的极性酯基与PVC的极性基团“相互作用”，彼此能很好地互溶，不相排斥，从而使PVC大分子间作用力减弱，塑性增加。</w:t>
            </w:r>
          </w:p>
          <w:p w14:paraId="78F5D9FB">
            <w:pPr>
              <w:pStyle w:val="59"/>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③上模具：将模具在注塑工作台上固定好，然后将制好的鞋帮面放置在模具中设定的位置。</w:t>
            </w:r>
          </w:p>
          <w:p w14:paraId="52164E5F">
            <w:pPr>
              <w:pStyle w:val="59"/>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④连帮注塑：</w:t>
            </w:r>
            <w:r>
              <w:rPr>
                <w:rFonts w:hint="eastAsia" w:ascii="Times New Roman" w:hAnsi="Times New Roman" w:eastAsia="宋体" w:cs="Times New Roman"/>
                <w:b w:val="0"/>
                <w:bCs w:val="0"/>
                <w:color w:val="auto"/>
                <w:kern w:val="0"/>
                <w:sz w:val="24"/>
                <w:szCs w:val="24"/>
                <w:highlight w:val="none"/>
                <w:lang w:val="en-US" w:eastAsia="zh-CN" w:bidi="ar-SA"/>
              </w:rPr>
              <w:t>混合好的物料</w:t>
            </w:r>
            <w:r>
              <w:rPr>
                <w:rFonts w:hint="eastAsia" w:cs="Times New Roman"/>
                <w:b w:val="0"/>
                <w:bCs w:val="0"/>
                <w:color w:val="auto"/>
                <w:kern w:val="0"/>
                <w:sz w:val="24"/>
                <w:szCs w:val="24"/>
                <w:highlight w:val="none"/>
                <w:lang w:val="en-US" w:eastAsia="zh-CN" w:bidi="ar-SA"/>
              </w:rPr>
              <w:t>桶装运至</w:t>
            </w:r>
            <w:r>
              <w:rPr>
                <w:rFonts w:hint="eastAsia" w:cs="Times New Roman"/>
                <w:b w:val="0"/>
                <w:bCs w:val="0"/>
                <w:color w:val="auto"/>
                <w:highlight w:val="none"/>
                <w:lang w:val="en-US" w:eastAsia="zh-CN"/>
              </w:rPr>
              <w:t>圆盘注塑机，经密闭管道抽入料筒进入螺杆热熔后进入模具成型，电加热</w:t>
            </w:r>
            <w:r>
              <w:rPr>
                <w:rFonts w:hint="eastAsia" w:ascii="Times New Roman" w:hAnsi="Times New Roman" w:eastAsia="宋体" w:cs="Times New Roman"/>
                <w:b w:val="0"/>
                <w:bCs w:val="0"/>
                <w:color w:val="auto"/>
                <w:kern w:val="0"/>
                <w:sz w:val="24"/>
                <w:szCs w:val="24"/>
                <w:highlight w:val="none"/>
                <w:lang w:val="en-US" w:eastAsia="zh-CN" w:bidi="ar-SA"/>
              </w:rPr>
              <w:t>温度控制在</w:t>
            </w:r>
            <w:r>
              <w:rPr>
                <w:rFonts w:hint="default" w:ascii="Times New Roman" w:hAnsi="Times New Roman" w:eastAsia="宋体" w:cs="Times New Roman"/>
                <w:b w:val="0"/>
                <w:bCs w:val="0"/>
                <w:color w:val="auto"/>
                <w:kern w:val="0"/>
                <w:sz w:val="24"/>
                <w:szCs w:val="24"/>
                <w:highlight w:val="none"/>
                <w:lang w:val="en-US" w:eastAsia="zh-CN" w:bidi="ar-SA"/>
              </w:rPr>
              <w:t>1</w:t>
            </w:r>
            <w:r>
              <w:rPr>
                <w:rFonts w:hint="eastAsia" w:cs="Times New Roman"/>
                <w:b w:val="0"/>
                <w:bCs w:val="0"/>
                <w:color w:val="auto"/>
                <w:kern w:val="0"/>
                <w:sz w:val="24"/>
                <w:szCs w:val="24"/>
                <w:highlight w:val="none"/>
                <w:lang w:val="en-US" w:eastAsia="zh-CN" w:bidi="ar-SA"/>
              </w:rPr>
              <w:t>5</w:t>
            </w:r>
            <w:r>
              <w:rPr>
                <w:rFonts w:hint="default" w:ascii="Times New Roman" w:hAnsi="Times New Roman" w:eastAsia="宋体" w:cs="Times New Roman"/>
                <w:b w:val="0"/>
                <w:bCs w:val="0"/>
                <w:color w:val="auto"/>
                <w:kern w:val="0"/>
                <w:sz w:val="24"/>
                <w:szCs w:val="24"/>
                <w:highlight w:val="none"/>
                <w:lang w:val="en-US" w:eastAsia="zh-CN" w:bidi="ar-SA"/>
              </w:rPr>
              <w:t>0</w:t>
            </w:r>
            <w:r>
              <w:rPr>
                <w:rFonts w:hint="eastAsia" w:ascii="Times New Roman" w:hAnsi="Times New Roman" w:eastAsia="宋体" w:cs="Times New Roman"/>
                <w:b w:val="0"/>
                <w:bCs w:val="0"/>
                <w:color w:val="auto"/>
                <w:kern w:val="0"/>
                <w:sz w:val="24"/>
                <w:szCs w:val="24"/>
                <w:highlight w:val="none"/>
                <w:lang w:val="en-US" w:eastAsia="zh-CN" w:bidi="ar-SA"/>
              </w:rPr>
              <w:t>℃左右</w:t>
            </w:r>
            <w:r>
              <w:rPr>
                <w:rFonts w:hint="eastAsia" w:cs="Times New Roman"/>
                <w:b w:val="0"/>
                <w:bCs w:val="0"/>
                <w:color w:val="auto"/>
                <w:kern w:val="0"/>
                <w:sz w:val="24"/>
                <w:szCs w:val="24"/>
                <w:highlight w:val="none"/>
                <w:lang w:val="en-US" w:eastAsia="zh-CN" w:bidi="ar-SA"/>
              </w:rPr>
              <w:t>，同时模具腔内通入循环冷却水间接冷却模具。</w:t>
            </w:r>
            <w:r>
              <w:rPr>
                <w:rFonts w:hint="default" w:cs="Times New Roman"/>
                <w:b w:val="0"/>
                <w:bCs w:val="0"/>
                <w:color w:val="auto"/>
                <w:kern w:val="0"/>
                <w:sz w:val="24"/>
                <w:szCs w:val="24"/>
                <w:highlight w:val="none"/>
                <w:lang w:val="zh-CN" w:eastAsia="zh-CN" w:bidi="ar-SA"/>
              </w:rPr>
              <w:t>此</w:t>
            </w:r>
            <w:r>
              <w:rPr>
                <w:rFonts w:hint="default" w:ascii="Times New Roman" w:hAnsi="Times New Roman" w:eastAsia="宋体" w:cs="Times New Roman"/>
                <w:b w:val="0"/>
                <w:bCs w:val="0"/>
                <w:color w:val="auto"/>
                <w:kern w:val="0"/>
                <w:sz w:val="24"/>
                <w:szCs w:val="24"/>
                <w:highlight w:val="none"/>
                <w:lang w:val="zh-CN" w:eastAsia="zh-CN" w:bidi="ar-SA"/>
              </w:rPr>
              <w:t>工序</w:t>
            </w:r>
            <w:r>
              <w:rPr>
                <w:rFonts w:hint="eastAsia" w:cs="Times New Roman"/>
                <w:b w:val="0"/>
                <w:bCs w:val="0"/>
                <w:color w:val="auto"/>
                <w:kern w:val="0"/>
                <w:sz w:val="24"/>
                <w:szCs w:val="24"/>
                <w:highlight w:val="none"/>
                <w:lang w:val="en-US" w:eastAsia="zh-CN" w:bidi="ar-SA"/>
              </w:rPr>
              <w:t>主要</w:t>
            </w:r>
            <w:r>
              <w:rPr>
                <w:rFonts w:hint="default" w:ascii="Times New Roman" w:hAnsi="Times New Roman" w:eastAsia="宋体" w:cs="Times New Roman"/>
                <w:b w:val="0"/>
                <w:bCs w:val="0"/>
                <w:color w:val="auto"/>
                <w:kern w:val="0"/>
                <w:sz w:val="24"/>
                <w:szCs w:val="24"/>
                <w:highlight w:val="none"/>
                <w:lang w:val="zh-CN" w:eastAsia="zh-CN" w:bidi="ar-SA"/>
              </w:rPr>
              <w:t>产生</w:t>
            </w:r>
            <w:r>
              <w:rPr>
                <w:rFonts w:hint="eastAsia" w:cs="Times New Roman"/>
                <w:b w:val="0"/>
                <w:bCs w:val="0"/>
                <w:color w:val="auto"/>
                <w:kern w:val="0"/>
                <w:sz w:val="24"/>
                <w:szCs w:val="24"/>
                <w:highlight w:val="none"/>
                <w:lang w:val="en-US" w:eastAsia="zh-CN" w:bidi="ar-SA"/>
              </w:rPr>
              <w:t>注塑废气G1-2</w:t>
            </w:r>
            <w:r>
              <w:rPr>
                <w:rFonts w:hint="eastAsia" w:ascii="Times New Roman" w:hAnsi="Times New Roman" w:eastAsia="宋体" w:cs="Times New Roman"/>
                <w:b w:val="0"/>
                <w:bCs w:val="0"/>
                <w:color w:val="auto"/>
                <w:kern w:val="0"/>
                <w:sz w:val="24"/>
                <w:szCs w:val="24"/>
                <w:highlight w:val="none"/>
                <w:lang w:val="en-US" w:eastAsia="zh-CN" w:bidi="ar-SA"/>
              </w:rPr>
              <w:t>和设备噪声N。</w:t>
            </w:r>
          </w:p>
          <w:p w14:paraId="28B55471">
            <w:pPr>
              <w:pStyle w:val="59"/>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⑤脱模：待模具自然冷却，固化后取出成型的注塑鞋。</w:t>
            </w:r>
          </w:p>
          <w:p w14:paraId="11F8A645">
            <w:pPr>
              <w:pStyle w:val="59"/>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⑥修边：注模后鞋底较为粗糙，需采取人工手动</w:t>
            </w:r>
            <w:r>
              <w:rPr>
                <w:rFonts w:hint="eastAsia"/>
                <w:color w:val="auto"/>
                <w:sz w:val="24"/>
                <w:szCs w:val="24"/>
                <w:highlight w:val="none"/>
              </w:rPr>
              <w:t>对鞋底进行修边，清除鞋底边缘上的溢料和毛刺</w:t>
            </w:r>
            <w:r>
              <w:rPr>
                <w:rFonts w:hint="eastAsia" w:cs="Times New Roman"/>
                <w:b w:val="0"/>
                <w:bCs w:val="0"/>
                <w:color w:val="auto"/>
                <w:highlight w:val="none"/>
                <w:lang w:val="en-US" w:eastAsia="zh-CN"/>
              </w:rPr>
              <w:t>。此工序</w:t>
            </w:r>
            <w:r>
              <w:rPr>
                <w:rFonts w:hint="eastAsia" w:cs="Times New Roman"/>
                <w:b w:val="0"/>
                <w:bCs w:val="0"/>
                <w:color w:val="auto"/>
                <w:kern w:val="0"/>
                <w:sz w:val="24"/>
                <w:szCs w:val="24"/>
                <w:highlight w:val="none"/>
                <w:lang w:val="en-US" w:eastAsia="zh-CN" w:bidi="ar-SA"/>
              </w:rPr>
              <w:t>主要</w:t>
            </w:r>
            <w:r>
              <w:rPr>
                <w:rFonts w:hint="default" w:ascii="Times New Roman" w:hAnsi="Times New Roman" w:eastAsia="宋体" w:cs="Times New Roman"/>
                <w:b w:val="0"/>
                <w:bCs w:val="0"/>
                <w:color w:val="auto"/>
                <w:kern w:val="0"/>
                <w:sz w:val="24"/>
                <w:szCs w:val="24"/>
                <w:highlight w:val="none"/>
                <w:lang w:val="zh-CN" w:eastAsia="zh-CN" w:bidi="ar-SA"/>
              </w:rPr>
              <w:t>产生</w:t>
            </w:r>
            <w:r>
              <w:rPr>
                <w:rFonts w:hint="eastAsia" w:cs="Times New Roman"/>
                <w:b w:val="0"/>
                <w:bCs w:val="0"/>
                <w:color w:val="auto"/>
                <w:kern w:val="0"/>
                <w:sz w:val="24"/>
                <w:szCs w:val="24"/>
                <w:highlight w:val="none"/>
                <w:lang w:val="en-US" w:eastAsia="zh-CN" w:bidi="ar-SA"/>
              </w:rPr>
              <w:t>树脂</w:t>
            </w:r>
            <w:r>
              <w:rPr>
                <w:rFonts w:hint="eastAsia" w:cs="Times New Roman"/>
                <w:b w:val="0"/>
                <w:bCs w:val="0"/>
                <w:color w:val="auto"/>
                <w:highlight w:val="none"/>
                <w:lang w:val="en-US" w:eastAsia="zh-CN"/>
              </w:rPr>
              <w:t>边角料S1-4。</w:t>
            </w:r>
          </w:p>
          <w:p w14:paraId="4854300D">
            <w:pPr>
              <w:pStyle w:val="59"/>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⑦检验、包装入库：</w:t>
            </w:r>
            <w:r>
              <w:rPr>
                <w:rFonts w:hint="default" w:ascii="Times New Roman" w:hAnsi="Times New Roman" w:eastAsia="宋体" w:cs="Times New Roman"/>
                <w:b w:val="0"/>
                <w:bCs w:val="0"/>
                <w:color w:val="auto"/>
                <w:kern w:val="0"/>
                <w:sz w:val="24"/>
                <w:szCs w:val="24"/>
                <w:highlight w:val="none"/>
                <w:lang w:val="zh-CN" w:eastAsia="zh-CN" w:bidi="ar-SA"/>
              </w:rPr>
              <w:t>对最终产品进行</w:t>
            </w:r>
            <w:r>
              <w:rPr>
                <w:rFonts w:hint="eastAsia" w:cs="Times New Roman"/>
                <w:b w:val="0"/>
                <w:bCs w:val="0"/>
                <w:color w:val="auto"/>
                <w:kern w:val="2"/>
                <w:sz w:val="24"/>
                <w:szCs w:val="24"/>
                <w:highlight w:val="none"/>
                <w:lang w:val="en-US" w:eastAsia="zh-CN" w:bidi="ar-SA"/>
              </w:rPr>
              <w:t>人工检验外观，检验合格包装后送入成品库。</w:t>
            </w:r>
            <w:r>
              <w:rPr>
                <w:rFonts w:hint="eastAsia" w:cs="Times New Roman"/>
                <w:b w:val="0"/>
                <w:bCs w:val="0"/>
                <w:color w:val="auto"/>
                <w:highlight w:val="none"/>
                <w:lang w:val="en-US" w:eastAsia="zh-CN"/>
              </w:rPr>
              <w:t>此工序</w:t>
            </w:r>
            <w:r>
              <w:rPr>
                <w:rFonts w:hint="eastAsia" w:cs="Times New Roman"/>
                <w:b w:val="0"/>
                <w:bCs w:val="0"/>
                <w:color w:val="auto"/>
                <w:kern w:val="0"/>
                <w:sz w:val="24"/>
                <w:szCs w:val="24"/>
                <w:highlight w:val="none"/>
                <w:lang w:val="en-US" w:eastAsia="zh-CN" w:bidi="ar-SA"/>
              </w:rPr>
              <w:t>主要</w:t>
            </w:r>
            <w:r>
              <w:rPr>
                <w:rFonts w:hint="default" w:ascii="Times New Roman" w:hAnsi="Times New Roman" w:eastAsia="宋体" w:cs="Times New Roman"/>
                <w:b w:val="0"/>
                <w:bCs w:val="0"/>
                <w:color w:val="auto"/>
                <w:kern w:val="0"/>
                <w:sz w:val="24"/>
                <w:szCs w:val="24"/>
                <w:highlight w:val="none"/>
                <w:lang w:val="zh-CN" w:eastAsia="zh-CN" w:bidi="ar-SA"/>
              </w:rPr>
              <w:t>产生</w:t>
            </w:r>
            <w:r>
              <w:rPr>
                <w:rFonts w:hint="eastAsia" w:cs="Times New Roman"/>
                <w:b w:val="0"/>
                <w:bCs w:val="0"/>
                <w:color w:val="auto"/>
                <w:kern w:val="0"/>
                <w:sz w:val="24"/>
                <w:szCs w:val="24"/>
                <w:highlight w:val="none"/>
                <w:lang w:val="en-US" w:eastAsia="zh-CN" w:bidi="ar-SA"/>
              </w:rPr>
              <w:t>不合格品</w:t>
            </w:r>
            <w:r>
              <w:rPr>
                <w:rFonts w:hint="eastAsia" w:cs="Times New Roman"/>
                <w:b w:val="0"/>
                <w:bCs w:val="0"/>
                <w:color w:val="auto"/>
                <w:highlight w:val="none"/>
                <w:lang w:val="en-US" w:eastAsia="zh-CN"/>
              </w:rPr>
              <w:t>S1-5。</w:t>
            </w:r>
          </w:p>
          <w:p w14:paraId="68EBD30D">
            <w:pPr>
              <w:pStyle w:val="59"/>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cs="Times New Roman"/>
                <w:b w:val="0"/>
                <w:bCs w:val="0"/>
                <w:color w:val="auto"/>
                <w:highlight w:val="none"/>
                <w:lang w:val="en-US" w:eastAsia="zh-CN"/>
              </w:rPr>
              <w:t>⑧破碎：</w:t>
            </w:r>
            <w:r>
              <w:rPr>
                <w:rFonts w:hint="eastAsia" w:cs="Times New Roman"/>
                <w:b w:val="0"/>
                <w:bCs w:val="0"/>
                <w:color w:val="auto"/>
                <w:kern w:val="2"/>
                <w:sz w:val="24"/>
                <w:szCs w:val="24"/>
                <w:highlight w:val="none"/>
                <w:lang w:val="en-US" w:eastAsia="zh-CN" w:bidi="ar-SA"/>
              </w:rPr>
              <w:t>产生的树脂边角料和不合格品经收集后送入粉碎机进行破碎磨粉，破碎磨粉后经搅拌罐回用于生产。此工序主要产生G1-3破碎粉尘和噪声N</w:t>
            </w:r>
            <w:r>
              <w:rPr>
                <w:rFonts w:hint="eastAsia" w:ascii="Times New Roman" w:hAnsi="Times New Roman" w:eastAsia="宋体" w:cs="Times New Roman"/>
                <w:b w:val="0"/>
                <w:bCs w:val="0"/>
                <w:color w:val="auto"/>
                <w:kern w:val="0"/>
                <w:sz w:val="24"/>
                <w:szCs w:val="24"/>
                <w:highlight w:val="none"/>
                <w:lang w:val="en-US" w:eastAsia="zh-CN" w:bidi="ar-SA"/>
              </w:rPr>
              <w:t>。</w:t>
            </w:r>
          </w:p>
          <w:p w14:paraId="2AB8CFE7">
            <w:pPr>
              <w:pStyle w:val="59"/>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eastAsia" w:cs="Times New Roman"/>
                <w:b/>
                <w:bCs/>
                <w:color w:val="auto"/>
                <w:kern w:val="0"/>
                <w:sz w:val="24"/>
                <w:szCs w:val="24"/>
                <w:highlight w:val="none"/>
                <w:lang w:val="en-US" w:eastAsia="zh-CN" w:bidi="ar-SA"/>
              </w:rPr>
              <w:t>注：注塑工序所用模具均为外购，损坏的模具委外修理。</w:t>
            </w:r>
          </w:p>
          <w:p w14:paraId="51ADCFB6">
            <w:pPr>
              <w:pStyle w:val="59"/>
              <w:keepNext w:val="0"/>
              <w:keepLines w:val="0"/>
              <w:pageBreakBefore w:val="0"/>
              <w:widowControl w:val="0"/>
              <w:numPr>
                <w:ilvl w:val="0"/>
                <w:numId w:val="5"/>
              </w:numPr>
              <w:suppressLineNumbers w:val="0"/>
              <w:kinsoku/>
              <w:wordWrap/>
              <w:overflowPunct/>
              <w:topLinePunct w:val="0"/>
              <w:bidi w:val="0"/>
              <w:snapToGrid/>
              <w:spacing w:before="0" w:beforeAutospacing="0" w:after="0" w:afterAutospacing="0" w:line="360" w:lineRule="auto"/>
              <w:ind w:left="0" w:right="0" w:firstLine="482" w:firstLineChars="200"/>
              <w:textAlignment w:val="auto"/>
              <w:rPr>
                <w:rFonts w:hint="eastAsia" w:cs="Times New Roman"/>
                <w:b/>
                <w:bCs/>
                <w:color w:val="auto"/>
                <w:highlight w:val="none"/>
                <w:lang w:val="en-US" w:eastAsia="zh-CN"/>
              </w:rPr>
            </w:pPr>
            <w:r>
              <w:rPr>
                <w:rFonts w:hint="eastAsia" w:cs="Times New Roman"/>
                <w:b/>
                <w:bCs/>
                <w:color w:val="auto"/>
                <w:highlight w:val="none"/>
                <w:lang w:val="en-US" w:eastAsia="zh-CN"/>
              </w:rPr>
              <w:t>聚氨酯连帮鞋</w:t>
            </w:r>
          </w:p>
          <w:p w14:paraId="23301BEA">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object>
                <v:shape id="_x0000_i1026" o:spt="75" type="#_x0000_t75" style="height:514pt;width:399.3pt;" o:ole="t" filled="f" o:preferrelative="t" stroked="f" coordsize="21600,21600">
                  <v:path/>
                  <v:fill on="f" focussize="0,0"/>
                  <v:stroke on="f"/>
                  <v:imagedata r:id="rId15" o:title=""/>
                  <o:lock v:ext="edit" aspectratio="f"/>
                  <w10:wrap type="none"/>
                  <w10:anchorlock/>
                </v:shape>
                <o:OLEObject Type="Embed" ProgID="Visio.Drawing.15" ShapeID="_x0000_i1026" DrawAspect="Content" ObjectID="_1468075726" r:id="rId14">
                  <o:LockedField>false</o:LockedField>
                </o:OLEObject>
              </w:object>
            </w:r>
          </w:p>
          <w:p w14:paraId="5683CE63">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snapToGrid w:val="0"/>
                <w:color w:val="auto"/>
                <w:kern w:val="0"/>
                <w:sz w:val="21"/>
                <w:szCs w:val="21"/>
                <w:highlight w:val="none"/>
                <w:lang w:val="zh-CN" w:eastAsia="zh-CN" w:bidi="ar-SA"/>
              </w:rPr>
            </w:pPr>
            <w:r>
              <w:rPr>
                <w:rFonts w:hint="default" w:ascii="Times New Roman" w:hAnsi="Times New Roman" w:eastAsia="宋体" w:cs="Times New Roman"/>
                <w:snapToGrid w:val="0"/>
                <w:color w:val="auto"/>
                <w:kern w:val="0"/>
                <w:sz w:val="21"/>
                <w:szCs w:val="21"/>
                <w:highlight w:val="none"/>
                <w:lang w:val="zh-CN" w:eastAsia="zh-CN" w:bidi="ar-SA"/>
              </w:rPr>
              <w:t>注：G2-1 脱模剂废气、G2-2 浇注废气；W2-1 清洗废液；S2-1 皮布边角料、S2-2 废包装桶、</w:t>
            </w:r>
            <w:r>
              <w:rPr>
                <w:rFonts w:hint="eastAsia" w:cs="Times New Roman"/>
                <w:snapToGrid w:val="0"/>
                <w:color w:val="auto"/>
                <w:kern w:val="0"/>
                <w:sz w:val="21"/>
                <w:szCs w:val="21"/>
                <w:highlight w:val="none"/>
                <w:lang w:val="en-US" w:eastAsia="zh-CN" w:bidi="ar-SA"/>
              </w:rPr>
              <w:t>S2-3 废清洗液</w:t>
            </w:r>
            <w:r>
              <w:rPr>
                <w:rFonts w:hint="eastAsia" w:cs="Times New Roman"/>
                <w:snapToGrid w:val="0"/>
                <w:color w:val="auto"/>
                <w:kern w:val="0"/>
                <w:sz w:val="21"/>
                <w:szCs w:val="21"/>
                <w:highlight w:val="none"/>
                <w:lang w:val="zh-CN" w:eastAsia="zh-CN" w:bidi="ar-SA"/>
              </w:rPr>
              <w:t>、</w:t>
            </w:r>
            <w:r>
              <w:rPr>
                <w:rFonts w:hint="default" w:ascii="Times New Roman" w:hAnsi="Times New Roman" w:eastAsia="宋体" w:cs="Times New Roman"/>
                <w:snapToGrid w:val="0"/>
                <w:color w:val="auto"/>
                <w:kern w:val="0"/>
                <w:sz w:val="21"/>
                <w:szCs w:val="21"/>
                <w:highlight w:val="none"/>
                <w:lang w:val="zh-CN" w:eastAsia="zh-CN" w:bidi="ar-SA"/>
              </w:rPr>
              <w:t>S2-</w:t>
            </w:r>
            <w:r>
              <w:rPr>
                <w:rFonts w:hint="eastAsia" w:cs="Times New Roman"/>
                <w:snapToGrid w:val="0"/>
                <w:color w:val="auto"/>
                <w:kern w:val="0"/>
                <w:sz w:val="21"/>
                <w:szCs w:val="21"/>
                <w:highlight w:val="none"/>
                <w:lang w:val="en-US" w:eastAsia="zh-CN" w:bidi="ar-SA"/>
              </w:rPr>
              <w:t>4</w:t>
            </w:r>
            <w:r>
              <w:rPr>
                <w:rFonts w:hint="default" w:ascii="Times New Roman" w:hAnsi="Times New Roman" w:eastAsia="宋体" w:cs="Times New Roman"/>
                <w:snapToGrid w:val="0"/>
                <w:color w:val="auto"/>
                <w:kern w:val="0"/>
                <w:sz w:val="21"/>
                <w:szCs w:val="21"/>
                <w:highlight w:val="none"/>
                <w:lang w:val="zh-CN" w:eastAsia="zh-CN" w:bidi="ar-SA"/>
              </w:rPr>
              <w:t xml:space="preserve"> 树脂边角料、S2-</w:t>
            </w:r>
            <w:r>
              <w:rPr>
                <w:rFonts w:hint="eastAsia" w:cs="Times New Roman"/>
                <w:snapToGrid w:val="0"/>
                <w:color w:val="auto"/>
                <w:kern w:val="0"/>
                <w:sz w:val="21"/>
                <w:szCs w:val="21"/>
                <w:highlight w:val="none"/>
                <w:lang w:val="en-US" w:eastAsia="zh-CN" w:bidi="ar-SA"/>
              </w:rPr>
              <w:t>5</w:t>
            </w:r>
            <w:r>
              <w:rPr>
                <w:rFonts w:hint="default" w:ascii="Times New Roman" w:hAnsi="Times New Roman" w:eastAsia="宋体" w:cs="Times New Roman"/>
                <w:snapToGrid w:val="0"/>
                <w:color w:val="auto"/>
                <w:kern w:val="0"/>
                <w:sz w:val="21"/>
                <w:szCs w:val="21"/>
                <w:highlight w:val="none"/>
                <w:lang w:val="zh-CN" w:eastAsia="zh-CN" w:bidi="ar-SA"/>
              </w:rPr>
              <w:t xml:space="preserve"> 不合格品；N 噪声</w:t>
            </w:r>
          </w:p>
          <w:p w14:paraId="6B79562D">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宋体" w:hAnsi="宋体" w:eastAsia="宋体" w:cs="Times New Roman"/>
                <w:snapToGrid w:val="0"/>
                <w:color w:val="auto"/>
                <w:kern w:val="0"/>
                <w:sz w:val="24"/>
                <w:szCs w:val="24"/>
                <w:highlight w:val="none"/>
                <w:lang w:val="en-US" w:eastAsia="zh-CN" w:bidi="ar-SA"/>
              </w:rPr>
            </w:pPr>
            <w:r>
              <w:rPr>
                <w:b/>
                <w:bCs/>
                <w:color w:val="auto"/>
                <w:sz w:val="24"/>
                <w:szCs w:val="22"/>
                <w:highlight w:val="none"/>
              </w:rPr>
              <w:t>图</w:t>
            </w:r>
            <w:r>
              <w:rPr>
                <w:rFonts w:hint="eastAsia"/>
                <w:b/>
                <w:bCs/>
                <w:color w:val="auto"/>
                <w:sz w:val="24"/>
                <w:szCs w:val="22"/>
                <w:highlight w:val="none"/>
                <w:lang w:val="en-US" w:eastAsia="zh-CN"/>
              </w:rPr>
              <w:t>2</w:t>
            </w:r>
            <w:r>
              <w:rPr>
                <w:b/>
                <w:bCs/>
                <w:color w:val="auto"/>
                <w:sz w:val="24"/>
                <w:szCs w:val="22"/>
                <w:highlight w:val="none"/>
              </w:rPr>
              <w:t>-</w:t>
            </w:r>
            <w:r>
              <w:rPr>
                <w:rFonts w:hint="eastAsia"/>
                <w:b/>
                <w:bCs/>
                <w:color w:val="auto"/>
                <w:sz w:val="24"/>
                <w:szCs w:val="22"/>
                <w:highlight w:val="none"/>
                <w:lang w:val="en-US" w:eastAsia="zh-CN"/>
              </w:rPr>
              <w:t>4</w:t>
            </w:r>
            <w:r>
              <w:rPr>
                <w:rFonts w:hint="eastAsia"/>
                <w:b/>
                <w:bCs/>
                <w:color w:val="auto"/>
                <w:sz w:val="24"/>
                <w:szCs w:val="22"/>
                <w:highlight w:val="none"/>
              </w:rPr>
              <w:t xml:space="preserve"> </w:t>
            </w:r>
            <w:r>
              <w:rPr>
                <w:b/>
                <w:bCs/>
                <w:color w:val="auto"/>
                <w:sz w:val="24"/>
                <w:szCs w:val="22"/>
                <w:highlight w:val="none"/>
              </w:rPr>
              <w:t xml:space="preserve"> </w:t>
            </w:r>
            <w:r>
              <w:rPr>
                <w:rFonts w:hint="eastAsia"/>
                <w:b/>
                <w:bCs/>
                <w:color w:val="auto"/>
                <w:sz w:val="24"/>
                <w:szCs w:val="22"/>
                <w:highlight w:val="none"/>
                <w:lang w:val="en-US" w:eastAsia="zh-CN"/>
              </w:rPr>
              <w:t>PU连帮鞋</w:t>
            </w:r>
            <w:r>
              <w:rPr>
                <w:b/>
                <w:bCs/>
                <w:color w:val="auto"/>
                <w:sz w:val="24"/>
                <w:szCs w:val="22"/>
                <w:highlight w:val="none"/>
              </w:rPr>
              <w:t>生产工艺流程</w:t>
            </w:r>
            <w:r>
              <w:rPr>
                <w:rFonts w:hint="eastAsia"/>
                <w:b/>
                <w:bCs/>
                <w:color w:val="auto"/>
                <w:sz w:val="24"/>
                <w:szCs w:val="22"/>
                <w:highlight w:val="none"/>
              </w:rPr>
              <w:t>及产污节点</w:t>
            </w:r>
            <w:r>
              <w:rPr>
                <w:rFonts w:hint="eastAsia"/>
                <w:b/>
                <w:bCs/>
                <w:color w:val="auto"/>
                <w:sz w:val="24"/>
                <w:szCs w:val="22"/>
                <w:highlight w:val="none"/>
                <w:lang w:val="en-US" w:eastAsia="zh-CN"/>
              </w:rPr>
              <w:t xml:space="preserve"> </w:t>
            </w:r>
          </w:p>
          <w:p w14:paraId="1BC22F37">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b/>
                <w:bCs/>
                <w:color w:val="auto"/>
                <w:kern w:val="0"/>
                <w:sz w:val="24"/>
                <w:szCs w:val="24"/>
                <w:highlight w:val="none"/>
                <w:lang w:val="zh-CN" w:eastAsia="zh-CN" w:bidi="ar-SA"/>
              </w:rPr>
              <w:t>工艺流程简述：</w:t>
            </w:r>
          </w:p>
          <w:p w14:paraId="18C2BBA9">
            <w:pPr>
              <w:pStyle w:val="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s="Times New Roman"/>
                <w:b w:val="0"/>
                <w:bCs w:val="0"/>
                <w:color w:val="auto"/>
                <w:kern w:val="0"/>
                <w:sz w:val="24"/>
                <w:szCs w:val="24"/>
                <w:highlight w:val="none"/>
                <w:lang w:val="en-US" w:eastAsia="zh-CN" w:bidi="ar-SA"/>
              </w:rPr>
            </w:pPr>
            <w:r>
              <w:rPr>
                <w:rFonts w:hint="eastAsia" w:cs="Times New Roman"/>
                <w:b w:val="0"/>
                <w:bCs w:val="0"/>
                <w:color w:val="auto"/>
                <w:kern w:val="0"/>
                <w:sz w:val="24"/>
                <w:szCs w:val="24"/>
                <w:highlight w:val="none"/>
                <w:lang w:val="en-US" w:eastAsia="zh-CN" w:bidi="ar-SA"/>
              </w:rPr>
              <w:t>①</w:t>
            </w:r>
            <w:r>
              <w:rPr>
                <w:rFonts w:hint="eastAsia" w:cs="Times New Roman"/>
                <w:b w:val="0"/>
                <w:bCs w:val="0"/>
                <w:color w:val="auto"/>
                <w:highlight w:val="none"/>
                <w:lang w:val="en-US" w:eastAsia="zh-CN"/>
              </w:rPr>
              <w:t>裁剪缝制：将外购的帆布、PVC皮革等经裁断机根据模具冲裁成指定形状，再经过缝纫机符合尺寸的鞋帮面。</w:t>
            </w:r>
            <w:r>
              <w:rPr>
                <w:rFonts w:hint="default" w:cs="Times New Roman"/>
                <w:b w:val="0"/>
                <w:bCs w:val="0"/>
                <w:color w:val="auto"/>
                <w:kern w:val="0"/>
                <w:sz w:val="24"/>
                <w:szCs w:val="24"/>
                <w:highlight w:val="none"/>
                <w:lang w:val="zh-CN" w:eastAsia="zh-CN" w:bidi="ar-SA"/>
              </w:rPr>
              <w:t>此</w:t>
            </w:r>
            <w:r>
              <w:rPr>
                <w:rFonts w:hint="default" w:ascii="Times New Roman" w:hAnsi="Times New Roman" w:eastAsia="宋体" w:cs="Times New Roman"/>
                <w:b w:val="0"/>
                <w:bCs w:val="0"/>
                <w:color w:val="auto"/>
                <w:kern w:val="0"/>
                <w:sz w:val="24"/>
                <w:szCs w:val="24"/>
                <w:highlight w:val="none"/>
                <w:lang w:val="zh-CN" w:eastAsia="zh-CN" w:bidi="ar-SA"/>
              </w:rPr>
              <w:t>工序</w:t>
            </w:r>
            <w:r>
              <w:rPr>
                <w:rFonts w:hint="eastAsia" w:cs="Times New Roman"/>
                <w:b w:val="0"/>
                <w:bCs w:val="0"/>
                <w:color w:val="auto"/>
                <w:kern w:val="0"/>
                <w:sz w:val="24"/>
                <w:szCs w:val="24"/>
                <w:highlight w:val="none"/>
                <w:lang w:val="en-US" w:eastAsia="zh-CN" w:bidi="ar-SA"/>
              </w:rPr>
              <w:t>主要</w:t>
            </w:r>
            <w:r>
              <w:rPr>
                <w:rFonts w:hint="eastAsia" w:cs="Times New Roman"/>
                <w:b w:val="0"/>
                <w:bCs w:val="0"/>
                <w:color w:val="auto"/>
                <w:highlight w:val="none"/>
                <w:lang w:val="en-US" w:eastAsia="zh-CN"/>
              </w:rPr>
              <w:t>产生皮布边角料S2-1和设备噪声N。</w:t>
            </w:r>
          </w:p>
          <w:p w14:paraId="4E45BB7E">
            <w:pPr>
              <w:pStyle w:val="59"/>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highlight w:val="none"/>
                <w:lang w:val="en-US" w:eastAsia="zh-CN"/>
              </w:rPr>
              <w:t>②</w:t>
            </w:r>
            <w:r>
              <w:rPr>
                <w:rFonts w:hint="eastAsia" w:cs="Times New Roman"/>
                <w:b w:val="0"/>
                <w:bCs w:val="0"/>
                <w:color w:val="auto"/>
                <w:kern w:val="0"/>
                <w:sz w:val="24"/>
                <w:szCs w:val="24"/>
                <w:highlight w:val="none"/>
                <w:lang w:val="en-US" w:eastAsia="zh-CN" w:bidi="ar-SA"/>
              </w:rPr>
              <w:t>配料：将外购的桶装浇注料</w:t>
            </w:r>
            <w:r>
              <w:rPr>
                <w:rFonts w:hint="eastAsia"/>
                <w:color w:val="auto"/>
                <w:sz w:val="24"/>
                <w:szCs w:val="24"/>
                <w:highlight w:val="none"/>
                <w:lang w:val="en-US" w:eastAsia="zh-CN"/>
              </w:rPr>
              <w:t>聚氨酯</w:t>
            </w:r>
            <w:r>
              <w:rPr>
                <w:rFonts w:hint="eastAsia"/>
                <w:color w:val="auto"/>
                <w:sz w:val="24"/>
                <w:szCs w:val="24"/>
                <w:highlight w:val="none"/>
              </w:rPr>
              <w:t>A</w:t>
            </w:r>
            <w:r>
              <w:rPr>
                <w:rFonts w:hint="eastAsia"/>
                <w:color w:val="auto"/>
                <w:sz w:val="24"/>
                <w:szCs w:val="24"/>
                <w:highlight w:val="none"/>
                <w:lang w:val="en-US" w:eastAsia="zh-CN"/>
              </w:rPr>
              <w:t>料</w:t>
            </w:r>
            <w:r>
              <w:rPr>
                <w:rFonts w:hint="eastAsia"/>
                <w:color w:val="auto"/>
                <w:sz w:val="24"/>
                <w:szCs w:val="24"/>
                <w:highlight w:val="none"/>
              </w:rPr>
              <w:t>、B</w:t>
            </w:r>
            <w:r>
              <w:rPr>
                <w:rFonts w:hint="eastAsia"/>
                <w:color w:val="auto"/>
                <w:sz w:val="24"/>
                <w:szCs w:val="24"/>
                <w:highlight w:val="none"/>
                <w:lang w:val="en-US" w:eastAsia="zh-CN"/>
              </w:rPr>
              <w:t>料、C料和硬化剂分别经管道抽入浇注</w:t>
            </w:r>
            <w:r>
              <w:rPr>
                <w:rFonts w:hint="eastAsia"/>
                <w:color w:val="auto"/>
                <w:sz w:val="24"/>
                <w:szCs w:val="24"/>
                <w:highlight w:val="none"/>
                <w:lang w:eastAsia="zh-CN"/>
              </w:rPr>
              <w:t>机配套</w:t>
            </w:r>
            <w:r>
              <w:rPr>
                <w:rFonts w:hint="eastAsia"/>
                <w:color w:val="auto"/>
                <w:sz w:val="24"/>
                <w:szCs w:val="24"/>
                <w:highlight w:val="none"/>
              </w:rPr>
              <w:t>的</w:t>
            </w:r>
            <w:r>
              <w:rPr>
                <w:rFonts w:hint="eastAsia"/>
                <w:color w:val="auto"/>
                <w:sz w:val="24"/>
                <w:szCs w:val="24"/>
                <w:highlight w:val="none"/>
                <w:lang w:val="en-US" w:eastAsia="zh-CN"/>
              </w:rPr>
              <w:t>4个料筒</w:t>
            </w:r>
            <w:r>
              <w:rPr>
                <w:rFonts w:hint="eastAsia"/>
                <w:color w:val="auto"/>
                <w:sz w:val="24"/>
                <w:szCs w:val="24"/>
                <w:highlight w:val="none"/>
              </w:rPr>
              <w:t>中</w:t>
            </w:r>
            <w:r>
              <w:rPr>
                <w:rFonts w:hint="eastAsia"/>
                <w:color w:val="auto"/>
                <w:sz w:val="24"/>
                <w:szCs w:val="24"/>
                <w:highlight w:val="none"/>
                <w:lang w:eastAsia="zh-CN"/>
              </w:rPr>
              <w:t>，</w:t>
            </w:r>
            <w:r>
              <w:rPr>
                <w:rFonts w:hint="eastAsia"/>
                <w:color w:val="auto"/>
                <w:sz w:val="24"/>
                <w:szCs w:val="24"/>
                <w:highlight w:val="none"/>
                <w:lang w:val="en-US" w:eastAsia="zh-CN"/>
              </w:rPr>
              <w:t>电加热料筒至45</w:t>
            </w:r>
            <w:r>
              <w:rPr>
                <w:rFonts w:hint="eastAsia" w:cs="Times New Roman"/>
                <w:b w:val="0"/>
                <w:bCs w:val="0"/>
                <w:color w:val="auto"/>
                <w:kern w:val="2"/>
                <w:sz w:val="24"/>
                <w:szCs w:val="24"/>
                <w:highlight w:val="none"/>
                <w:lang w:val="en-US" w:eastAsia="zh-CN" w:bidi="ar-SA"/>
              </w:rPr>
              <w:t>℃使降低粘度</w:t>
            </w:r>
            <w:r>
              <w:rPr>
                <w:rFonts w:hint="eastAsia"/>
                <w:color w:val="auto"/>
                <w:sz w:val="24"/>
                <w:szCs w:val="24"/>
                <w:highlight w:val="none"/>
                <w:lang w:eastAsia="zh-CN"/>
              </w:rPr>
              <w:t>。</w:t>
            </w:r>
            <w:r>
              <w:rPr>
                <w:rFonts w:hint="eastAsia" w:cs="Times New Roman"/>
                <w:b w:val="0"/>
                <w:bCs w:val="0"/>
                <w:color w:val="auto"/>
                <w:kern w:val="2"/>
                <w:sz w:val="24"/>
                <w:szCs w:val="24"/>
                <w:highlight w:val="none"/>
                <w:lang w:val="en-US" w:eastAsia="zh-CN" w:bidi="ar-SA"/>
              </w:rPr>
              <w:t>此工序主要产生废包装桶S2-2和设备噪声N。</w:t>
            </w:r>
          </w:p>
          <w:p w14:paraId="38D26A16">
            <w:pPr>
              <w:pStyle w:val="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Cs w:val="22"/>
                <w:highlight w:val="none"/>
                <w:lang w:val="en-US" w:eastAsia="zh-CN"/>
              </w:rPr>
            </w:pPr>
            <w:r>
              <w:rPr>
                <w:rFonts w:hint="eastAsia" w:cs="Times New Roman"/>
                <w:b w:val="0"/>
                <w:bCs w:val="0"/>
                <w:color w:val="auto"/>
                <w:highlight w:val="none"/>
                <w:lang w:val="en-US" w:eastAsia="zh-CN"/>
              </w:rPr>
              <w:t>③上模具：将模具放入浇注工作台上喷脱模剂，然后将制好的鞋帮面放置在模具中设定的位置，每个模具每天需喷脱模剂4次，每次约10ml。</w:t>
            </w:r>
            <w:r>
              <w:rPr>
                <w:rFonts w:hint="eastAsia" w:cs="Times New Roman"/>
                <w:b w:val="0"/>
                <w:bCs w:val="0"/>
                <w:color w:val="auto"/>
                <w:kern w:val="2"/>
                <w:sz w:val="24"/>
                <w:szCs w:val="24"/>
                <w:highlight w:val="none"/>
                <w:lang w:val="en-US" w:eastAsia="zh-CN" w:bidi="ar-SA"/>
              </w:rPr>
              <w:t>此工序主要产生</w:t>
            </w:r>
            <w:r>
              <w:rPr>
                <w:rFonts w:hint="eastAsia" w:cs="Times New Roman"/>
                <w:b w:val="0"/>
                <w:bCs w:val="0"/>
                <w:color w:val="auto"/>
                <w:highlight w:val="none"/>
                <w:lang w:val="en-US" w:eastAsia="zh-CN"/>
              </w:rPr>
              <w:t>脱模剂废气G2-1、废包装桶S2-2。</w:t>
            </w:r>
          </w:p>
          <w:p w14:paraId="47069A36">
            <w:pPr>
              <w:pStyle w:val="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sz w:val="24"/>
                <w:szCs w:val="24"/>
                <w:highlight w:val="none"/>
              </w:rPr>
            </w:pPr>
            <w:r>
              <w:rPr>
                <w:rFonts w:hint="eastAsia" w:cs="Times New Roman"/>
                <w:b w:val="0"/>
                <w:bCs w:val="0"/>
                <w:color w:val="auto"/>
                <w:highlight w:val="none"/>
                <w:lang w:val="en-US" w:eastAsia="zh-CN"/>
              </w:rPr>
              <w:t>④连帮浇注：按配方要求及浇注量分别调节各组分的计量泵，</w:t>
            </w:r>
            <w:r>
              <w:rPr>
                <w:rFonts w:hint="eastAsia"/>
                <w:color w:val="auto"/>
                <w:sz w:val="24"/>
                <w:szCs w:val="24"/>
                <w:highlight w:val="none"/>
                <w:lang w:val="en-US" w:eastAsia="zh-CN"/>
              </w:rPr>
              <w:t>聚氨酯</w:t>
            </w:r>
            <w:r>
              <w:rPr>
                <w:rFonts w:hint="eastAsia"/>
                <w:color w:val="auto"/>
                <w:sz w:val="24"/>
                <w:szCs w:val="24"/>
                <w:highlight w:val="none"/>
              </w:rPr>
              <w:t>A</w:t>
            </w:r>
            <w:r>
              <w:rPr>
                <w:rFonts w:hint="eastAsia"/>
                <w:color w:val="auto"/>
                <w:sz w:val="24"/>
                <w:szCs w:val="24"/>
                <w:highlight w:val="none"/>
                <w:lang w:val="en-US" w:eastAsia="zh-CN"/>
              </w:rPr>
              <w:t>料</w:t>
            </w:r>
            <w:r>
              <w:rPr>
                <w:rFonts w:hint="eastAsia"/>
                <w:color w:val="auto"/>
                <w:sz w:val="24"/>
                <w:szCs w:val="24"/>
                <w:highlight w:val="none"/>
              </w:rPr>
              <w:t>、B</w:t>
            </w:r>
            <w:r>
              <w:rPr>
                <w:rFonts w:hint="eastAsia"/>
                <w:color w:val="auto"/>
                <w:sz w:val="24"/>
                <w:szCs w:val="24"/>
                <w:highlight w:val="none"/>
                <w:lang w:val="en-US" w:eastAsia="zh-CN"/>
              </w:rPr>
              <w:t>料、C料和硬化剂</w:t>
            </w:r>
            <w:r>
              <w:rPr>
                <w:rFonts w:hint="eastAsia" w:cs="Times New Roman"/>
                <w:b w:val="0"/>
                <w:bCs w:val="0"/>
                <w:color w:val="auto"/>
                <w:highlight w:val="none"/>
                <w:lang w:val="en-US" w:eastAsia="zh-CN"/>
              </w:rPr>
              <w:t>按照10:10:1:1配比要求打入浇注机搅拌室内，自动搅拌均匀成混合料，然后浇注于模具中交联固化成型。</w:t>
            </w:r>
            <w:r>
              <w:rPr>
                <w:rFonts w:hint="eastAsia"/>
                <w:color w:val="auto"/>
                <w:sz w:val="24"/>
                <w:szCs w:val="24"/>
                <w:highlight w:val="none"/>
              </w:rPr>
              <w:t>注模过程为防止鞋模内空气及水蒸气对产品的影响，需同时采用机械真空泵进行抽真空</w:t>
            </w:r>
            <w:r>
              <w:rPr>
                <w:rFonts w:hint="eastAsia" w:ascii="Times New Roman" w:hAnsi="Times New Roman" w:eastAsia="宋体" w:cs="Times New Roman"/>
                <w:b w:val="0"/>
                <w:bCs w:val="0"/>
                <w:color w:val="auto"/>
                <w:kern w:val="0"/>
                <w:sz w:val="24"/>
                <w:szCs w:val="24"/>
                <w:highlight w:val="none"/>
                <w:lang w:val="en-US" w:eastAsia="zh-CN" w:bidi="ar-SA"/>
              </w:rPr>
              <w:t>。</w:t>
            </w:r>
            <w:r>
              <w:rPr>
                <w:rFonts w:hint="eastAsia" w:cs="Times New Roman"/>
                <w:b w:val="0"/>
                <w:bCs w:val="0"/>
                <w:color w:val="auto"/>
                <w:kern w:val="0"/>
                <w:sz w:val="24"/>
                <w:szCs w:val="24"/>
                <w:highlight w:val="none"/>
                <w:lang w:val="en-US" w:eastAsia="zh-CN" w:bidi="ar-SA"/>
              </w:rPr>
              <w:t>此</w:t>
            </w:r>
            <w:r>
              <w:rPr>
                <w:rFonts w:hint="eastAsia"/>
                <w:color w:val="auto"/>
                <w:sz w:val="24"/>
                <w:szCs w:val="24"/>
                <w:highlight w:val="none"/>
              </w:rPr>
              <w:t>工序</w:t>
            </w:r>
            <w:r>
              <w:rPr>
                <w:rFonts w:hint="eastAsia" w:cs="Times New Roman"/>
                <w:b w:val="0"/>
                <w:bCs w:val="0"/>
                <w:color w:val="auto"/>
                <w:kern w:val="2"/>
                <w:sz w:val="24"/>
                <w:szCs w:val="24"/>
                <w:highlight w:val="none"/>
                <w:lang w:val="en-US" w:eastAsia="zh-CN" w:bidi="ar-SA"/>
              </w:rPr>
              <w:t>主要产生</w:t>
            </w:r>
            <w:r>
              <w:rPr>
                <w:rFonts w:hint="eastAsia"/>
                <w:color w:val="auto"/>
                <w:sz w:val="24"/>
                <w:szCs w:val="24"/>
                <w:highlight w:val="none"/>
                <w:lang w:val="en-US" w:eastAsia="zh-CN"/>
              </w:rPr>
              <w:t>浇注</w:t>
            </w:r>
            <w:r>
              <w:rPr>
                <w:rFonts w:hint="eastAsia"/>
                <w:color w:val="auto"/>
                <w:sz w:val="24"/>
                <w:szCs w:val="24"/>
                <w:highlight w:val="none"/>
              </w:rPr>
              <w:t>废气G</w:t>
            </w:r>
            <w:r>
              <w:rPr>
                <w:rFonts w:hint="eastAsia"/>
                <w:color w:val="auto"/>
                <w:sz w:val="24"/>
                <w:szCs w:val="24"/>
                <w:highlight w:val="none"/>
                <w:lang w:val="en-US" w:eastAsia="zh-CN"/>
              </w:rPr>
              <w:t>2-3</w:t>
            </w:r>
            <w:r>
              <w:rPr>
                <w:rFonts w:hint="eastAsia" w:cs="Times New Roman"/>
                <w:b w:val="0"/>
                <w:bCs w:val="0"/>
                <w:color w:val="auto"/>
                <w:highlight w:val="none"/>
                <w:lang w:val="en-US" w:eastAsia="zh-CN"/>
              </w:rPr>
              <w:t>和设备噪声N</w:t>
            </w:r>
            <w:r>
              <w:rPr>
                <w:rFonts w:hint="eastAsia"/>
                <w:color w:val="auto"/>
                <w:sz w:val="24"/>
                <w:szCs w:val="24"/>
                <w:highlight w:val="none"/>
              </w:rPr>
              <w:t>。</w:t>
            </w:r>
          </w:p>
          <w:p w14:paraId="2AFE5B77">
            <w:pPr>
              <w:pStyle w:val="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eastAsia="宋体"/>
                <w:color w:val="auto"/>
                <w:sz w:val="24"/>
                <w:szCs w:val="24"/>
                <w:highlight w:val="none"/>
                <w:lang w:eastAsia="zh-CN"/>
              </w:rPr>
            </w:pPr>
            <w:r>
              <w:rPr>
                <w:rFonts w:hint="eastAsia"/>
                <w:color w:val="auto"/>
                <w:sz w:val="24"/>
                <w:szCs w:val="24"/>
                <w:highlight w:val="none"/>
                <w:lang w:val="en-US" w:eastAsia="zh-CN"/>
              </w:rPr>
              <w:t>浇注过程中</w:t>
            </w:r>
            <w:r>
              <w:rPr>
                <w:rFonts w:hint="eastAsia"/>
                <w:color w:val="auto"/>
                <w:sz w:val="24"/>
                <w:szCs w:val="24"/>
                <w:highlight w:val="none"/>
              </w:rPr>
              <w:t>主要反应为异氰酸酯和聚酯多元醇的羟基反应，反应方程式如下</w:t>
            </w:r>
            <w:r>
              <w:rPr>
                <w:rFonts w:hint="eastAsia"/>
                <w:color w:val="auto"/>
                <w:sz w:val="24"/>
                <w:szCs w:val="24"/>
                <w:highlight w:val="none"/>
                <w:lang w:eastAsia="zh-CN"/>
              </w:rPr>
              <w:t>：</w:t>
            </w:r>
          </w:p>
          <w:p w14:paraId="2BFCE486">
            <w:pPr>
              <w:pStyle w:val="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center"/>
              <w:textAlignment w:val="auto"/>
              <w:rPr>
                <w:rFonts w:hint="default"/>
                <w:color w:val="auto"/>
                <w:sz w:val="24"/>
                <w:szCs w:val="24"/>
                <w:highlight w:val="none"/>
                <w:lang w:val="zh-CN" w:eastAsia="zh-CN"/>
              </w:rPr>
            </w:pPr>
            <w:r>
              <w:rPr>
                <w:color w:val="auto"/>
                <w:highlight w:val="none"/>
              </w:rPr>
              <w:drawing>
                <wp:inline distT="0" distB="0" distL="114300" distR="114300">
                  <wp:extent cx="4998085" cy="758190"/>
                  <wp:effectExtent l="0" t="0" r="2540" b="3810"/>
                  <wp:docPr id="8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2"/>
                          <pic:cNvPicPr>
                            <a:picLocks noChangeAspect="1"/>
                          </pic:cNvPicPr>
                        </pic:nvPicPr>
                        <pic:blipFill>
                          <a:blip r:embed="rId16"/>
                          <a:stretch>
                            <a:fillRect/>
                          </a:stretch>
                        </pic:blipFill>
                        <pic:spPr>
                          <a:xfrm>
                            <a:off x="0" y="0"/>
                            <a:ext cx="4998085" cy="758190"/>
                          </a:xfrm>
                          <a:prstGeom prst="rect">
                            <a:avLst/>
                          </a:prstGeom>
                          <a:noFill/>
                          <a:ln>
                            <a:noFill/>
                          </a:ln>
                        </pic:spPr>
                      </pic:pic>
                    </a:graphicData>
                  </a:graphic>
                </wp:inline>
              </w:drawing>
            </w:r>
          </w:p>
          <w:p w14:paraId="7003EF9A">
            <w:pPr>
              <w:pStyle w:val="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b w:val="0"/>
                <w:bCs w:val="0"/>
                <w:color w:val="auto"/>
                <w:highlight w:val="none"/>
                <w:lang w:val="en-US" w:eastAsia="zh-CN"/>
              </w:rPr>
              <w:t>⑤脱模</w:t>
            </w:r>
            <w:r>
              <w:rPr>
                <w:rFonts w:hint="eastAsia" w:ascii="Times New Roman" w:hAnsi="Times New Roman" w:cs="Times New Roman"/>
                <w:color w:val="auto"/>
                <w:sz w:val="24"/>
                <w:szCs w:val="24"/>
                <w:highlight w:val="none"/>
                <w:lang w:val="en-US" w:eastAsia="zh-CN"/>
              </w:rPr>
              <w:t>：将成型的聚氨酯鞋从模具中取出。</w:t>
            </w:r>
          </w:p>
          <w:p w14:paraId="5679E8B7">
            <w:pPr>
              <w:pStyle w:val="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s="Times New Roman"/>
                <w:b w:val="0"/>
                <w:bCs w:val="0"/>
                <w:color w:val="auto"/>
                <w:highlight w:val="none"/>
                <w:lang w:val="en-US" w:eastAsia="zh-CN"/>
              </w:rPr>
            </w:pPr>
            <w:r>
              <w:rPr>
                <w:rFonts w:hint="eastAsia" w:ascii="Times New Roman" w:hAnsi="Times New Roman" w:cs="Times New Roman"/>
                <w:color w:val="auto"/>
                <w:sz w:val="24"/>
                <w:szCs w:val="24"/>
                <w:highlight w:val="none"/>
                <w:lang w:val="en-US" w:eastAsia="zh-CN"/>
              </w:rPr>
              <w:t>⑥清洗枪头：为了保证产品质量，每隔十分钟浇注后，浇注机自动将清洗灌中的脱模剂作为清洗剂送入浇注机混合头（搅拌室），清洗混合头及管路，</w:t>
            </w:r>
            <w:r>
              <w:rPr>
                <w:rFonts w:hint="eastAsia" w:cs="Times New Roman"/>
                <w:b w:val="0"/>
                <w:bCs w:val="0"/>
                <w:color w:val="auto"/>
                <w:highlight w:val="none"/>
                <w:lang w:val="en-US" w:eastAsia="zh-CN"/>
              </w:rPr>
              <w:t>每次清洗量约5ml</w:t>
            </w:r>
            <w:r>
              <w:rPr>
                <w:rFonts w:hint="eastAsia" w:ascii="Times New Roman" w:hAnsi="Times New Roman" w:cs="Times New Roman"/>
                <w:color w:val="auto"/>
                <w:sz w:val="24"/>
                <w:szCs w:val="24"/>
                <w:highlight w:val="none"/>
                <w:lang w:val="en-US" w:eastAsia="zh-CN"/>
              </w:rPr>
              <w:t>，清洗废液</w:t>
            </w:r>
            <w:r>
              <w:rPr>
                <w:rFonts w:hint="eastAsia" w:cs="Times New Roman"/>
                <w:b w:val="0"/>
                <w:bCs w:val="0"/>
                <w:color w:val="auto"/>
                <w:highlight w:val="none"/>
                <w:lang w:val="en-US" w:eastAsia="zh-CN"/>
              </w:rPr>
              <w:t>经管道密闭</w:t>
            </w:r>
            <w:r>
              <w:rPr>
                <w:rFonts w:hint="eastAsia" w:ascii="Times New Roman" w:hAnsi="Times New Roman" w:cs="Times New Roman"/>
                <w:color w:val="auto"/>
                <w:sz w:val="24"/>
                <w:szCs w:val="24"/>
                <w:highlight w:val="none"/>
                <w:lang w:val="en-US" w:eastAsia="zh-CN"/>
              </w:rPr>
              <w:t>桶装收集并密封作危废处置。</w:t>
            </w:r>
            <w:r>
              <w:rPr>
                <w:rFonts w:hint="eastAsia" w:cs="Times New Roman"/>
                <w:b w:val="0"/>
                <w:bCs w:val="0"/>
                <w:color w:val="auto"/>
                <w:highlight w:val="none"/>
                <w:lang w:val="en-US" w:eastAsia="zh-CN"/>
              </w:rPr>
              <w:t>此工序</w:t>
            </w:r>
            <w:r>
              <w:rPr>
                <w:rFonts w:hint="eastAsia" w:cs="Times New Roman"/>
                <w:b w:val="0"/>
                <w:bCs w:val="0"/>
                <w:color w:val="auto"/>
                <w:kern w:val="0"/>
                <w:sz w:val="24"/>
                <w:szCs w:val="24"/>
                <w:highlight w:val="none"/>
                <w:lang w:val="en-US" w:eastAsia="zh-CN" w:bidi="ar-SA"/>
              </w:rPr>
              <w:t>主要</w:t>
            </w:r>
            <w:r>
              <w:rPr>
                <w:rFonts w:hint="default" w:ascii="Times New Roman" w:hAnsi="Times New Roman" w:eastAsia="宋体" w:cs="Times New Roman"/>
                <w:b w:val="0"/>
                <w:bCs w:val="0"/>
                <w:color w:val="auto"/>
                <w:kern w:val="0"/>
                <w:sz w:val="24"/>
                <w:szCs w:val="24"/>
                <w:highlight w:val="none"/>
                <w:lang w:val="zh-CN" w:eastAsia="zh-CN" w:bidi="ar-SA"/>
              </w:rPr>
              <w:t>产生</w:t>
            </w:r>
            <w:r>
              <w:rPr>
                <w:rFonts w:hint="eastAsia" w:cs="Times New Roman"/>
                <w:b w:val="0"/>
                <w:bCs w:val="0"/>
                <w:color w:val="auto"/>
                <w:highlight w:val="none"/>
                <w:lang w:val="en-US" w:eastAsia="zh-CN"/>
              </w:rPr>
              <w:t>清洗废液S2-3。</w:t>
            </w:r>
          </w:p>
          <w:p w14:paraId="23C407AE">
            <w:pPr>
              <w:pStyle w:val="59"/>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⑦修边：注模后鞋底较为粗糙，需采取人工手动</w:t>
            </w:r>
            <w:r>
              <w:rPr>
                <w:rFonts w:hint="eastAsia"/>
                <w:color w:val="auto"/>
                <w:sz w:val="24"/>
                <w:szCs w:val="24"/>
                <w:highlight w:val="none"/>
              </w:rPr>
              <w:t>对鞋底进行修边，清除鞋底边缘上的溢料和毛刺</w:t>
            </w:r>
            <w:r>
              <w:rPr>
                <w:rFonts w:hint="eastAsia" w:cs="Times New Roman"/>
                <w:b w:val="0"/>
                <w:bCs w:val="0"/>
                <w:color w:val="auto"/>
                <w:highlight w:val="none"/>
                <w:lang w:val="en-US" w:eastAsia="zh-CN"/>
              </w:rPr>
              <w:t>。此工序</w:t>
            </w:r>
            <w:r>
              <w:rPr>
                <w:rFonts w:hint="eastAsia" w:cs="Times New Roman"/>
                <w:b w:val="0"/>
                <w:bCs w:val="0"/>
                <w:color w:val="auto"/>
                <w:kern w:val="0"/>
                <w:sz w:val="24"/>
                <w:szCs w:val="24"/>
                <w:highlight w:val="none"/>
                <w:lang w:val="en-US" w:eastAsia="zh-CN" w:bidi="ar-SA"/>
              </w:rPr>
              <w:t>主要</w:t>
            </w:r>
            <w:r>
              <w:rPr>
                <w:rFonts w:hint="default" w:ascii="Times New Roman" w:hAnsi="Times New Roman" w:eastAsia="宋体" w:cs="Times New Roman"/>
                <w:b w:val="0"/>
                <w:bCs w:val="0"/>
                <w:color w:val="auto"/>
                <w:kern w:val="0"/>
                <w:sz w:val="24"/>
                <w:szCs w:val="24"/>
                <w:highlight w:val="none"/>
                <w:lang w:val="zh-CN" w:eastAsia="zh-CN" w:bidi="ar-SA"/>
              </w:rPr>
              <w:t>产生</w:t>
            </w:r>
            <w:r>
              <w:rPr>
                <w:rFonts w:hint="eastAsia" w:cs="Times New Roman"/>
                <w:b w:val="0"/>
                <w:bCs w:val="0"/>
                <w:color w:val="auto"/>
                <w:kern w:val="0"/>
                <w:sz w:val="24"/>
                <w:szCs w:val="24"/>
                <w:highlight w:val="none"/>
                <w:lang w:val="en-US" w:eastAsia="zh-CN" w:bidi="ar-SA"/>
              </w:rPr>
              <w:t>树脂</w:t>
            </w:r>
            <w:r>
              <w:rPr>
                <w:rFonts w:hint="eastAsia" w:cs="Times New Roman"/>
                <w:b w:val="0"/>
                <w:bCs w:val="0"/>
                <w:color w:val="auto"/>
                <w:highlight w:val="none"/>
                <w:lang w:val="en-US" w:eastAsia="zh-CN"/>
              </w:rPr>
              <w:t>边角料S2-4。</w:t>
            </w:r>
          </w:p>
          <w:p w14:paraId="4D5A47CB">
            <w:pPr>
              <w:pStyle w:val="59"/>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⑧检验、包装入库：</w:t>
            </w:r>
            <w:r>
              <w:rPr>
                <w:rFonts w:hint="default" w:ascii="Times New Roman" w:hAnsi="Times New Roman" w:eastAsia="宋体" w:cs="Times New Roman"/>
                <w:b w:val="0"/>
                <w:bCs w:val="0"/>
                <w:color w:val="auto"/>
                <w:kern w:val="0"/>
                <w:sz w:val="24"/>
                <w:szCs w:val="24"/>
                <w:highlight w:val="none"/>
                <w:lang w:val="zh-CN" w:eastAsia="zh-CN" w:bidi="ar-SA"/>
              </w:rPr>
              <w:t>对最终产品进行</w:t>
            </w:r>
            <w:r>
              <w:rPr>
                <w:rFonts w:hint="eastAsia" w:cs="Times New Roman"/>
                <w:b w:val="0"/>
                <w:bCs w:val="0"/>
                <w:color w:val="auto"/>
                <w:kern w:val="2"/>
                <w:sz w:val="24"/>
                <w:szCs w:val="24"/>
                <w:highlight w:val="none"/>
                <w:lang w:val="en-US" w:eastAsia="zh-CN" w:bidi="ar-SA"/>
              </w:rPr>
              <w:t>人工检验外观，检验合格包装后送入成品库。</w:t>
            </w:r>
            <w:r>
              <w:rPr>
                <w:rFonts w:hint="eastAsia" w:cs="Times New Roman"/>
                <w:b w:val="0"/>
                <w:bCs w:val="0"/>
                <w:color w:val="auto"/>
                <w:highlight w:val="none"/>
                <w:lang w:val="en-US" w:eastAsia="zh-CN"/>
              </w:rPr>
              <w:t>此工序</w:t>
            </w:r>
            <w:r>
              <w:rPr>
                <w:rFonts w:hint="eastAsia" w:cs="Times New Roman"/>
                <w:b w:val="0"/>
                <w:bCs w:val="0"/>
                <w:color w:val="auto"/>
                <w:kern w:val="0"/>
                <w:sz w:val="24"/>
                <w:szCs w:val="24"/>
                <w:highlight w:val="none"/>
                <w:lang w:val="en-US" w:eastAsia="zh-CN" w:bidi="ar-SA"/>
              </w:rPr>
              <w:t>主要</w:t>
            </w:r>
            <w:r>
              <w:rPr>
                <w:rFonts w:hint="default" w:ascii="Times New Roman" w:hAnsi="Times New Roman" w:eastAsia="宋体" w:cs="Times New Roman"/>
                <w:b w:val="0"/>
                <w:bCs w:val="0"/>
                <w:color w:val="auto"/>
                <w:kern w:val="0"/>
                <w:sz w:val="24"/>
                <w:szCs w:val="24"/>
                <w:highlight w:val="none"/>
                <w:lang w:val="zh-CN" w:eastAsia="zh-CN" w:bidi="ar-SA"/>
              </w:rPr>
              <w:t>产生</w:t>
            </w:r>
            <w:r>
              <w:rPr>
                <w:rFonts w:hint="eastAsia" w:cs="Times New Roman"/>
                <w:b w:val="0"/>
                <w:bCs w:val="0"/>
                <w:color w:val="auto"/>
                <w:kern w:val="0"/>
                <w:sz w:val="24"/>
                <w:szCs w:val="24"/>
                <w:highlight w:val="none"/>
                <w:lang w:val="en-US" w:eastAsia="zh-CN" w:bidi="ar-SA"/>
              </w:rPr>
              <w:t>不合格品</w:t>
            </w:r>
            <w:r>
              <w:rPr>
                <w:rFonts w:hint="eastAsia" w:cs="Times New Roman"/>
                <w:b w:val="0"/>
                <w:bCs w:val="0"/>
                <w:color w:val="auto"/>
                <w:highlight w:val="none"/>
                <w:lang w:val="en-US" w:eastAsia="zh-CN"/>
              </w:rPr>
              <w:t>S2-5。</w:t>
            </w:r>
          </w:p>
          <w:p w14:paraId="091CC6AD">
            <w:pPr>
              <w:pStyle w:val="59"/>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2" w:firstLineChars="200"/>
              <w:textAlignment w:val="auto"/>
              <w:rPr>
                <w:rFonts w:hint="default" w:cs="Times New Roman"/>
                <w:b/>
                <w:bCs/>
                <w:color w:val="auto"/>
                <w:kern w:val="0"/>
                <w:sz w:val="24"/>
                <w:szCs w:val="24"/>
                <w:highlight w:val="none"/>
                <w:lang w:val="en-US" w:eastAsia="zh-CN" w:bidi="ar-SA"/>
              </w:rPr>
            </w:pPr>
            <w:r>
              <w:rPr>
                <w:rFonts w:hint="eastAsia" w:cs="Times New Roman"/>
                <w:b/>
                <w:bCs/>
                <w:color w:val="auto"/>
                <w:kern w:val="0"/>
                <w:sz w:val="24"/>
                <w:szCs w:val="24"/>
                <w:highlight w:val="none"/>
                <w:lang w:val="en-US" w:eastAsia="zh-CN" w:bidi="ar-SA"/>
              </w:rPr>
              <w:t>注：浇注工序所用模具均为外购。</w:t>
            </w:r>
          </w:p>
          <w:p w14:paraId="545D272E">
            <w:pPr>
              <w:pStyle w:val="59"/>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360" w:leftChars="0" w:right="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w:t>
            </w:r>
            <w:r>
              <w:rPr>
                <w:rFonts w:hint="eastAsia" w:cs="Times New Roman"/>
                <w:b/>
                <w:bCs/>
                <w:color w:val="auto"/>
                <w:highlight w:val="none"/>
                <w:lang w:val="en-US" w:eastAsia="zh-CN"/>
              </w:rPr>
              <w:t>2</w:t>
            </w:r>
            <w:r>
              <w:rPr>
                <w:rFonts w:hint="default" w:ascii="Times New Roman" w:hAnsi="Times New Roman" w:cs="Times New Roman"/>
                <w:b/>
                <w:bCs/>
                <w:color w:val="auto"/>
                <w:highlight w:val="none"/>
                <w:lang w:val="en-US" w:eastAsia="zh-CN"/>
              </w:rPr>
              <w:t>）</w:t>
            </w:r>
            <w:r>
              <w:rPr>
                <w:rFonts w:hint="eastAsia" w:cs="Times New Roman"/>
                <w:b/>
                <w:bCs/>
                <w:color w:val="auto"/>
                <w:highlight w:val="none"/>
                <w:lang w:val="en-US" w:eastAsia="zh-CN"/>
              </w:rPr>
              <w:t>棉服、羽绒服和防尘服生产</w:t>
            </w:r>
            <w:r>
              <w:rPr>
                <w:rFonts w:hint="default" w:ascii="Times New Roman" w:hAnsi="Times New Roman" w:cs="Times New Roman"/>
                <w:b/>
                <w:bCs/>
                <w:color w:val="auto"/>
                <w:highlight w:val="none"/>
                <w:lang w:val="en-US" w:eastAsia="zh-CN"/>
              </w:rPr>
              <w:t>工艺流程</w:t>
            </w:r>
          </w:p>
          <w:p w14:paraId="34E4EB09">
            <w:pPr>
              <w:pStyle w:val="59"/>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default" w:ascii="Times New Roman" w:hAnsi="Times New Roman" w:cs="Times New Roman"/>
                <w:b/>
                <w:bCs/>
                <w:color w:val="auto"/>
                <w:highlight w:val="none"/>
                <w:lang w:val="en-US" w:eastAsia="zh-CN"/>
              </w:rPr>
            </w:pPr>
            <w:r>
              <w:rPr>
                <w:rFonts w:hint="eastAsia" w:cs="Times New Roman"/>
                <w:b w:val="0"/>
                <w:bCs w:val="0"/>
                <w:color w:val="auto"/>
                <w:highlight w:val="none"/>
                <w:lang w:val="en-US" w:eastAsia="zh-CN"/>
              </w:rPr>
              <w:t>本项目棉服、羽绒服、防尘服共用一条生产线，其中棉服和羽绒服生产工艺完全一致，仅服饰内填料不同。</w:t>
            </w:r>
          </w:p>
          <w:p w14:paraId="608DC052">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object>
                <v:shape id="_x0000_i1027" o:spt="75" type="#_x0000_t75" style="height:509.65pt;width:376.8pt;" o:ole="t" filled="f" o:preferrelative="t" stroked="f" coordsize="21600,21600">
                  <v:path/>
                  <v:fill on="f" focussize="0,0"/>
                  <v:stroke on="f"/>
                  <v:imagedata r:id="rId18" o:title=""/>
                  <o:lock v:ext="edit" aspectratio="f"/>
                  <w10:wrap type="none"/>
                  <w10:anchorlock/>
                </v:shape>
                <o:OLEObject Type="Embed" ProgID="Visio.Drawing.15" ShapeID="_x0000_i1027" DrawAspect="Content" ObjectID="_1468075727" r:id="rId17">
                  <o:LockedField>false</o:LockedField>
                </o:OLEObject>
              </w:object>
            </w:r>
          </w:p>
          <w:p w14:paraId="60C9B34E">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b/>
                <w:bCs/>
                <w:color w:val="auto"/>
                <w:sz w:val="21"/>
                <w:szCs w:val="21"/>
                <w:highlight w:val="none"/>
              </w:rPr>
            </w:pPr>
            <w:r>
              <w:rPr>
                <w:rFonts w:hint="eastAsia" w:ascii="宋体" w:hAnsi="宋体"/>
                <w:color w:val="auto"/>
                <w:sz w:val="21"/>
                <w:szCs w:val="21"/>
                <w:highlight w:val="none"/>
                <w:lang w:val="zh-CN"/>
              </w:rPr>
              <w:t>注：</w:t>
            </w:r>
            <w:r>
              <w:rPr>
                <w:rFonts w:hint="default" w:ascii="Times New Roman" w:hAnsi="Times New Roman" w:eastAsia="Times New Roman"/>
                <w:color w:val="auto"/>
                <w:sz w:val="21"/>
                <w:szCs w:val="21"/>
                <w:highlight w:val="none"/>
                <w:lang w:val="zh-CN"/>
              </w:rPr>
              <w:t xml:space="preserve">S3-1 </w:t>
            </w:r>
            <w:r>
              <w:rPr>
                <w:rFonts w:hint="eastAsia" w:ascii="宋体" w:hAnsi="宋体"/>
                <w:color w:val="auto"/>
                <w:sz w:val="21"/>
                <w:szCs w:val="21"/>
                <w:highlight w:val="none"/>
                <w:lang w:val="zh-CN"/>
              </w:rPr>
              <w:t>布料</w:t>
            </w:r>
            <w:r>
              <w:rPr>
                <w:rFonts w:hint="eastAsia" w:ascii="宋体" w:hAnsi="宋体" w:eastAsia="宋体" w:cs="Times New Roman"/>
                <w:color w:val="auto"/>
                <w:sz w:val="21"/>
                <w:szCs w:val="21"/>
                <w:highlight w:val="none"/>
                <w:lang w:val="zh-CN"/>
              </w:rPr>
              <w:t>边</w:t>
            </w:r>
            <w:r>
              <w:rPr>
                <w:rFonts w:hint="eastAsia" w:ascii="Times New Roman" w:hAnsi="Times New Roman" w:eastAsia="Times New Roman" w:cs="Times New Roman"/>
                <w:color w:val="auto"/>
                <w:sz w:val="21"/>
                <w:szCs w:val="21"/>
                <w:highlight w:val="none"/>
                <w:lang w:val="zh-CN"/>
              </w:rPr>
              <w:t>角料、</w:t>
            </w:r>
            <w:r>
              <w:rPr>
                <w:rFonts w:hint="eastAsia" w:ascii="Times New Roman" w:hAnsi="Times New Roman" w:eastAsia="Times New Roman" w:cs="Times New Roman"/>
                <w:color w:val="auto"/>
                <w:sz w:val="21"/>
                <w:szCs w:val="21"/>
                <w:highlight w:val="none"/>
                <w:lang w:val="en-US" w:eastAsia="zh-CN"/>
              </w:rPr>
              <w:t>S3-2 废包装袋</w:t>
            </w:r>
            <w:r>
              <w:rPr>
                <w:rFonts w:hint="eastAsia" w:ascii="Times New Roman" w:hAnsi="Times New Roman" w:eastAsia="Times New Roman" w:cs="Times New Roman"/>
                <w:color w:val="auto"/>
                <w:sz w:val="21"/>
                <w:szCs w:val="21"/>
                <w:highlight w:val="none"/>
                <w:lang w:val="zh-CN"/>
              </w:rPr>
              <w:t>、</w:t>
            </w:r>
            <w:r>
              <w:rPr>
                <w:rFonts w:hint="default" w:ascii="Times New Roman" w:hAnsi="Times New Roman" w:eastAsia="Times New Roman" w:cs="Times New Roman"/>
                <w:color w:val="auto"/>
                <w:sz w:val="21"/>
                <w:szCs w:val="21"/>
                <w:highlight w:val="none"/>
                <w:lang w:val="zh-CN"/>
              </w:rPr>
              <w:t>S3-</w:t>
            </w:r>
            <w:r>
              <w:rPr>
                <w:rFonts w:hint="eastAsia" w:ascii="Times New Roman" w:hAnsi="Times New Roman" w:eastAsia="Times New Roman" w:cs="Times New Roman"/>
                <w:color w:val="auto"/>
                <w:sz w:val="21"/>
                <w:szCs w:val="21"/>
                <w:highlight w:val="none"/>
                <w:lang w:val="en-US" w:eastAsia="zh-CN"/>
              </w:rPr>
              <w:t>3</w:t>
            </w:r>
            <w:r>
              <w:rPr>
                <w:rFonts w:hint="default" w:ascii="Times New Roman" w:hAnsi="Times New Roman" w:eastAsia="Times New Roman" w:cs="Times New Roman"/>
                <w:color w:val="auto"/>
                <w:sz w:val="21"/>
                <w:szCs w:val="21"/>
                <w:highlight w:val="none"/>
                <w:lang w:val="zh-CN"/>
              </w:rPr>
              <w:t xml:space="preserve"> </w:t>
            </w:r>
            <w:r>
              <w:rPr>
                <w:rFonts w:hint="eastAsia" w:ascii="Times New Roman" w:hAnsi="Times New Roman" w:eastAsia="Times New Roman" w:cs="Times New Roman"/>
                <w:color w:val="auto"/>
                <w:sz w:val="21"/>
                <w:szCs w:val="21"/>
                <w:highlight w:val="none"/>
                <w:lang w:val="zh-CN"/>
              </w:rPr>
              <w:t>不合格品；</w:t>
            </w:r>
            <w:r>
              <w:rPr>
                <w:rFonts w:hint="default" w:ascii="Times New Roman" w:hAnsi="Times New Roman" w:eastAsia="Times New Roman" w:cs="Times New Roman"/>
                <w:color w:val="auto"/>
                <w:sz w:val="21"/>
                <w:szCs w:val="21"/>
                <w:highlight w:val="none"/>
                <w:lang w:val="zh-CN"/>
              </w:rPr>
              <w:t>N</w:t>
            </w:r>
            <w:r>
              <w:rPr>
                <w:rFonts w:hint="default" w:ascii="Times New Roman" w:hAnsi="Times New Roman" w:eastAsia="Times New Roman"/>
                <w:color w:val="auto"/>
                <w:sz w:val="21"/>
                <w:szCs w:val="21"/>
                <w:highlight w:val="none"/>
                <w:lang w:val="zh-CN"/>
              </w:rPr>
              <w:t xml:space="preserve"> </w:t>
            </w:r>
            <w:r>
              <w:rPr>
                <w:rFonts w:hint="eastAsia" w:ascii="宋体" w:hAnsi="宋体"/>
                <w:color w:val="auto"/>
                <w:sz w:val="21"/>
                <w:szCs w:val="21"/>
                <w:highlight w:val="none"/>
                <w:lang w:val="zh-CN"/>
              </w:rPr>
              <w:t>噪声</w:t>
            </w:r>
          </w:p>
          <w:p w14:paraId="519DA751">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kern w:val="0"/>
                <w:sz w:val="24"/>
                <w:szCs w:val="24"/>
                <w:highlight w:val="none"/>
                <w:lang w:val="zh-CN" w:eastAsia="zh-CN" w:bidi="ar-SA"/>
              </w:rPr>
            </w:pPr>
            <w:r>
              <w:rPr>
                <w:b/>
                <w:bCs/>
                <w:color w:val="auto"/>
                <w:sz w:val="24"/>
                <w:szCs w:val="22"/>
                <w:highlight w:val="none"/>
              </w:rPr>
              <w:t>图</w:t>
            </w:r>
            <w:r>
              <w:rPr>
                <w:rFonts w:hint="eastAsia"/>
                <w:b/>
                <w:bCs/>
                <w:color w:val="auto"/>
                <w:sz w:val="24"/>
                <w:szCs w:val="22"/>
                <w:highlight w:val="none"/>
                <w:lang w:val="en-US" w:eastAsia="zh-CN"/>
              </w:rPr>
              <w:t>2</w:t>
            </w:r>
            <w:r>
              <w:rPr>
                <w:b/>
                <w:bCs/>
                <w:color w:val="auto"/>
                <w:sz w:val="24"/>
                <w:szCs w:val="22"/>
                <w:highlight w:val="none"/>
              </w:rPr>
              <w:t>-</w:t>
            </w:r>
            <w:r>
              <w:rPr>
                <w:rFonts w:hint="eastAsia"/>
                <w:b/>
                <w:bCs/>
                <w:color w:val="auto"/>
                <w:sz w:val="24"/>
                <w:szCs w:val="22"/>
                <w:highlight w:val="none"/>
                <w:lang w:val="en-US" w:eastAsia="zh-CN"/>
              </w:rPr>
              <w:t>4</w:t>
            </w:r>
            <w:r>
              <w:rPr>
                <w:rFonts w:hint="eastAsia"/>
                <w:b/>
                <w:bCs/>
                <w:color w:val="auto"/>
                <w:sz w:val="24"/>
                <w:szCs w:val="22"/>
                <w:highlight w:val="none"/>
              </w:rPr>
              <w:t xml:space="preserve"> </w:t>
            </w:r>
            <w:r>
              <w:rPr>
                <w:b/>
                <w:bCs/>
                <w:color w:val="auto"/>
                <w:sz w:val="24"/>
                <w:szCs w:val="22"/>
                <w:highlight w:val="none"/>
              </w:rPr>
              <w:t xml:space="preserve"> </w:t>
            </w:r>
            <w:r>
              <w:rPr>
                <w:rFonts w:hint="eastAsia"/>
                <w:b/>
                <w:bCs/>
                <w:color w:val="auto"/>
                <w:sz w:val="24"/>
                <w:szCs w:val="22"/>
                <w:highlight w:val="none"/>
                <w:lang w:val="en-US" w:eastAsia="zh-CN"/>
              </w:rPr>
              <w:t>棉服、羽绒服和防尘服</w:t>
            </w:r>
            <w:r>
              <w:rPr>
                <w:b/>
                <w:bCs/>
                <w:color w:val="auto"/>
                <w:sz w:val="24"/>
                <w:szCs w:val="22"/>
                <w:highlight w:val="none"/>
              </w:rPr>
              <w:t>生产工艺流程</w:t>
            </w:r>
            <w:r>
              <w:rPr>
                <w:rFonts w:hint="eastAsia"/>
                <w:b/>
                <w:bCs/>
                <w:color w:val="auto"/>
                <w:sz w:val="24"/>
                <w:szCs w:val="22"/>
                <w:highlight w:val="none"/>
              </w:rPr>
              <w:t>及产污节点</w:t>
            </w:r>
          </w:p>
          <w:p w14:paraId="55FD0C14">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auto"/>
                <w:kern w:val="0"/>
                <w:sz w:val="24"/>
                <w:szCs w:val="24"/>
                <w:highlight w:val="none"/>
                <w:lang w:val="zh-CN" w:eastAsia="zh-CN" w:bidi="ar-SA"/>
              </w:rPr>
            </w:pPr>
            <w:r>
              <w:rPr>
                <w:rFonts w:hint="default" w:ascii="Times New Roman" w:hAnsi="Times New Roman" w:eastAsia="宋体" w:cs="Times New Roman"/>
                <w:b/>
                <w:bCs/>
                <w:color w:val="auto"/>
                <w:kern w:val="0"/>
                <w:sz w:val="24"/>
                <w:szCs w:val="24"/>
                <w:highlight w:val="none"/>
                <w:lang w:val="zh-CN" w:eastAsia="zh-CN" w:bidi="ar-SA"/>
              </w:rPr>
              <w:t>工艺流程简述：</w:t>
            </w:r>
          </w:p>
          <w:p w14:paraId="41723C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s="Times New Roman"/>
                <w:b w:val="0"/>
                <w:bCs w:val="0"/>
                <w:color w:val="auto"/>
                <w:kern w:val="0"/>
                <w:sz w:val="24"/>
                <w:szCs w:val="24"/>
                <w:highlight w:val="none"/>
                <w:lang w:val="en-US" w:eastAsia="zh-CN" w:bidi="ar-SA"/>
              </w:rPr>
            </w:pPr>
            <w:r>
              <w:rPr>
                <w:rFonts w:hint="default" w:cs="Times New Roman"/>
                <w:b w:val="0"/>
                <w:bCs w:val="0"/>
                <w:color w:val="auto"/>
                <w:kern w:val="0"/>
                <w:sz w:val="24"/>
                <w:szCs w:val="24"/>
                <w:highlight w:val="none"/>
                <w:lang w:val="zh-CN" w:eastAsia="zh-CN" w:bidi="ar-SA"/>
              </w:rPr>
              <w:t>①</w:t>
            </w:r>
            <w:r>
              <w:rPr>
                <w:rFonts w:hint="eastAsia" w:cs="Times New Roman"/>
                <w:b w:val="0"/>
                <w:bCs w:val="0"/>
                <w:color w:val="auto"/>
                <w:kern w:val="0"/>
                <w:sz w:val="24"/>
                <w:szCs w:val="24"/>
                <w:highlight w:val="none"/>
                <w:lang w:val="en-US" w:eastAsia="zh-CN" w:bidi="ar-SA"/>
              </w:rPr>
              <w:t>验布：将外购的原料面布、里布和导电布由人工检验合格后进入厂区内原料仓库。</w:t>
            </w:r>
          </w:p>
          <w:p w14:paraId="3248C1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eastAsia="宋体" w:cs="Times New Roman"/>
                <w:b w:val="0"/>
                <w:bCs w:val="0"/>
                <w:color w:val="auto"/>
                <w:kern w:val="0"/>
                <w:sz w:val="24"/>
                <w:szCs w:val="24"/>
                <w:highlight w:val="none"/>
                <w:lang w:val="en-US" w:eastAsia="zh-CN" w:bidi="ar-SA"/>
              </w:rPr>
            </w:pPr>
            <w:r>
              <w:rPr>
                <w:rFonts w:hint="eastAsia" w:cs="Times New Roman"/>
                <w:b w:val="0"/>
                <w:bCs w:val="0"/>
                <w:color w:val="auto"/>
                <w:kern w:val="0"/>
                <w:sz w:val="24"/>
                <w:szCs w:val="24"/>
                <w:highlight w:val="none"/>
                <w:lang w:val="en-US" w:eastAsia="zh-CN" w:bidi="ar-SA"/>
              </w:rPr>
              <w:t>②裁剪缝制：</w:t>
            </w:r>
            <w:r>
              <w:rPr>
                <w:rFonts w:hint="eastAsia"/>
                <w:color w:val="auto"/>
                <w:sz w:val="24"/>
                <w:szCs w:val="22"/>
                <w:highlight w:val="none"/>
                <w:lang w:bidi="ar"/>
              </w:rPr>
              <w:t>将检验合格的原材料</w:t>
            </w:r>
            <w:r>
              <w:rPr>
                <w:color w:val="auto"/>
                <w:sz w:val="24"/>
                <w:szCs w:val="22"/>
                <w:highlight w:val="none"/>
                <w:lang w:bidi="ar"/>
              </w:rPr>
              <w:t>按产品要求进行裁剪和缝制</w:t>
            </w:r>
            <w:r>
              <w:rPr>
                <w:rFonts w:hint="eastAsia"/>
                <w:color w:val="auto"/>
                <w:sz w:val="24"/>
                <w:szCs w:val="22"/>
                <w:highlight w:val="none"/>
                <w:lang w:bidi="ar"/>
              </w:rPr>
              <w:t>成</w:t>
            </w:r>
            <w:r>
              <w:rPr>
                <w:rFonts w:hint="eastAsia"/>
                <w:color w:val="auto"/>
                <w:sz w:val="24"/>
                <w:szCs w:val="22"/>
                <w:highlight w:val="none"/>
                <w:lang w:val="en-US" w:eastAsia="zh-CN" w:bidi="ar"/>
              </w:rPr>
              <w:t>所需的尺寸。</w:t>
            </w:r>
            <w:r>
              <w:rPr>
                <w:rFonts w:hint="eastAsia" w:ascii="Times New Roman" w:hAnsi="Times New Roman" w:eastAsia="宋体" w:cs="Times New Roman"/>
                <w:color w:val="auto"/>
                <w:sz w:val="24"/>
                <w:szCs w:val="22"/>
                <w:highlight w:val="none"/>
                <w:lang w:val="en-US" w:eastAsia="zh-CN" w:bidi="ar"/>
              </w:rPr>
              <w:t>此此工序主要</w:t>
            </w:r>
            <w:r>
              <w:rPr>
                <w:rFonts w:hint="default" w:ascii="Times New Roman" w:hAnsi="Times New Roman" w:eastAsia="宋体" w:cs="Times New Roman"/>
                <w:color w:val="auto"/>
                <w:sz w:val="24"/>
                <w:szCs w:val="22"/>
                <w:highlight w:val="none"/>
                <w:lang w:val="zh-CN" w:eastAsia="zh-CN" w:bidi="ar"/>
              </w:rPr>
              <w:t>产生</w:t>
            </w:r>
            <w:r>
              <w:rPr>
                <w:rFonts w:hint="eastAsia" w:ascii="Times New Roman" w:hAnsi="Times New Roman" w:eastAsia="宋体" w:cs="Times New Roman"/>
                <w:color w:val="auto"/>
                <w:sz w:val="24"/>
                <w:szCs w:val="22"/>
                <w:highlight w:val="none"/>
                <w:lang w:val="en-US" w:eastAsia="zh-CN" w:bidi="ar"/>
              </w:rPr>
              <w:t>布料边角料S3-1和设备噪声N。</w:t>
            </w:r>
          </w:p>
          <w:p w14:paraId="0BEC7A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s="Times New Roman"/>
                <w:b w:val="0"/>
                <w:bCs w:val="0"/>
                <w:color w:val="auto"/>
                <w:kern w:val="0"/>
                <w:sz w:val="24"/>
                <w:szCs w:val="24"/>
                <w:highlight w:val="none"/>
                <w:lang w:val="en-US" w:eastAsia="zh-CN" w:bidi="ar-SA"/>
              </w:rPr>
            </w:pPr>
            <w:r>
              <w:rPr>
                <w:rFonts w:hint="eastAsia" w:cs="Times New Roman"/>
                <w:b w:val="0"/>
                <w:bCs w:val="0"/>
                <w:color w:val="auto"/>
                <w:kern w:val="0"/>
                <w:sz w:val="24"/>
                <w:szCs w:val="24"/>
                <w:highlight w:val="none"/>
                <w:lang w:val="en-US" w:eastAsia="zh-CN" w:bidi="ar-SA"/>
              </w:rPr>
              <w:t>③充绒/棉：棉服或羽绒服需用外</w:t>
            </w:r>
            <w:r>
              <w:rPr>
                <w:rFonts w:hint="eastAsia"/>
                <w:color w:val="auto"/>
                <w:sz w:val="24"/>
                <w:szCs w:val="22"/>
                <w:highlight w:val="none"/>
                <w:lang w:val="en-US" w:eastAsia="zh-CN" w:bidi="ar"/>
              </w:rPr>
              <w:t>购的羽绒或纤维棉进行充绒/棉，本项目充绒/棉单独设立充绒隔间，其中充绒时将充绒口套在充绒机的出绒口，封闭扎紧出绒口，按照电脑设置的充绒量，采用充绒机将羽绒充入缝制好的面布。此工序在密闭的状态下操作，无羽绒外溢，纤维绒毛产生的颗粒物可忽略不计；充棉时将纤维棉均匀平铺在进料口，通过充绒机</w:t>
            </w:r>
            <w:r>
              <w:rPr>
                <w:rFonts w:ascii="Arial" w:hAnsi="Arial" w:eastAsia="宋体" w:cs="Arial"/>
                <w:i w:val="0"/>
                <w:iCs w:val="0"/>
                <w:caps w:val="0"/>
                <w:color w:val="auto"/>
                <w:spacing w:val="0"/>
                <w:sz w:val="24"/>
                <w:szCs w:val="24"/>
                <w:highlight w:val="none"/>
                <w:shd w:val="clear" w:fill="FFFFFF"/>
              </w:rPr>
              <w:t>使棉花在气压的作用下通过揣塞管填充到</w:t>
            </w:r>
            <w:r>
              <w:rPr>
                <w:rFonts w:hint="eastAsia" w:ascii="Arial" w:hAnsi="Arial" w:eastAsia="宋体" w:cs="Arial"/>
                <w:i w:val="0"/>
                <w:iCs w:val="0"/>
                <w:caps w:val="0"/>
                <w:color w:val="auto"/>
                <w:spacing w:val="0"/>
                <w:sz w:val="24"/>
                <w:szCs w:val="24"/>
                <w:highlight w:val="none"/>
                <w:shd w:val="clear" w:fill="FFFFFF"/>
                <w:lang w:val="en-US" w:eastAsia="zh-CN"/>
              </w:rPr>
              <w:t>服装</w:t>
            </w:r>
            <w:r>
              <w:rPr>
                <w:rFonts w:ascii="Arial" w:hAnsi="Arial" w:eastAsia="宋体" w:cs="Arial"/>
                <w:i w:val="0"/>
                <w:iCs w:val="0"/>
                <w:caps w:val="0"/>
                <w:color w:val="auto"/>
                <w:spacing w:val="0"/>
                <w:sz w:val="24"/>
                <w:szCs w:val="24"/>
                <w:highlight w:val="none"/>
                <w:shd w:val="clear" w:fill="FFFFFF"/>
              </w:rPr>
              <w:t>内部</w:t>
            </w:r>
            <w:r>
              <w:rPr>
                <w:rFonts w:hint="eastAsia"/>
                <w:color w:val="auto"/>
                <w:sz w:val="24"/>
                <w:szCs w:val="22"/>
                <w:highlight w:val="none"/>
                <w:lang w:val="en-US" w:eastAsia="zh-CN" w:bidi="ar"/>
              </w:rPr>
              <w:t>。此工</w:t>
            </w:r>
            <w:r>
              <w:rPr>
                <w:rFonts w:hint="eastAsia" w:ascii="Times New Roman" w:hAnsi="Times New Roman" w:eastAsia="宋体" w:cs="Times New Roman"/>
                <w:color w:val="auto"/>
                <w:sz w:val="24"/>
                <w:szCs w:val="22"/>
                <w:highlight w:val="none"/>
                <w:lang w:val="en-US" w:eastAsia="zh-CN" w:bidi="ar"/>
              </w:rPr>
              <w:t>序主要</w:t>
            </w:r>
            <w:r>
              <w:rPr>
                <w:rFonts w:hint="default" w:ascii="Times New Roman" w:hAnsi="Times New Roman" w:eastAsia="宋体" w:cs="Times New Roman"/>
                <w:color w:val="auto"/>
                <w:sz w:val="24"/>
                <w:szCs w:val="22"/>
                <w:highlight w:val="none"/>
                <w:lang w:val="zh-CN" w:eastAsia="zh-CN" w:bidi="ar"/>
              </w:rPr>
              <w:t>产生</w:t>
            </w:r>
            <w:r>
              <w:rPr>
                <w:rFonts w:hint="eastAsia" w:cs="Times New Roman"/>
                <w:color w:val="auto"/>
                <w:sz w:val="24"/>
                <w:szCs w:val="22"/>
                <w:highlight w:val="none"/>
                <w:lang w:val="en-US" w:eastAsia="zh-CN" w:bidi="ar"/>
              </w:rPr>
              <w:t>废包装袋S3-2</w:t>
            </w:r>
            <w:r>
              <w:rPr>
                <w:rFonts w:hint="eastAsia" w:ascii="Times New Roman" w:hAnsi="Times New Roman" w:eastAsia="宋体" w:cs="Times New Roman"/>
                <w:color w:val="auto"/>
                <w:sz w:val="24"/>
                <w:szCs w:val="22"/>
                <w:highlight w:val="none"/>
                <w:lang w:val="en-US" w:eastAsia="zh-CN" w:bidi="ar"/>
              </w:rPr>
              <w:t>和设备噪声N。</w:t>
            </w:r>
          </w:p>
          <w:p w14:paraId="530176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eastAsia="宋体" w:cs="Times New Roman"/>
                <w:b w:val="0"/>
                <w:bCs w:val="0"/>
                <w:color w:val="auto"/>
                <w:kern w:val="0"/>
                <w:sz w:val="24"/>
                <w:szCs w:val="24"/>
                <w:highlight w:val="none"/>
                <w:lang w:val="en-US" w:eastAsia="zh-CN" w:bidi="ar-SA"/>
              </w:rPr>
            </w:pPr>
            <w:r>
              <w:rPr>
                <w:rFonts w:hint="eastAsia" w:cs="Times New Roman"/>
                <w:b w:val="0"/>
                <w:bCs w:val="0"/>
                <w:color w:val="auto"/>
                <w:kern w:val="0"/>
                <w:sz w:val="24"/>
                <w:szCs w:val="24"/>
                <w:highlight w:val="none"/>
                <w:lang w:val="en-US" w:eastAsia="zh-CN" w:bidi="ar-SA"/>
              </w:rPr>
              <w:t>④封口：对充绒/棉好的服装进行</w:t>
            </w:r>
            <w:r>
              <w:rPr>
                <w:color w:val="auto"/>
                <w:sz w:val="24"/>
                <w:szCs w:val="22"/>
                <w:highlight w:val="none"/>
                <w:lang w:bidi="ar"/>
              </w:rPr>
              <w:t>缝纫包口</w:t>
            </w:r>
            <w:r>
              <w:rPr>
                <w:rFonts w:hint="eastAsia"/>
                <w:color w:val="auto"/>
                <w:sz w:val="24"/>
                <w:szCs w:val="22"/>
                <w:highlight w:val="none"/>
                <w:lang w:eastAsia="zh-CN" w:bidi="ar"/>
              </w:rPr>
              <w:t>。</w:t>
            </w:r>
          </w:p>
          <w:p w14:paraId="6956E3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s="Times New Roman"/>
                <w:b w:val="0"/>
                <w:bCs w:val="0"/>
                <w:color w:val="auto"/>
                <w:kern w:val="0"/>
                <w:sz w:val="24"/>
                <w:szCs w:val="24"/>
                <w:highlight w:val="none"/>
                <w:lang w:val="en-US" w:eastAsia="zh-CN" w:bidi="ar-SA"/>
              </w:rPr>
            </w:pPr>
            <w:r>
              <w:rPr>
                <w:rFonts w:hint="eastAsia" w:cs="Times New Roman"/>
                <w:b w:val="0"/>
                <w:bCs w:val="0"/>
                <w:color w:val="auto"/>
                <w:kern w:val="0"/>
                <w:sz w:val="24"/>
                <w:szCs w:val="24"/>
                <w:highlight w:val="none"/>
                <w:lang w:val="en-US" w:eastAsia="zh-CN" w:bidi="ar-SA"/>
              </w:rPr>
              <w:t>⑤钉附件：利用拉链和纽扣线</w:t>
            </w:r>
            <w:r>
              <w:rPr>
                <w:color w:val="auto"/>
                <w:sz w:val="24"/>
                <w:szCs w:val="22"/>
                <w:highlight w:val="none"/>
                <w:lang w:bidi="ar"/>
              </w:rPr>
              <w:t>等附件</w:t>
            </w:r>
            <w:r>
              <w:rPr>
                <w:rFonts w:hint="eastAsia"/>
                <w:color w:val="auto"/>
                <w:sz w:val="24"/>
                <w:szCs w:val="22"/>
                <w:highlight w:val="none"/>
                <w:lang w:val="en-US" w:eastAsia="zh-CN" w:bidi="ar"/>
              </w:rPr>
              <w:t>缝制于服装上完成成品。</w:t>
            </w:r>
          </w:p>
          <w:p w14:paraId="4460E0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olor w:val="auto"/>
                <w:szCs w:val="22"/>
                <w:highlight w:val="none"/>
                <w:lang w:val="en-US" w:eastAsia="zh-CN"/>
              </w:rPr>
            </w:pPr>
            <w:r>
              <w:rPr>
                <w:rFonts w:hint="eastAsia" w:cs="Times New Roman"/>
                <w:b w:val="0"/>
                <w:bCs w:val="0"/>
                <w:color w:val="auto"/>
                <w:kern w:val="0"/>
                <w:sz w:val="24"/>
                <w:szCs w:val="24"/>
                <w:highlight w:val="none"/>
                <w:lang w:val="en-US" w:eastAsia="zh-CN" w:bidi="ar-SA"/>
              </w:rPr>
              <w:t>⑥检验：</w:t>
            </w:r>
            <w:r>
              <w:rPr>
                <w:rFonts w:hint="default" w:ascii="Times New Roman" w:hAnsi="Times New Roman" w:eastAsia="宋体" w:cs="Times New Roman"/>
                <w:b w:val="0"/>
                <w:bCs w:val="0"/>
                <w:color w:val="auto"/>
                <w:kern w:val="0"/>
                <w:sz w:val="24"/>
                <w:szCs w:val="24"/>
                <w:highlight w:val="none"/>
                <w:lang w:val="zh-CN" w:eastAsia="zh-CN" w:bidi="ar-SA"/>
              </w:rPr>
              <w:t>对最终产品进行</w:t>
            </w:r>
            <w:r>
              <w:rPr>
                <w:rFonts w:hint="eastAsia" w:ascii="Times New Roman" w:hAnsi="Times New Roman" w:eastAsia="宋体" w:cs="Times New Roman"/>
                <w:b w:val="0"/>
                <w:bCs w:val="0"/>
                <w:color w:val="auto"/>
                <w:kern w:val="0"/>
                <w:sz w:val="24"/>
                <w:szCs w:val="24"/>
                <w:highlight w:val="none"/>
                <w:lang w:val="en-US" w:eastAsia="zh-CN" w:bidi="ar-SA"/>
              </w:rPr>
              <w:t>人工检验外观，检验合格包装后送入成品库。此工序主要</w:t>
            </w:r>
            <w:r>
              <w:rPr>
                <w:rFonts w:hint="default" w:ascii="Times New Roman" w:hAnsi="Times New Roman" w:eastAsia="宋体" w:cs="Times New Roman"/>
                <w:b w:val="0"/>
                <w:bCs w:val="0"/>
                <w:color w:val="auto"/>
                <w:kern w:val="0"/>
                <w:sz w:val="24"/>
                <w:szCs w:val="24"/>
                <w:highlight w:val="none"/>
                <w:lang w:val="zh-CN" w:eastAsia="zh-CN" w:bidi="ar-SA"/>
              </w:rPr>
              <w:t>产生</w:t>
            </w:r>
            <w:r>
              <w:rPr>
                <w:rFonts w:hint="eastAsia" w:ascii="Times New Roman" w:hAnsi="Times New Roman" w:eastAsia="宋体" w:cs="Times New Roman"/>
                <w:b w:val="0"/>
                <w:bCs w:val="0"/>
                <w:color w:val="auto"/>
                <w:kern w:val="0"/>
                <w:sz w:val="24"/>
                <w:szCs w:val="24"/>
                <w:highlight w:val="none"/>
                <w:lang w:val="en-US" w:eastAsia="zh-CN" w:bidi="ar-SA"/>
              </w:rPr>
              <w:t>不合格品S3-2。</w:t>
            </w:r>
          </w:p>
          <w:p w14:paraId="26BEC76B">
            <w:pPr>
              <w:keepNext w:val="0"/>
              <w:keepLines w:val="0"/>
              <w:suppressLineNumbers w:val="0"/>
              <w:spacing w:before="0" w:beforeAutospacing="0" w:after="0" w:afterAutospacing="0" w:line="360" w:lineRule="auto"/>
              <w:ind w:left="0" w:right="0"/>
              <w:jc w:val="both"/>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、产污环节</w:t>
            </w:r>
          </w:p>
          <w:p w14:paraId="046E660E">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项目主要产污环节及污染物见下表</w:t>
            </w:r>
            <w:r>
              <w:rPr>
                <w:rFonts w:hint="default" w:ascii="Times New Roman" w:hAnsi="Times New Roman" w:eastAsia="宋体" w:cs="Times New Roman"/>
                <w:color w:val="auto"/>
                <w:sz w:val="24"/>
                <w:szCs w:val="24"/>
                <w:highlight w:val="none"/>
                <w:lang w:eastAsia="zh-CN"/>
              </w:rPr>
              <w:t>：</w:t>
            </w:r>
          </w:p>
          <w:p w14:paraId="27C562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2-</w:t>
            </w:r>
            <w:r>
              <w:rPr>
                <w:rFonts w:hint="eastAsia" w:cs="Times New Roman"/>
                <w:b/>
                <w:bCs w:val="0"/>
                <w:color w:val="auto"/>
                <w:sz w:val="21"/>
                <w:szCs w:val="21"/>
                <w:highlight w:val="none"/>
                <w:lang w:val="en-US" w:eastAsia="zh-CN"/>
              </w:rPr>
              <w:t>11</w:t>
            </w:r>
            <w:r>
              <w:rPr>
                <w:rFonts w:hint="default" w:ascii="Times New Roman" w:hAnsi="Times New Roman" w:eastAsia="宋体" w:cs="Times New Roman"/>
                <w:b/>
                <w:bCs w:val="0"/>
                <w:color w:val="auto"/>
                <w:sz w:val="21"/>
                <w:szCs w:val="21"/>
                <w:highlight w:val="none"/>
                <w:lang w:val="en-US" w:eastAsia="zh-CN"/>
              </w:rPr>
              <w:t xml:space="preserve">  </w:t>
            </w:r>
            <w:r>
              <w:rPr>
                <w:rFonts w:hint="default" w:ascii="Times New Roman" w:hAnsi="Times New Roman" w:eastAsia="宋体" w:cs="Times New Roman"/>
                <w:b/>
                <w:bCs w:val="0"/>
                <w:color w:val="auto"/>
                <w:sz w:val="21"/>
                <w:szCs w:val="21"/>
                <w:highlight w:val="none"/>
              </w:rPr>
              <w:t>产污环节一览表</w:t>
            </w:r>
          </w:p>
          <w:tbl>
            <w:tblPr>
              <w:tblStyle w:val="39"/>
              <w:tblW w:w="50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47"/>
              <w:gridCol w:w="1023"/>
              <w:gridCol w:w="1262"/>
              <w:gridCol w:w="949"/>
              <w:gridCol w:w="1355"/>
              <w:gridCol w:w="2616"/>
            </w:tblGrid>
            <w:tr w14:paraId="6D11D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tcBorders>
                    <w:tl2br w:val="nil"/>
                    <w:tr2bl w:val="nil"/>
                  </w:tcBorders>
                  <w:noWrap w:val="0"/>
                  <w:vAlign w:val="center"/>
                </w:tcPr>
                <w:p w14:paraId="6019134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i w:val="0"/>
                      <w:iCs w:val="0"/>
                      <w:color w:val="auto"/>
                      <w:sz w:val="21"/>
                      <w:szCs w:val="21"/>
                      <w:highlight w:val="none"/>
                    </w:rPr>
                  </w:pPr>
                  <w:bookmarkStart w:id="7" w:name="_Hlk44427473"/>
                  <w:r>
                    <w:rPr>
                      <w:rFonts w:hint="default" w:ascii="Times New Roman" w:hAnsi="Times New Roman" w:eastAsia="宋体" w:cs="Times New Roman"/>
                      <w:b/>
                      <w:bCs w:val="0"/>
                      <w:i w:val="0"/>
                      <w:iCs w:val="0"/>
                      <w:color w:val="auto"/>
                      <w:sz w:val="21"/>
                      <w:szCs w:val="21"/>
                      <w:highlight w:val="none"/>
                    </w:rPr>
                    <w:t>类别</w:t>
                  </w:r>
                </w:p>
              </w:tc>
              <w:tc>
                <w:tcPr>
                  <w:tcW w:w="1454" w:type="pct"/>
                  <w:gridSpan w:val="2"/>
                  <w:tcBorders>
                    <w:tl2br w:val="nil"/>
                    <w:tr2bl w:val="nil"/>
                  </w:tcBorders>
                  <w:noWrap w:val="0"/>
                  <w:vAlign w:val="center"/>
                </w:tcPr>
                <w:p w14:paraId="32FA9B4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i w:val="0"/>
                      <w:iCs w:val="0"/>
                      <w:color w:val="auto"/>
                      <w:sz w:val="21"/>
                      <w:szCs w:val="21"/>
                      <w:highlight w:val="none"/>
                    </w:rPr>
                  </w:pPr>
                  <w:r>
                    <w:rPr>
                      <w:rFonts w:hint="default" w:ascii="Times New Roman" w:hAnsi="Times New Roman" w:eastAsia="宋体" w:cs="Times New Roman"/>
                      <w:b/>
                      <w:bCs w:val="0"/>
                      <w:i w:val="0"/>
                      <w:iCs w:val="0"/>
                      <w:color w:val="auto"/>
                      <w:sz w:val="21"/>
                      <w:szCs w:val="21"/>
                      <w:highlight w:val="none"/>
                    </w:rPr>
                    <w:t>产污工序</w:t>
                  </w:r>
                </w:p>
              </w:tc>
              <w:tc>
                <w:tcPr>
                  <w:tcW w:w="604" w:type="pct"/>
                  <w:tcBorders>
                    <w:tl2br w:val="nil"/>
                    <w:tr2bl w:val="nil"/>
                  </w:tcBorders>
                  <w:noWrap w:val="0"/>
                  <w:vAlign w:val="center"/>
                </w:tcPr>
                <w:p w14:paraId="5168919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i w:val="0"/>
                      <w:iCs w:val="0"/>
                      <w:color w:val="auto"/>
                      <w:sz w:val="21"/>
                      <w:szCs w:val="21"/>
                      <w:highlight w:val="none"/>
                    </w:rPr>
                  </w:pPr>
                  <w:r>
                    <w:rPr>
                      <w:rFonts w:hint="default" w:ascii="Times New Roman" w:hAnsi="Times New Roman" w:eastAsia="宋体" w:cs="Times New Roman"/>
                      <w:b/>
                      <w:bCs w:val="0"/>
                      <w:i w:val="0"/>
                      <w:iCs w:val="0"/>
                      <w:color w:val="auto"/>
                      <w:sz w:val="21"/>
                      <w:szCs w:val="21"/>
                      <w:highlight w:val="none"/>
                    </w:rPr>
                    <w:t>编号</w:t>
                  </w:r>
                </w:p>
              </w:tc>
              <w:tc>
                <w:tcPr>
                  <w:tcW w:w="862" w:type="pct"/>
                  <w:tcBorders>
                    <w:tl2br w:val="nil"/>
                    <w:tr2bl w:val="nil"/>
                  </w:tcBorders>
                  <w:noWrap w:val="0"/>
                  <w:vAlign w:val="center"/>
                </w:tcPr>
                <w:p w14:paraId="33FEDB6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i w:val="0"/>
                      <w:iCs w:val="0"/>
                      <w:color w:val="auto"/>
                      <w:sz w:val="21"/>
                      <w:szCs w:val="21"/>
                      <w:highlight w:val="none"/>
                    </w:rPr>
                  </w:pPr>
                  <w:r>
                    <w:rPr>
                      <w:rFonts w:hint="default" w:ascii="Times New Roman" w:hAnsi="Times New Roman" w:eastAsia="宋体" w:cs="Times New Roman"/>
                      <w:b/>
                      <w:bCs w:val="0"/>
                      <w:i w:val="0"/>
                      <w:iCs w:val="0"/>
                      <w:color w:val="auto"/>
                      <w:sz w:val="21"/>
                      <w:szCs w:val="21"/>
                      <w:highlight w:val="none"/>
                    </w:rPr>
                    <w:t>污染物名称</w:t>
                  </w:r>
                </w:p>
              </w:tc>
              <w:tc>
                <w:tcPr>
                  <w:tcW w:w="1665" w:type="pct"/>
                  <w:tcBorders>
                    <w:tl2br w:val="nil"/>
                    <w:tr2bl w:val="nil"/>
                  </w:tcBorders>
                  <w:noWrap w:val="0"/>
                  <w:vAlign w:val="center"/>
                </w:tcPr>
                <w:p w14:paraId="7266D3E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i w:val="0"/>
                      <w:iCs w:val="0"/>
                      <w:color w:val="auto"/>
                      <w:sz w:val="21"/>
                      <w:szCs w:val="21"/>
                      <w:highlight w:val="none"/>
                    </w:rPr>
                  </w:pPr>
                  <w:r>
                    <w:rPr>
                      <w:rFonts w:hint="default" w:ascii="Times New Roman" w:hAnsi="Times New Roman" w:eastAsia="宋体" w:cs="Times New Roman"/>
                      <w:b/>
                      <w:bCs w:val="0"/>
                      <w:i w:val="0"/>
                      <w:iCs w:val="0"/>
                      <w:color w:val="auto"/>
                      <w:sz w:val="21"/>
                      <w:szCs w:val="21"/>
                      <w:highlight w:val="none"/>
                    </w:rPr>
                    <w:t>污染因</w:t>
                  </w:r>
                  <w:r>
                    <w:rPr>
                      <w:rFonts w:hint="default" w:ascii="Times New Roman" w:hAnsi="Times New Roman" w:eastAsia="宋体" w:cs="Times New Roman"/>
                      <w:b/>
                      <w:bCs w:val="0"/>
                      <w:i w:val="0"/>
                      <w:iCs w:val="0"/>
                      <w:color w:val="auto"/>
                      <w:sz w:val="21"/>
                      <w:szCs w:val="21"/>
                      <w:highlight w:val="none"/>
                      <w:lang w:eastAsia="zh-CN"/>
                    </w:rPr>
                    <w:t>子</w:t>
                  </w:r>
                  <w:r>
                    <w:rPr>
                      <w:rFonts w:hint="eastAsia" w:cs="Times New Roman"/>
                      <w:b/>
                      <w:bCs w:val="0"/>
                      <w:i w:val="0"/>
                      <w:iCs w:val="0"/>
                      <w:color w:val="auto"/>
                      <w:sz w:val="21"/>
                      <w:szCs w:val="21"/>
                      <w:highlight w:val="none"/>
                      <w:lang w:val="en-US" w:eastAsia="zh-CN"/>
                    </w:rPr>
                    <w:t>/成份</w:t>
                  </w:r>
                  <w:r>
                    <w:rPr>
                      <w:rFonts w:hint="default" w:ascii="Times New Roman" w:hAnsi="Times New Roman" w:eastAsia="宋体" w:cs="Times New Roman"/>
                      <w:b/>
                      <w:bCs w:val="0"/>
                      <w:i w:val="0"/>
                      <w:iCs w:val="0"/>
                      <w:color w:val="auto"/>
                      <w:sz w:val="21"/>
                      <w:szCs w:val="21"/>
                      <w:highlight w:val="none"/>
                    </w:rPr>
                    <w:cr/>
                  </w:r>
                </w:p>
              </w:tc>
            </w:tr>
            <w:tr w14:paraId="46905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restart"/>
                  <w:tcBorders>
                    <w:tl2br w:val="nil"/>
                    <w:tr2bl w:val="nil"/>
                  </w:tcBorders>
                  <w:noWrap w:val="0"/>
                  <w:vAlign w:val="center"/>
                </w:tcPr>
                <w:p w14:paraId="3F727671">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废气</w:t>
                  </w:r>
                </w:p>
              </w:tc>
              <w:tc>
                <w:tcPr>
                  <w:tcW w:w="651" w:type="pct"/>
                  <w:vMerge w:val="restart"/>
                  <w:tcBorders>
                    <w:tl2br w:val="nil"/>
                    <w:tr2bl w:val="nil"/>
                  </w:tcBorders>
                  <w:noWrap w:val="0"/>
                  <w:vAlign w:val="center"/>
                </w:tcPr>
                <w:p w14:paraId="0976C03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PVC连帮鞋生产线</w:t>
                  </w:r>
                </w:p>
              </w:tc>
              <w:tc>
                <w:tcPr>
                  <w:tcW w:w="803" w:type="pct"/>
                  <w:tcBorders>
                    <w:tl2br w:val="nil"/>
                    <w:tr2bl w:val="nil"/>
                  </w:tcBorders>
                  <w:shd w:val="clear" w:color="auto" w:fill="auto"/>
                  <w:noWrap w:val="0"/>
                  <w:vAlign w:val="center"/>
                </w:tcPr>
                <w:p w14:paraId="1A18CFB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cs="Times New Roman"/>
                      <w:i w:val="0"/>
                      <w:iCs w:val="0"/>
                      <w:color w:val="auto"/>
                      <w:kern w:val="2"/>
                      <w:sz w:val="21"/>
                      <w:szCs w:val="21"/>
                      <w:highlight w:val="none"/>
                      <w:lang w:val="en-US" w:eastAsia="zh-CN" w:bidi="ar-SA"/>
                    </w:rPr>
                    <w:t>搅拌</w:t>
                  </w:r>
                </w:p>
              </w:tc>
              <w:tc>
                <w:tcPr>
                  <w:tcW w:w="604" w:type="pct"/>
                  <w:tcBorders>
                    <w:tl2br w:val="nil"/>
                    <w:tr2bl w:val="nil"/>
                  </w:tcBorders>
                  <w:noWrap w:val="0"/>
                  <w:vAlign w:val="center"/>
                </w:tcPr>
                <w:p w14:paraId="0EB1A51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G1-1</w:t>
                  </w:r>
                </w:p>
              </w:tc>
              <w:tc>
                <w:tcPr>
                  <w:tcW w:w="862" w:type="pct"/>
                  <w:tcBorders>
                    <w:tl2br w:val="nil"/>
                    <w:tr2bl w:val="nil"/>
                  </w:tcBorders>
                  <w:noWrap w:val="0"/>
                  <w:vAlign w:val="center"/>
                </w:tcPr>
                <w:p w14:paraId="5875160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投料粉尘</w:t>
                  </w:r>
                </w:p>
              </w:tc>
              <w:tc>
                <w:tcPr>
                  <w:tcW w:w="1665" w:type="pct"/>
                  <w:tcBorders>
                    <w:tl2br w:val="nil"/>
                    <w:tr2bl w:val="nil"/>
                  </w:tcBorders>
                  <w:noWrap w:val="0"/>
                  <w:vAlign w:val="center"/>
                </w:tcPr>
                <w:p w14:paraId="63F3EAD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颗粒物</w:t>
                  </w:r>
                </w:p>
              </w:tc>
            </w:tr>
            <w:tr w14:paraId="54375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338E0B1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651" w:type="pct"/>
                  <w:vMerge w:val="continue"/>
                  <w:tcBorders>
                    <w:tl2br w:val="nil"/>
                    <w:tr2bl w:val="nil"/>
                  </w:tcBorders>
                  <w:noWrap w:val="0"/>
                  <w:vAlign w:val="center"/>
                </w:tcPr>
                <w:p w14:paraId="10E7FB5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p>
              </w:tc>
              <w:tc>
                <w:tcPr>
                  <w:tcW w:w="803" w:type="pct"/>
                  <w:tcBorders>
                    <w:tl2br w:val="nil"/>
                    <w:tr2bl w:val="nil"/>
                  </w:tcBorders>
                  <w:shd w:val="clear" w:color="auto" w:fill="auto"/>
                  <w:noWrap w:val="0"/>
                  <w:vAlign w:val="center"/>
                </w:tcPr>
                <w:p w14:paraId="16BF54F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cs="Times New Roman"/>
                      <w:i w:val="0"/>
                      <w:iCs w:val="0"/>
                      <w:color w:val="auto"/>
                      <w:kern w:val="2"/>
                      <w:sz w:val="21"/>
                      <w:szCs w:val="21"/>
                      <w:highlight w:val="none"/>
                      <w:lang w:val="en-US" w:eastAsia="zh-CN" w:bidi="ar-SA"/>
                    </w:rPr>
                    <w:t>连帮注塑</w:t>
                  </w:r>
                </w:p>
              </w:tc>
              <w:tc>
                <w:tcPr>
                  <w:tcW w:w="604" w:type="pct"/>
                  <w:tcBorders>
                    <w:tl2br w:val="nil"/>
                    <w:tr2bl w:val="nil"/>
                  </w:tcBorders>
                  <w:noWrap w:val="0"/>
                  <w:vAlign w:val="center"/>
                </w:tcPr>
                <w:p w14:paraId="635058D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G1-2</w:t>
                  </w:r>
                </w:p>
              </w:tc>
              <w:tc>
                <w:tcPr>
                  <w:tcW w:w="862" w:type="pct"/>
                  <w:tcBorders>
                    <w:tl2br w:val="nil"/>
                    <w:tr2bl w:val="nil"/>
                  </w:tcBorders>
                  <w:noWrap w:val="0"/>
                  <w:vAlign w:val="center"/>
                </w:tcPr>
                <w:p w14:paraId="311E123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注塑废气</w:t>
                  </w:r>
                </w:p>
              </w:tc>
              <w:tc>
                <w:tcPr>
                  <w:tcW w:w="1665" w:type="pct"/>
                  <w:tcBorders>
                    <w:tl2br w:val="nil"/>
                    <w:tr2bl w:val="nil"/>
                  </w:tcBorders>
                  <w:noWrap w:val="0"/>
                  <w:vAlign w:val="center"/>
                </w:tcPr>
                <w:p w14:paraId="29FC613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非甲烷总烃、氯乙烯、氯化氢</w:t>
                  </w:r>
                </w:p>
              </w:tc>
            </w:tr>
            <w:tr w14:paraId="65281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63B09EC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651" w:type="pct"/>
                  <w:vMerge w:val="continue"/>
                  <w:tcBorders>
                    <w:tl2br w:val="nil"/>
                    <w:tr2bl w:val="nil"/>
                  </w:tcBorders>
                  <w:noWrap w:val="0"/>
                  <w:vAlign w:val="center"/>
                </w:tcPr>
                <w:p w14:paraId="0F273C97">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1"/>
                      <w:szCs w:val="21"/>
                      <w:highlight w:val="none"/>
                      <w:lang w:val="en-US" w:eastAsia="zh-CN"/>
                    </w:rPr>
                  </w:pPr>
                </w:p>
              </w:tc>
              <w:tc>
                <w:tcPr>
                  <w:tcW w:w="803" w:type="pct"/>
                  <w:tcBorders>
                    <w:tl2br w:val="nil"/>
                    <w:tr2bl w:val="nil"/>
                  </w:tcBorders>
                  <w:noWrap w:val="0"/>
                  <w:vAlign w:val="center"/>
                </w:tcPr>
                <w:p w14:paraId="0784387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破碎</w:t>
                  </w:r>
                </w:p>
              </w:tc>
              <w:tc>
                <w:tcPr>
                  <w:tcW w:w="604" w:type="pct"/>
                  <w:tcBorders>
                    <w:tl2br w:val="nil"/>
                    <w:tr2bl w:val="nil"/>
                  </w:tcBorders>
                  <w:noWrap w:val="0"/>
                  <w:vAlign w:val="center"/>
                </w:tcPr>
                <w:p w14:paraId="503E047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G1-3</w:t>
                  </w:r>
                </w:p>
              </w:tc>
              <w:tc>
                <w:tcPr>
                  <w:tcW w:w="862" w:type="pct"/>
                  <w:tcBorders>
                    <w:tl2br w:val="nil"/>
                    <w:tr2bl w:val="nil"/>
                  </w:tcBorders>
                  <w:noWrap w:val="0"/>
                  <w:vAlign w:val="center"/>
                </w:tcPr>
                <w:p w14:paraId="7D6B835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破碎粉尘</w:t>
                  </w:r>
                </w:p>
              </w:tc>
              <w:tc>
                <w:tcPr>
                  <w:tcW w:w="1665" w:type="pct"/>
                  <w:tcBorders>
                    <w:tl2br w:val="nil"/>
                    <w:tr2bl w:val="nil"/>
                  </w:tcBorders>
                  <w:noWrap w:val="0"/>
                  <w:vAlign w:val="center"/>
                </w:tcPr>
                <w:p w14:paraId="53CD40A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颗粒物</w:t>
                  </w:r>
                </w:p>
              </w:tc>
            </w:tr>
            <w:tr w14:paraId="14CCF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1289B0C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651" w:type="pct"/>
                  <w:vMerge w:val="restart"/>
                  <w:tcBorders>
                    <w:tl2br w:val="nil"/>
                    <w:tr2bl w:val="nil"/>
                  </w:tcBorders>
                  <w:noWrap w:val="0"/>
                  <w:vAlign w:val="center"/>
                </w:tcPr>
                <w:p w14:paraId="0BBD1FA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eastAsia="zh-CN"/>
                    </w:rPr>
                  </w:pPr>
                  <w:r>
                    <w:rPr>
                      <w:rFonts w:hint="eastAsia" w:cs="Times New Roman"/>
                      <w:i w:val="0"/>
                      <w:iCs w:val="0"/>
                      <w:color w:val="auto"/>
                      <w:sz w:val="21"/>
                      <w:szCs w:val="21"/>
                      <w:highlight w:val="none"/>
                      <w:lang w:val="en-US" w:eastAsia="zh-CN"/>
                    </w:rPr>
                    <w:t>聚氨酯连帮鞋生产线</w:t>
                  </w:r>
                </w:p>
              </w:tc>
              <w:tc>
                <w:tcPr>
                  <w:tcW w:w="803" w:type="pct"/>
                  <w:tcBorders>
                    <w:tl2br w:val="nil"/>
                    <w:tr2bl w:val="nil"/>
                  </w:tcBorders>
                  <w:noWrap w:val="0"/>
                  <w:vAlign w:val="center"/>
                </w:tcPr>
                <w:p w14:paraId="2766592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上模具</w:t>
                  </w:r>
                </w:p>
              </w:tc>
              <w:tc>
                <w:tcPr>
                  <w:tcW w:w="604" w:type="pct"/>
                  <w:tcBorders>
                    <w:tl2br w:val="nil"/>
                    <w:tr2bl w:val="nil"/>
                  </w:tcBorders>
                  <w:noWrap w:val="0"/>
                  <w:vAlign w:val="center"/>
                </w:tcPr>
                <w:p w14:paraId="260E608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G2-1</w:t>
                  </w:r>
                </w:p>
              </w:tc>
              <w:tc>
                <w:tcPr>
                  <w:tcW w:w="862" w:type="pct"/>
                  <w:tcBorders>
                    <w:tl2br w:val="nil"/>
                    <w:tr2bl w:val="nil"/>
                  </w:tcBorders>
                  <w:noWrap w:val="0"/>
                  <w:vAlign w:val="center"/>
                </w:tcPr>
                <w:p w14:paraId="1A58A0A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脱模剂废气</w:t>
                  </w:r>
                </w:p>
              </w:tc>
              <w:tc>
                <w:tcPr>
                  <w:tcW w:w="1665" w:type="pct"/>
                  <w:tcBorders>
                    <w:tl2br w:val="nil"/>
                    <w:tr2bl w:val="nil"/>
                  </w:tcBorders>
                  <w:noWrap w:val="0"/>
                  <w:vAlign w:val="center"/>
                </w:tcPr>
                <w:p w14:paraId="14244CF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eastAsia="zh-CN"/>
                    </w:rPr>
                  </w:pPr>
                  <w:r>
                    <w:rPr>
                      <w:rFonts w:hint="eastAsia" w:cs="Times New Roman"/>
                      <w:i w:val="0"/>
                      <w:iCs w:val="0"/>
                      <w:color w:val="auto"/>
                      <w:sz w:val="21"/>
                      <w:szCs w:val="21"/>
                      <w:highlight w:val="none"/>
                      <w:lang w:val="en-US" w:eastAsia="zh-CN"/>
                    </w:rPr>
                    <w:t>非甲烷总烃</w:t>
                  </w:r>
                </w:p>
              </w:tc>
            </w:tr>
            <w:tr w14:paraId="6825D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2261A59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651" w:type="pct"/>
                  <w:vMerge w:val="continue"/>
                  <w:tcBorders>
                    <w:tl2br w:val="nil"/>
                    <w:tr2bl w:val="nil"/>
                  </w:tcBorders>
                  <w:noWrap w:val="0"/>
                  <w:vAlign w:val="center"/>
                </w:tcPr>
                <w:p w14:paraId="07CA58D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eastAsia="zh-CN"/>
                    </w:rPr>
                  </w:pPr>
                </w:p>
              </w:tc>
              <w:tc>
                <w:tcPr>
                  <w:tcW w:w="803" w:type="pct"/>
                  <w:tcBorders>
                    <w:tl2br w:val="nil"/>
                    <w:tr2bl w:val="nil"/>
                  </w:tcBorders>
                  <w:noWrap w:val="0"/>
                  <w:vAlign w:val="center"/>
                </w:tcPr>
                <w:p w14:paraId="3F9AFE7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kern w:val="2"/>
                      <w:sz w:val="21"/>
                      <w:szCs w:val="21"/>
                      <w:highlight w:val="none"/>
                      <w:lang w:val="en-US" w:eastAsia="zh-CN" w:bidi="ar-SA"/>
                    </w:rPr>
                    <w:t>连帮浇注</w:t>
                  </w:r>
                </w:p>
              </w:tc>
              <w:tc>
                <w:tcPr>
                  <w:tcW w:w="604" w:type="pct"/>
                  <w:tcBorders>
                    <w:tl2br w:val="nil"/>
                    <w:tr2bl w:val="nil"/>
                  </w:tcBorders>
                  <w:noWrap w:val="0"/>
                  <w:vAlign w:val="center"/>
                </w:tcPr>
                <w:p w14:paraId="2DB66E2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G2-2</w:t>
                  </w:r>
                </w:p>
              </w:tc>
              <w:tc>
                <w:tcPr>
                  <w:tcW w:w="862" w:type="pct"/>
                  <w:tcBorders>
                    <w:tl2br w:val="nil"/>
                    <w:tr2bl w:val="nil"/>
                  </w:tcBorders>
                  <w:noWrap w:val="0"/>
                  <w:vAlign w:val="center"/>
                </w:tcPr>
                <w:p w14:paraId="79AFF0E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浇注废气</w:t>
                  </w:r>
                </w:p>
              </w:tc>
              <w:tc>
                <w:tcPr>
                  <w:tcW w:w="1665" w:type="pct"/>
                  <w:tcBorders>
                    <w:tl2br w:val="nil"/>
                    <w:tr2bl w:val="nil"/>
                  </w:tcBorders>
                  <w:noWrap w:val="0"/>
                  <w:vAlign w:val="center"/>
                </w:tcPr>
                <w:p w14:paraId="0D8E310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非甲烷总烃</w:t>
                  </w:r>
                </w:p>
              </w:tc>
            </w:tr>
            <w:tr w14:paraId="2BC97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6B6E02A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651" w:type="pct"/>
                  <w:vMerge w:val="continue"/>
                  <w:tcBorders>
                    <w:tl2br w:val="nil"/>
                    <w:tr2bl w:val="nil"/>
                  </w:tcBorders>
                  <w:noWrap w:val="0"/>
                  <w:vAlign w:val="center"/>
                </w:tcPr>
                <w:p w14:paraId="15BFAE8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p>
              </w:tc>
              <w:tc>
                <w:tcPr>
                  <w:tcW w:w="803" w:type="pct"/>
                  <w:tcBorders>
                    <w:tl2br w:val="nil"/>
                    <w:tr2bl w:val="nil"/>
                  </w:tcBorders>
                  <w:noWrap w:val="0"/>
                  <w:vAlign w:val="center"/>
                </w:tcPr>
                <w:p w14:paraId="44B1DF7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清洗枪头</w:t>
                  </w:r>
                </w:p>
              </w:tc>
              <w:tc>
                <w:tcPr>
                  <w:tcW w:w="604" w:type="pct"/>
                  <w:tcBorders>
                    <w:tl2br w:val="nil"/>
                    <w:tr2bl w:val="nil"/>
                  </w:tcBorders>
                  <w:noWrap w:val="0"/>
                  <w:vAlign w:val="center"/>
                </w:tcPr>
                <w:p w14:paraId="62ED490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G2-3</w:t>
                  </w:r>
                </w:p>
              </w:tc>
              <w:tc>
                <w:tcPr>
                  <w:tcW w:w="862" w:type="pct"/>
                  <w:tcBorders>
                    <w:tl2br w:val="nil"/>
                    <w:tr2bl w:val="nil"/>
                  </w:tcBorders>
                  <w:noWrap w:val="0"/>
                  <w:vAlign w:val="center"/>
                </w:tcPr>
                <w:p w14:paraId="5E80616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洗枪废气</w:t>
                  </w:r>
                </w:p>
              </w:tc>
              <w:tc>
                <w:tcPr>
                  <w:tcW w:w="1665" w:type="pct"/>
                  <w:tcBorders>
                    <w:tl2br w:val="nil"/>
                    <w:tr2bl w:val="nil"/>
                  </w:tcBorders>
                  <w:noWrap w:val="0"/>
                  <w:vAlign w:val="center"/>
                </w:tcPr>
                <w:p w14:paraId="7584116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eastAsia="zh-CN"/>
                    </w:rPr>
                  </w:pPr>
                  <w:r>
                    <w:rPr>
                      <w:rFonts w:hint="eastAsia" w:cs="Times New Roman"/>
                      <w:i w:val="0"/>
                      <w:iCs w:val="0"/>
                      <w:color w:val="auto"/>
                      <w:sz w:val="21"/>
                      <w:szCs w:val="21"/>
                      <w:highlight w:val="none"/>
                      <w:lang w:val="en-US" w:eastAsia="zh-CN"/>
                    </w:rPr>
                    <w:t>非甲烷总烃</w:t>
                  </w:r>
                </w:p>
              </w:tc>
            </w:tr>
            <w:tr w14:paraId="2F47F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412" w:type="pct"/>
                  <w:vMerge w:val="continue"/>
                  <w:tcBorders>
                    <w:tl2br w:val="nil"/>
                    <w:tr2bl w:val="nil"/>
                  </w:tcBorders>
                  <w:noWrap w:val="0"/>
                  <w:vAlign w:val="center"/>
                </w:tcPr>
                <w:p w14:paraId="045AF98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eastAsia="zh-CN"/>
                    </w:rPr>
                  </w:pPr>
                </w:p>
              </w:tc>
              <w:tc>
                <w:tcPr>
                  <w:tcW w:w="1454" w:type="pct"/>
                  <w:gridSpan w:val="2"/>
                  <w:tcBorders>
                    <w:tl2br w:val="nil"/>
                    <w:tr2bl w:val="nil"/>
                  </w:tcBorders>
                  <w:noWrap w:val="0"/>
                  <w:vAlign w:val="center"/>
                </w:tcPr>
                <w:p w14:paraId="4F5FC4B9">
                  <w:pPr>
                    <w:keepNext w:val="0"/>
                    <w:keepLines w:val="0"/>
                    <w:suppressLineNumbers w:val="0"/>
                    <w:spacing w:before="0" w:beforeAutospacing="0" w:after="0" w:afterAutospacing="0"/>
                    <w:ind w:left="0" w:right="0"/>
                    <w:jc w:val="center"/>
                    <w:rPr>
                      <w:rFonts w:hint="default"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危废暂存库</w:t>
                  </w:r>
                </w:p>
              </w:tc>
              <w:tc>
                <w:tcPr>
                  <w:tcW w:w="604" w:type="pct"/>
                  <w:tcBorders>
                    <w:tl2br w:val="nil"/>
                    <w:tr2bl w:val="nil"/>
                  </w:tcBorders>
                  <w:noWrap w:val="0"/>
                  <w:vAlign w:val="center"/>
                </w:tcPr>
                <w:p w14:paraId="664D123F">
                  <w:pPr>
                    <w:keepNext w:val="0"/>
                    <w:keepLines w:val="0"/>
                    <w:suppressLineNumbers w:val="0"/>
                    <w:spacing w:before="0" w:beforeAutospacing="0" w:after="0" w:afterAutospacing="0"/>
                    <w:ind w:left="0" w:right="0"/>
                    <w:jc w:val="center"/>
                    <w:rPr>
                      <w:rFonts w:hint="default"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G3</w:t>
                  </w:r>
                </w:p>
              </w:tc>
              <w:tc>
                <w:tcPr>
                  <w:tcW w:w="862" w:type="pct"/>
                  <w:tcBorders>
                    <w:tl2br w:val="nil"/>
                    <w:tr2bl w:val="nil"/>
                  </w:tcBorders>
                  <w:noWrap w:val="0"/>
                  <w:vAlign w:val="center"/>
                </w:tcPr>
                <w:p w14:paraId="0329CE4C">
                  <w:pPr>
                    <w:keepNext w:val="0"/>
                    <w:keepLines w:val="0"/>
                    <w:suppressLineNumbers w:val="0"/>
                    <w:spacing w:before="0" w:beforeAutospacing="0" w:after="0" w:afterAutospacing="0"/>
                    <w:ind w:left="0" w:right="0"/>
                    <w:jc w:val="center"/>
                    <w:rPr>
                      <w:rFonts w:hint="default" w:cs="Times New Roman"/>
                      <w:i w:val="0"/>
                      <w:iCs w:val="0"/>
                      <w:color w:val="auto"/>
                      <w:kern w:val="2"/>
                      <w:sz w:val="21"/>
                      <w:szCs w:val="21"/>
                      <w:highlight w:val="none"/>
                      <w:lang w:val="en-US" w:eastAsia="zh-CN" w:bidi="ar-SA"/>
                    </w:rPr>
                  </w:pPr>
                  <w:r>
                    <w:rPr>
                      <w:rFonts w:hint="eastAsia" w:cs="Times New Roman"/>
                      <w:i w:val="0"/>
                      <w:iCs w:val="0"/>
                      <w:color w:val="auto"/>
                      <w:kern w:val="2"/>
                      <w:sz w:val="21"/>
                      <w:szCs w:val="21"/>
                      <w:highlight w:val="none"/>
                      <w:lang w:val="en-US" w:eastAsia="zh-CN" w:bidi="ar-SA"/>
                    </w:rPr>
                    <w:t>危废库废气</w:t>
                  </w:r>
                </w:p>
              </w:tc>
              <w:tc>
                <w:tcPr>
                  <w:tcW w:w="1665" w:type="pct"/>
                  <w:tcBorders>
                    <w:tl2br w:val="nil"/>
                    <w:tr2bl w:val="nil"/>
                  </w:tcBorders>
                  <w:noWrap w:val="0"/>
                  <w:vAlign w:val="center"/>
                </w:tcPr>
                <w:p w14:paraId="26CC574F">
                  <w:pPr>
                    <w:keepNext w:val="0"/>
                    <w:keepLines w:val="0"/>
                    <w:suppressLineNumbers w:val="0"/>
                    <w:spacing w:before="0" w:beforeAutospacing="0" w:after="0" w:afterAutospacing="0"/>
                    <w:ind w:left="0" w:right="0"/>
                    <w:jc w:val="center"/>
                    <w:rPr>
                      <w:rFonts w:hint="eastAsia"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sz w:val="21"/>
                      <w:szCs w:val="21"/>
                      <w:highlight w:val="none"/>
                      <w:lang w:val="en-US" w:eastAsia="zh-CN"/>
                    </w:rPr>
                    <w:t>非甲烷总烃</w:t>
                  </w:r>
                </w:p>
              </w:tc>
            </w:tr>
            <w:tr w14:paraId="00949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3616B92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eastAsia="zh-CN"/>
                    </w:rPr>
                  </w:pPr>
                </w:p>
              </w:tc>
              <w:tc>
                <w:tcPr>
                  <w:tcW w:w="1454" w:type="pct"/>
                  <w:gridSpan w:val="2"/>
                  <w:tcBorders>
                    <w:tl2br w:val="nil"/>
                    <w:tr2bl w:val="nil"/>
                  </w:tcBorders>
                  <w:noWrap w:val="0"/>
                  <w:vAlign w:val="center"/>
                </w:tcPr>
                <w:p w14:paraId="25F7D497">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食堂</w:t>
                  </w:r>
                </w:p>
              </w:tc>
              <w:tc>
                <w:tcPr>
                  <w:tcW w:w="604" w:type="pct"/>
                  <w:tcBorders>
                    <w:tl2br w:val="nil"/>
                    <w:tr2bl w:val="nil"/>
                  </w:tcBorders>
                  <w:noWrap w:val="0"/>
                  <w:vAlign w:val="center"/>
                </w:tcPr>
                <w:p w14:paraId="6D3CA84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G4</w:t>
                  </w:r>
                </w:p>
              </w:tc>
              <w:tc>
                <w:tcPr>
                  <w:tcW w:w="862" w:type="pct"/>
                  <w:tcBorders>
                    <w:tl2br w:val="nil"/>
                    <w:tr2bl w:val="nil"/>
                  </w:tcBorders>
                  <w:noWrap w:val="0"/>
                  <w:vAlign w:val="center"/>
                </w:tcPr>
                <w:p w14:paraId="3807835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cs="Times New Roman"/>
                      <w:i w:val="0"/>
                      <w:iCs w:val="0"/>
                      <w:color w:val="auto"/>
                      <w:kern w:val="2"/>
                      <w:sz w:val="21"/>
                      <w:szCs w:val="21"/>
                      <w:highlight w:val="none"/>
                      <w:lang w:val="en-US" w:eastAsia="zh-CN" w:bidi="ar-SA"/>
                    </w:rPr>
                    <w:t>油烟</w:t>
                  </w:r>
                </w:p>
              </w:tc>
              <w:tc>
                <w:tcPr>
                  <w:tcW w:w="1665" w:type="pct"/>
                  <w:tcBorders>
                    <w:tl2br w:val="nil"/>
                    <w:tr2bl w:val="nil"/>
                  </w:tcBorders>
                  <w:noWrap w:val="0"/>
                  <w:vAlign w:val="center"/>
                </w:tcPr>
                <w:p w14:paraId="37A68DE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kern w:val="2"/>
                      <w:sz w:val="21"/>
                      <w:szCs w:val="21"/>
                      <w:highlight w:val="none"/>
                      <w:lang w:val="en-US" w:eastAsia="zh-CN" w:bidi="ar-SA"/>
                    </w:rPr>
                    <w:t>油烟</w:t>
                  </w:r>
                </w:p>
              </w:tc>
            </w:tr>
            <w:tr w14:paraId="2760B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restart"/>
                  <w:tcBorders>
                    <w:tl2br w:val="nil"/>
                    <w:tr2bl w:val="nil"/>
                  </w:tcBorders>
                  <w:noWrap w:val="0"/>
                  <w:vAlign w:val="center"/>
                </w:tcPr>
                <w:p w14:paraId="333737C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废水</w:t>
                  </w:r>
                </w:p>
              </w:tc>
              <w:tc>
                <w:tcPr>
                  <w:tcW w:w="1454" w:type="pct"/>
                  <w:gridSpan w:val="2"/>
                  <w:tcBorders>
                    <w:tl2br w:val="nil"/>
                    <w:tr2bl w:val="nil"/>
                  </w:tcBorders>
                  <w:shd w:val="clear" w:color="auto" w:fill="auto"/>
                  <w:noWrap w:val="0"/>
                  <w:vAlign w:val="center"/>
                </w:tcPr>
                <w:p w14:paraId="66AF8E32">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职工</w:t>
                  </w:r>
                  <w:r>
                    <w:rPr>
                      <w:rFonts w:hint="default" w:ascii="Times New Roman" w:hAnsi="Times New Roman" w:eastAsia="宋体" w:cs="Times New Roman"/>
                      <w:color w:val="auto"/>
                      <w:sz w:val="21"/>
                      <w:szCs w:val="21"/>
                      <w:highlight w:val="none"/>
                      <w:lang w:eastAsia="zh-CN"/>
                    </w:rPr>
                    <w:t>办公生活</w:t>
                  </w:r>
                </w:p>
              </w:tc>
              <w:tc>
                <w:tcPr>
                  <w:tcW w:w="604" w:type="pct"/>
                  <w:tcBorders>
                    <w:tl2br w:val="nil"/>
                    <w:tr2bl w:val="nil"/>
                  </w:tcBorders>
                  <w:shd w:val="clear" w:color="auto" w:fill="auto"/>
                  <w:noWrap w:val="0"/>
                  <w:vAlign w:val="center"/>
                </w:tcPr>
                <w:p w14:paraId="45DD11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sz w:val="21"/>
                      <w:szCs w:val="21"/>
                      <w:highlight w:val="none"/>
                      <w:lang w:val="en-US" w:eastAsia="zh-CN"/>
                    </w:rPr>
                    <w:t>W1</w:t>
                  </w:r>
                </w:p>
              </w:tc>
              <w:tc>
                <w:tcPr>
                  <w:tcW w:w="862" w:type="pct"/>
                  <w:tcBorders>
                    <w:tl2br w:val="nil"/>
                    <w:tr2bl w:val="nil"/>
                  </w:tcBorders>
                  <w:shd w:val="clear" w:color="auto" w:fill="auto"/>
                  <w:noWrap w:val="0"/>
                  <w:vAlign w:val="center"/>
                </w:tcPr>
                <w:p w14:paraId="2A57109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sz w:val="21"/>
                      <w:szCs w:val="21"/>
                      <w:highlight w:val="none"/>
                      <w:lang w:val="en-US" w:eastAsia="zh-CN"/>
                    </w:rPr>
                    <w:t>生活污水</w:t>
                  </w:r>
                </w:p>
              </w:tc>
              <w:tc>
                <w:tcPr>
                  <w:tcW w:w="1665" w:type="pct"/>
                  <w:tcBorders>
                    <w:tl2br w:val="nil"/>
                    <w:tr2bl w:val="nil"/>
                  </w:tcBorders>
                  <w:shd w:val="clear" w:color="auto" w:fill="auto"/>
                  <w:noWrap w:val="0"/>
                  <w:vAlign w:val="center"/>
                </w:tcPr>
                <w:p w14:paraId="0619ACA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COD、</w:t>
                  </w:r>
                  <w:r>
                    <w:rPr>
                      <w:rFonts w:hint="default" w:ascii="Times New Roman" w:hAnsi="Times New Roman" w:cs="Times New Roman"/>
                      <w:color w:val="auto"/>
                      <w:sz w:val="21"/>
                      <w:szCs w:val="21"/>
                      <w:highlight w:val="none"/>
                      <w:lang w:val="en-US" w:eastAsia="zh-CN"/>
                    </w:rPr>
                    <w:t>BOD</w:t>
                  </w:r>
                  <w:r>
                    <w:rPr>
                      <w:rFonts w:hint="default" w:ascii="Times New Roman" w:hAnsi="Times New Roman" w:cs="Times New Roman"/>
                      <w:color w:val="auto"/>
                      <w:sz w:val="21"/>
                      <w:szCs w:val="21"/>
                      <w:highlight w:val="none"/>
                      <w:vertAlign w:val="subscript"/>
                      <w:lang w:val="en-US" w:eastAsia="zh-CN"/>
                    </w:rPr>
                    <w:t>5</w:t>
                  </w:r>
                  <w:r>
                    <w:rPr>
                      <w:rFonts w:hint="default" w:ascii="Times New Roman" w:hAnsi="Times New Roman" w:cs="Times New Roman"/>
                      <w:color w:val="auto"/>
                      <w:sz w:val="21"/>
                      <w:szCs w:val="21"/>
                      <w:highlight w:val="none"/>
                      <w:vertAlign w:val="baseline"/>
                      <w:lang w:val="en-US" w:eastAsia="zh-CN"/>
                    </w:rPr>
                    <w:t>、</w:t>
                  </w:r>
                  <w:r>
                    <w:rPr>
                      <w:rFonts w:hint="eastAsia" w:ascii="Times New Roman" w:hAnsi="Times New Roman" w:eastAsia="宋体" w:cs="Times New Roman"/>
                      <w:i w:val="0"/>
                      <w:iCs w:val="0"/>
                      <w:color w:val="auto"/>
                      <w:kern w:val="2"/>
                      <w:sz w:val="21"/>
                      <w:szCs w:val="21"/>
                      <w:highlight w:val="none"/>
                      <w:lang w:val="en-US" w:eastAsia="zh-CN" w:bidi="ar-SA"/>
                    </w:rPr>
                    <w:t>NH</w:t>
                  </w:r>
                  <w:r>
                    <w:rPr>
                      <w:rFonts w:hint="eastAsia" w:ascii="Times New Roman" w:hAnsi="Times New Roman" w:eastAsia="宋体" w:cs="Times New Roman"/>
                      <w:i w:val="0"/>
                      <w:iCs w:val="0"/>
                      <w:color w:val="auto"/>
                      <w:kern w:val="2"/>
                      <w:sz w:val="21"/>
                      <w:szCs w:val="21"/>
                      <w:highlight w:val="none"/>
                      <w:vertAlign w:val="subscript"/>
                      <w:lang w:val="en-US" w:eastAsia="zh-CN" w:bidi="ar-SA"/>
                    </w:rPr>
                    <w:t>3</w:t>
                  </w:r>
                  <w:r>
                    <w:rPr>
                      <w:rFonts w:hint="eastAsia" w:ascii="Times New Roman" w:hAnsi="Times New Roman" w:eastAsia="宋体" w:cs="Times New Roman"/>
                      <w:i w:val="0"/>
                      <w:iCs w:val="0"/>
                      <w:color w:val="auto"/>
                      <w:kern w:val="2"/>
                      <w:sz w:val="21"/>
                      <w:szCs w:val="21"/>
                      <w:highlight w:val="none"/>
                      <w:lang w:val="en-US" w:eastAsia="zh-CN" w:bidi="ar-SA"/>
                    </w:rPr>
                    <w:t>-N</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SS</w:t>
                  </w:r>
                </w:p>
              </w:tc>
            </w:tr>
            <w:tr w14:paraId="0DC75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69DAB69F">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1"/>
                      <w:szCs w:val="21"/>
                      <w:highlight w:val="none"/>
                      <w:lang w:val="en-US" w:eastAsia="zh-CN"/>
                    </w:rPr>
                  </w:pPr>
                </w:p>
              </w:tc>
              <w:tc>
                <w:tcPr>
                  <w:tcW w:w="1454" w:type="pct"/>
                  <w:gridSpan w:val="2"/>
                  <w:tcBorders>
                    <w:tl2br w:val="nil"/>
                    <w:tr2bl w:val="nil"/>
                  </w:tcBorders>
                  <w:shd w:val="clear" w:color="auto" w:fill="auto"/>
                  <w:noWrap w:val="0"/>
                  <w:vAlign w:val="center"/>
                </w:tcPr>
                <w:p w14:paraId="1A568E51">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ind w:left="-105" w:leftChars="-50" w:right="-105" w:rightChars="-5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食堂</w:t>
                  </w:r>
                </w:p>
              </w:tc>
              <w:tc>
                <w:tcPr>
                  <w:tcW w:w="604" w:type="pct"/>
                  <w:tcBorders>
                    <w:tl2br w:val="nil"/>
                    <w:tr2bl w:val="nil"/>
                  </w:tcBorders>
                  <w:shd w:val="clear" w:color="auto" w:fill="auto"/>
                  <w:noWrap w:val="0"/>
                  <w:vAlign w:val="center"/>
                </w:tcPr>
                <w:p w14:paraId="2DDF4CD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sz w:val="21"/>
                      <w:szCs w:val="21"/>
                      <w:highlight w:val="none"/>
                      <w:lang w:val="en-US" w:eastAsia="zh-CN"/>
                    </w:rPr>
                    <w:t>W2</w:t>
                  </w:r>
                </w:p>
              </w:tc>
              <w:tc>
                <w:tcPr>
                  <w:tcW w:w="862" w:type="pct"/>
                  <w:tcBorders>
                    <w:tl2br w:val="nil"/>
                    <w:tr2bl w:val="nil"/>
                  </w:tcBorders>
                  <w:shd w:val="clear" w:color="auto" w:fill="auto"/>
                  <w:noWrap w:val="0"/>
                  <w:vAlign w:val="center"/>
                </w:tcPr>
                <w:p w14:paraId="2ADE5E7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sz w:val="21"/>
                      <w:szCs w:val="21"/>
                      <w:highlight w:val="none"/>
                      <w:lang w:val="en-US" w:eastAsia="zh-CN"/>
                    </w:rPr>
                    <w:t>食堂废水</w:t>
                  </w:r>
                </w:p>
              </w:tc>
              <w:tc>
                <w:tcPr>
                  <w:tcW w:w="1665" w:type="pct"/>
                  <w:tcBorders>
                    <w:tl2br w:val="nil"/>
                    <w:tr2bl w:val="nil"/>
                  </w:tcBorders>
                  <w:shd w:val="clear" w:color="auto" w:fill="auto"/>
                  <w:noWrap w:val="0"/>
                  <w:vAlign w:val="center"/>
                </w:tcPr>
                <w:p w14:paraId="44ED283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COD、</w:t>
                  </w:r>
                  <w:r>
                    <w:rPr>
                      <w:rFonts w:hint="default" w:ascii="Times New Roman" w:hAnsi="Times New Roman" w:cs="Times New Roman"/>
                      <w:color w:val="auto"/>
                      <w:sz w:val="21"/>
                      <w:szCs w:val="21"/>
                      <w:highlight w:val="none"/>
                      <w:lang w:val="en-US" w:eastAsia="zh-CN"/>
                    </w:rPr>
                    <w:t>BOD</w:t>
                  </w:r>
                  <w:r>
                    <w:rPr>
                      <w:rFonts w:hint="default" w:ascii="Times New Roman" w:hAnsi="Times New Roman" w:cs="Times New Roman"/>
                      <w:color w:val="auto"/>
                      <w:sz w:val="21"/>
                      <w:szCs w:val="21"/>
                      <w:highlight w:val="none"/>
                      <w:vertAlign w:val="subscript"/>
                      <w:lang w:val="en-US" w:eastAsia="zh-CN"/>
                    </w:rPr>
                    <w:t>5</w:t>
                  </w:r>
                  <w:r>
                    <w:rPr>
                      <w:rFonts w:hint="default" w:ascii="Times New Roman" w:hAnsi="Times New Roman" w:cs="Times New Roman"/>
                      <w:color w:val="auto"/>
                      <w:sz w:val="21"/>
                      <w:szCs w:val="21"/>
                      <w:highlight w:val="none"/>
                      <w:vertAlign w:val="baseline"/>
                      <w:lang w:val="en-US" w:eastAsia="zh-CN"/>
                    </w:rPr>
                    <w:t>、</w:t>
                  </w:r>
                  <w:r>
                    <w:rPr>
                      <w:rFonts w:hint="eastAsia" w:ascii="Times New Roman" w:hAnsi="Times New Roman" w:eastAsia="宋体" w:cs="Times New Roman"/>
                      <w:i w:val="0"/>
                      <w:iCs w:val="0"/>
                      <w:color w:val="auto"/>
                      <w:kern w:val="2"/>
                      <w:sz w:val="21"/>
                      <w:szCs w:val="21"/>
                      <w:highlight w:val="none"/>
                      <w:lang w:val="en-US" w:eastAsia="zh-CN" w:bidi="ar-SA"/>
                    </w:rPr>
                    <w:t>NH</w:t>
                  </w:r>
                  <w:r>
                    <w:rPr>
                      <w:rFonts w:hint="eastAsia" w:ascii="Times New Roman" w:hAnsi="Times New Roman" w:eastAsia="宋体" w:cs="Times New Roman"/>
                      <w:i w:val="0"/>
                      <w:iCs w:val="0"/>
                      <w:color w:val="auto"/>
                      <w:kern w:val="2"/>
                      <w:sz w:val="21"/>
                      <w:szCs w:val="21"/>
                      <w:highlight w:val="none"/>
                      <w:vertAlign w:val="subscript"/>
                      <w:lang w:val="en-US" w:eastAsia="zh-CN" w:bidi="ar-SA"/>
                    </w:rPr>
                    <w:t>3</w:t>
                  </w:r>
                  <w:r>
                    <w:rPr>
                      <w:rFonts w:hint="eastAsia" w:ascii="Times New Roman" w:hAnsi="Times New Roman" w:eastAsia="宋体" w:cs="Times New Roman"/>
                      <w:i w:val="0"/>
                      <w:iCs w:val="0"/>
                      <w:color w:val="auto"/>
                      <w:kern w:val="2"/>
                      <w:sz w:val="21"/>
                      <w:szCs w:val="21"/>
                      <w:highlight w:val="none"/>
                      <w:lang w:val="en-US" w:eastAsia="zh-CN" w:bidi="ar-SA"/>
                    </w:rPr>
                    <w:t>-N</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SS</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动植物油</w:t>
                  </w:r>
                </w:p>
              </w:tc>
            </w:tr>
            <w:tr w14:paraId="2AE03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028BCE60">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1"/>
                      <w:szCs w:val="21"/>
                      <w:highlight w:val="none"/>
                      <w:lang w:val="en-US" w:eastAsia="zh-CN"/>
                    </w:rPr>
                  </w:pPr>
                </w:p>
              </w:tc>
              <w:tc>
                <w:tcPr>
                  <w:tcW w:w="1454" w:type="pct"/>
                  <w:gridSpan w:val="2"/>
                  <w:tcBorders>
                    <w:tl2br w:val="nil"/>
                    <w:tr2bl w:val="nil"/>
                  </w:tcBorders>
                  <w:shd w:val="clear" w:color="auto" w:fill="auto"/>
                  <w:noWrap w:val="0"/>
                  <w:vAlign w:val="center"/>
                </w:tcPr>
                <w:p w14:paraId="16B4FBC2">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eastAsia" w:ascii="Times New Roman" w:hAnsi="Times New Roman" w:eastAsia="宋体" w:cs="Times New Roman"/>
                      <w:color w:val="auto"/>
                      <w:kern w:val="0"/>
                      <w:sz w:val="21"/>
                      <w:szCs w:val="21"/>
                      <w:highlight w:val="none"/>
                      <w:lang w:val="en-US" w:eastAsia="zh-CN" w:bidi="zh-CN"/>
                    </w:rPr>
                    <w:t>车间地坪保洁</w:t>
                  </w:r>
                </w:p>
              </w:tc>
              <w:tc>
                <w:tcPr>
                  <w:tcW w:w="604" w:type="pct"/>
                  <w:tcBorders>
                    <w:tl2br w:val="nil"/>
                    <w:tr2bl w:val="nil"/>
                  </w:tcBorders>
                  <w:shd w:val="clear" w:color="auto" w:fill="auto"/>
                  <w:noWrap w:val="0"/>
                  <w:vAlign w:val="center"/>
                </w:tcPr>
                <w:p w14:paraId="53A8576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sz w:val="21"/>
                      <w:szCs w:val="21"/>
                      <w:highlight w:val="none"/>
                      <w:lang w:val="en-US" w:eastAsia="zh-CN"/>
                    </w:rPr>
                    <w:t>W3</w:t>
                  </w:r>
                </w:p>
              </w:tc>
              <w:tc>
                <w:tcPr>
                  <w:tcW w:w="862" w:type="pct"/>
                  <w:tcBorders>
                    <w:tl2br w:val="nil"/>
                    <w:tr2bl w:val="nil"/>
                  </w:tcBorders>
                  <w:shd w:val="clear" w:color="auto" w:fill="auto"/>
                  <w:noWrap w:val="0"/>
                  <w:vAlign w:val="center"/>
                </w:tcPr>
                <w:p w14:paraId="1189A86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zh-CN"/>
                    </w:rPr>
                  </w:pPr>
                  <w:r>
                    <w:rPr>
                      <w:rFonts w:hint="eastAsia" w:ascii="Times New Roman" w:hAnsi="Times New Roman" w:eastAsia="宋体" w:cs="Times New Roman"/>
                      <w:color w:val="auto"/>
                      <w:kern w:val="0"/>
                      <w:sz w:val="21"/>
                      <w:szCs w:val="21"/>
                      <w:highlight w:val="none"/>
                      <w:lang w:val="en-US" w:eastAsia="zh-CN" w:bidi="zh-CN"/>
                    </w:rPr>
                    <w:t>保洁废水</w:t>
                  </w:r>
                </w:p>
              </w:tc>
              <w:tc>
                <w:tcPr>
                  <w:tcW w:w="1665" w:type="pct"/>
                  <w:tcBorders>
                    <w:tl2br w:val="nil"/>
                    <w:tr2bl w:val="nil"/>
                  </w:tcBorders>
                  <w:shd w:val="clear" w:color="auto" w:fill="auto"/>
                  <w:noWrap w:val="0"/>
                  <w:vAlign w:val="center"/>
                </w:tcPr>
                <w:p w14:paraId="3A978D3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COD、SS</w:t>
                  </w:r>
                </w:p>
              </w:tc>
            </w:tr>
            <w:tr w14:paraId="55A4F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tcBorders>
                    <w:tl2br w:val="nil"/>
                    <w:tr2bl w:val="nil"/>
                  </w:tcBorders>
                  <w:noWrap w:val="0"/>
                  <w:vAlign w:val="center"/>
                </w:tcPr>
                <w:p w14:paraId="2DAC54D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噪声</w:t>
                  </w:r>
                </w:p>
              </w:tc>
              <w:tc>
                <w:tcPr>
                  <w:tcW w:w="1454" w:type="pct"/>
                  <w:gridSpan w:val="2"/>
                  <w:tcBorders>
                    <w:tl2br w:val="nil"/>
                    <w:tr2bl w:val="nil"/>
                  </w:tcBorders>
                  <w:noWrap w:val="0"/>
                  <w:vAlign w:val="center"/>
                </w:tcPr>
                <w:p w14:paraId="2BA7DE3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设备运行</w:t>
                  </w:r>
                </w:p>
              </w:tc>
              <w:tc>
                <w:tcPr>
                  <w:tcW w:w="604" w:type="pct"/>
                  <w:tcBorders>
                    <w:tl2br w:val="nil"/>
                    <w:tr2bl w:val="nil"/>
                  </w:tcBorders>
                  <w:noWrap w:val="0"/>
                  <w:vAlign w:val="center"/>
                </w:tcPr>
                <w:p w14:paraId="353D4CF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N</w:t>
                  </w:r>
                </w:p>
              </w:tc>
              <w:tc>
                <w:tcPr>
                  <w:tcW w:w="862" w:type="pct"/>
                  <w:tcBorders>
                    <w:tl2br w:val="nil"/>
                    <w:tr2bl w:val="nil"/>
                  </w:tcBorders>
                  <w:noWrap w:val="0"/>
                  <w:vAlign w:val="center"/>
                </w:tcPr>
                <w:p w14:paraId="26CC77C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设备噪声</w:t>
                  </w:r>
                </w:p>
              </w:tc>
              <w:tc>
                <w:tcPr>
                  <w:tcW w:w="1665" w:type="pct"/>
                  <w:tcBorders>
                    <w:tl2br w:val="nil"/>
                    <w:tr2bl w:val="nil"/>
                  </w:tcBorders>
                  <w:noWrap w:val="0"/>
                  <w:vAlign w:val="center"/>
                </w:tcPr>
                <w:p w14:paraId="4E64CFD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等效连续A声级</w:t>
                  </w:r>
                </w:p>
              </w:tc>
            </w:tr>
            <w:tr w14:paraId="6BCE3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restart"/>
                  <w:tcBorders>
                    <w:tl2br w:val="nil"/>
                    <w:tr2bl w:val="nil"/>
                  </w:tcBorders>
                  <w:noWrap w:val="0"/>
                  <w:vAlign w:val="center"/>
                </w:tcPr>
                <w:p w14:paraId="1CE5F9B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固废</w:t>
                  </w:r>
                </w:p>
              </w:tc>
              <w:tc>
                <w:tcPr>
                  <w:tcW w:w="651" w:type="pct"/>
                  <w:vMerge w:val="restart"/>
                  <w:tcBorders>
                    <w:tl2br w:val="nil"/>
                    <w:tr2bl w:val="nil"/>
                  </w:tcBorders>
                  <w:noWrap w:val="0"/>
                  <w:vAlign w:val="center"/>
                </w:tcPr>
                <w:p w14:paraId="5DACA67B">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eastAsia="zh-CN"/>
                    </w:rPr>
                  </w:pPr>
                  <w:r>
                    <w:rPr>
                      <w:rFonts w:hint="eastAsia" w:ascii="Times New Roman" w:hAnsi="Times New Roman" w:eastAsia="宋体" w:cs="Times New Roman"/>
                      <w:i w:val="0"/>
                      <w:iCs w:val="0"/>
                      <w:color w:val="auto"/>
                      <w:kern w:val="2"/>
                      <w:sz w:val="21"/>
                      <w:szCs w:val="21"/>
                      <w:highlight w:val="none"/>
                      <w:lang w:val="en-US" w:eastAsia="zh-CN" w:bidi="ar-SA"/>
                    </w:rPr>
                    <w:t>PVC连帮鞋生产线</w:t>
                  </w:r>
                </w:p>
              </w:tc>
              <w:tc>
                <w:tcPr>
                  <w:tcW w:w="803" w:type="pct"/>
                  <w:tcBorders>
                    <w:tl2br w:val="nil"/>
                    <w:tr2bl w:val="nil"/>
                  </w:tcBorders>
                  <w:shd w:val="clear" w:color="auto" w:fill="auto"/>
                  <w:noWrap w:val="0"/>
                  <w:vAlign w:val="center"/>
                </w:tcPr>
                <w:p w14:paraId="48234EC5">
                  <w:pPr>
                    <w:pStyle w:val="277"/>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0"/>
                      <w:sz w:val="21"/>
                      <w:szCs w:val="21"/>
                      <w:highlight w:val="none"/>
                      <w:lang w:val="en-US" w:eastAsia="zh-CN" w:bidi="zh-CN"/>
                    </w:rPr>
                  </w:pPr>
                  <w:r>
                    <w:rPr>
                      <w:rFonts w:hint="eastAsia" w:ascii="Times New Roman" w:hAnsi="Times New Roman" w:cs="Times New Roman"/>
                      <w:i w:val="0"/>
                      <w:iCs w:val="0"/>
                      <w:color w:val="auto"/>
                      <w:sz w:val="21"/>
                      <w:szCs w:val="21"/>
                      <w:highlight w:val="none"/>
                      <w:lang w:val="en-US" w:eastAsia="zh-CN"/>
                    </w:rPr>
                    <w:t>裁剪缝制</w:t>
                  </w:r>
                </w:p>
              </w:tc>
              <w:tc>
                <w:tcPr>
                  <w:tcW w:w="604" w:type="pct"/>
                  <w:tcBorders>
                    <w:tl2br w:val="nil"/>
                    <w:tr2bl w:val="nil"/>
                  </w:tcBorders>
                  <w:shd w:val="clear" w:color="auto" w:fill="auto"/>
                  <w:noWrap w:val="0"/>
                  <w:vAlign w:val="center"/>
                </w:tcPr>
                <w:p w14:paraId="0D647891">
                  <w:pPr>
                    <w:pStyle w:val="277"/>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highlight w:val="none"/>
                      <w:lang w:val="en-US" w:eastAsia="zh-CN" w:bidi="zh-CN"/>
                    </w:rPr>
                  </w:pPr>
                  <w:r>
                    <w:rPr>
                      <w:rFonts w:hint="eastAsia" w:ascii="Times New Roman" w:hAnsi="Times New Roman" w:cs="Times New Roman"/>
                      <w:i w:val="0"/>
                      <w:iCs w:val="0"/>
                      <w:color w:val="auto"/>
                      <w:sz w:val="21"/>
                      <w:szCs w:val="21"/>
                      <w:highlight w:val="none"/>
                      <w:lang w:val="en-US" w:eastAsia="zh-CN"/>
                    </w:rPr>
                    <w:t>S1-1</w:t>
                  </w:r>
                </w:p>
              </w:tc>
              <w:tc>
                <w:tcPr>
                  <w:tcW w:w="862" w:type="pct"/>
                  <w:tcBorders>
                    <w:tl2br w:val="nil"/>
                    <w:tr2bl w:val="nil"/>
                  </w:tcBorders>
                  <w:shd w:val="clear" w:color="auto" w:fill="auto"/>
                  <w:noWrap w:val="0"/>
                  <w:vAlign w:val="center"/>
                </w:tcPr>
                <w:p w14:paraId="020D9429">
                  <w:pPr>
                    <w:pStyle w:val="277"/>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cs="Times New Roman"/>
                      <w:i w:val="0"/>
                      <w:iCs w:val="0"/>
                      <w:color w:val="auto"/>
                      <w:kern w:val="0"/>
                      <w:sz w:val="21"/>
                      <w:szCs w:val="21"/>
                      <w:highlight w:val="none"/>
                      <w:lang w:val="en-US" w:eastAsia="zh-CN" w:bidi="ar-SA"/>
                    </w:rPr>
                    <w:t>皮布边角料</w:t>
                  </w:r>
                </w:p>
              </w:tc>
              <w:tc>
                <w:tcPr>
                  <w:tcW w:w="1665" w:type="pct"/>
                  <w:tcBorders>
                    <w:tl2br w:val="nil"/>
                    <w:tr2bl w:val="nil"/>
                  </w:tcBorders>
                  <w:shd w:val="clear" w:color="auto" w:fill="auto"/>
                  <w:noWrap w:val="0"/>
                  <w:vAlign w:val="center"/>
                </w:tcPr>
                <w:p w14:paraId="198F99B5">
                  <w:pPr>
                    <w:pStyle w:val="277"/>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0"/>
                      <w:sz w:val="21"/>
                      <w:szCs w:val="21"/>
                      <w:highlight w:val="none"/>
                      <w:lang w:val="en-US" w:eastAsia="zh-CN" w:bidi="zh-CN"/>
                    </w:rPr>
                  </w:pPr>
                  <w:r>
                    <w:rPr>
                      <w:rFonts w:hint="eastAsia" w:ascii="Times New Roman" w:hAnsi="Times New Roman" w:cs="Times New Roman"/>
                      <w:i w:val="0"/>
                      <w:iCs w:val="0"/>
                      <w:color w:val="auto"/>
                      <w:sz w:val="21"/>
                      <w:szCs w:val="21"/>
                      <w:highlight w:val="none"/>
                      <w:lang w:val="en-US" w:eastAsia="zh-CN"/>
                    </w:rPr>
                    <w:t>帆布、PVC皮革</w:t>
                  </w:r>
                </w:p>
              </w:tc>
            </w:tr>
            <w:tr w14:paraId="44269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7C8AAE6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651" w:type="pct"/>
                  <w:vMerge w:val="continue"/>
                  <w:tcBorders>
                    <w:tl2br w:val="nil"/>
                    <w:tr2bl w:val="nil"/>
                  </w:tcBorders>
                  <w:noWrap w:val="0"/>
                  <w:vAlign w:val="center"/>
                </w:tcPr>
                <w:p w14:paraId="0F6B18E5">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eastAsia="zh-CN"/>
                    </w:rPr>
                  </w:pPr>
                </w:p>
              </w:tc>
              <w:tc>
                <w:tcPr>
                  <w:tcW w:w="803" w:type="pct"/>
                  <w:vMerge w:val="restart"/>
                  <w:tcBorders>
                    <w:tl2br w:val="nil"/>
                    <w:tr2bl w:val="nil"/>
                  </w:tcBorders>
                  <w:noWrap w:val="0"/>
                  <w:vAlign w:val="center"/>
                </w:tcPr>
                <w:p w14:paraId="1F3BEB54">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kern w:val="2"/>
                      <w:sz w:val="21"/>
                      <w:szCs w:val="21"/>
                      <w:highlight w:val="none"/>
                      <w:lang w:val="en-US" w:eastAsia="zh-CN" w:bidi="ar-SA"/>
                    </w:rPr>
                    <w:t>搅拌</w:t>
                  </w:r>
                </w:p>
              </w:tc>
              <w:tc>
                <w:tcPr>
                  <w:tcW w:w="604" w:type="pct"/>
                  <w:tcBorders>
                    <w:tl2br w:val="nil"/>
                    <w:tr2bl w:val="nil"/>
                  </w:tcBorders>
                  <w:noWrap w:val="0"/>
                  <w:vAlign w:val="center"/>
                </w:tcPr>
                <w:p w14:paraId="06F60198">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S1-2</w:t>
                  </w:r>
                </w:p>
              </w:tc>
              <w:tc>
                <w:tcPr>
                  <w:tcW w:w="862" w:type="pct"/>
                  <w:tcBorders>
                    <w:tl2br w:val="nil"/>
                    <w:tr2bl w:val="nil"/>
                  </w:tcBorders>
                  <w:noWrap w:val="0"/>
                  <w:vAlign w:val="center"/>
                </w:tcPr>
                <w:p w14:paraId="5D4FD70A">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废包装袋</w:t>
                  </w:r>
                </w:p>
              </w:tc>
              <w:tc>
                <w:tcPr>
                  <w:tcW w:w="1665" w:type="pct"/>
                  <w:tcBorders>
                    <w:tl2br w:val="nil"/>
                    <w:tr2bl w:val="nil"/>
                  </w:tcBorders>
                  <w:noWrap w:val="0"/>
                  <w:vAlign w:val="center"/>
                </w:tcPr>
                <w:p w14:paraId="76CC82E6">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粉料包装袋</w:t>
                  </w:r>
                </w:p>
              </w:tc>
            </w:tr>
            <w:tr w14:paraId="7C2D0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3DC6890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651" w:type="pct"/>
                  <w:vMerge w:val="continue"/>
                  <w:tcBorders>
                    <w:tl2br w:val="nil"/>
                    <w:tr2bl w:val="nil"/>
                  </w:tcBorders>
                  <w:noWrap w:val="0"/>
                  <w:vAlign w:val="center"/>
                </w:tcPr>
                <w:p w14:paraId="6900E814">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eastAsia="zh-CN"/>
                    </w:rPr>
                  </w:pPr>
                </w:p>
              </w:tc>
              <w:tc>
                <w:tcPr>
                  <w:tcW w:w="803" w:type="pct"/>
                  <w:vMerge w:val="continue"/>
                  <w:tcBorders>
                    <w:tl2br w:val="nil"/>
                    <w:tr2bl w:val="nil"/>
                  </w:tcBorders>
                  <w:noWrap w:val="0"/>
                  <w:vAlign w:val="center"/>
                </w:tcPr>
                <w:p w14:paraId="481BB20C">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p>
              </w:tc>
              <w:tc>
                <w:tcPr>
                  <w:tcW w:w="604" w:type="pct"/>
                  <w:tcBorders>
                    <w:tl2br w:val="nil"/>
                    <w:tr2bl w:val="nil"/>
                  </w:tcBorders>
                  <w:noWrap w:val="0"/>
                  <w:vAlign w:val="center"/>
                </w:tcPr>
                <w:p w14:paraId="3D5A4254">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S1-3</w:t>
                  </w:r>
                </w:p>
              </w:tc>
              <w:tc>
                <w:tcPr>
                  <w:tcW w:w="862" w:type="pct"/>
                  <w:tcBorders>
                    <w:tl2br w:val="nil"/>
                    <w:tr2bl w:val="nil"/>
                  </w:tcBorders>
                  <w:noWrap w:val="0"/>
                  <w:vAlign w:val="center"/>
                </w:tcPr>
                <w:p w14:paraId="62DACEAC">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cs="Times New Roman"/>
                      <w:i w:val="0"/>
                      <w:iCs w:val="0"/>
                      <w:color w:val="auto"/>
                      <w:kern w:val="0"/>
                      <w:sz w:val="21"/>
                      <w:szCs w:val="21"/>
                      <w:highlight w:val="none"/>
                      <w:lang w:val="en-US" w:eastAsia="zh-CN" w:bidi="ar-SA"/>
                    </w:rPr>
                    <w:t>废包装桶</w:t>
                  </w:r>
                </w:p>
              </w:tc>
              <w:tc>
                <w:tcPr>
                  <w:tcW w:w="1665" w:type="pct"/>
                  <w:tcBorders>
                    <w:tl2br w:val="nil"/>
                    <w:tr2bl w:val="nil"/>
                  </w:tcBorders>
                  <w:noWrap w:val="0"/>
                  <w:vAlign w:val="center"/>
                </w:tcPr>
                <w:p w14:paraId="688F641D">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cs="Times New Roman"/>
                      <w:i w:val="0"/>
                      <w:iCs w:val="0"/>
                      <w:color w:val="auto"/>
                      <w:kern w:val="0"/>
                      <w:sz w:val="21"/>
                      <w:szCs w:val="21"/>
                      <w:highlight w:val="none"/>
                      <w:lang w:val="en-US" w:eastAsia="zh-CN" w:bidi="ar-SA"/>
                    </w:rPr>
                    <w:t>粘附DOP的包装桶</w:t>
                  </w:r>
                </w:p>
              </w:tc>
            </w:tr>
            <w:tr w14:paraId="11113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709DDA9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651" w:type="pct"/>
                  <w:vMerge w:val="continue"/>
                  <w:tcBorders>
                    <w:tl2br w:val="nil"/>
                    <w:tr2bl w:val="nil"/>
                  </w:tcBorders>
                  <w:noWrap w:val="0"/>
                  <w:vAlign w:val="center"/>
                </w:tcPr>
                <w:p w14:paraId="73F7A5CB">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eastAsia="zh-CN"/>
                    </w:rPr>
                  </w:pPr>
                </w:p>
              </w:tc>
              <w:tc>
                <w:tcPr>
                  <w:tcW w:w="803" w:type="pct"/>
                  <w:tcBorders>
                    <w:tl2br w:val="nil"/>
                    <w:tr2bl w:val="nil"/>
                  </w:tcBorders>
                  <w:noWrap w:val="0"/>
                  <w:vAlign w:val="center"/>
                </w:tcPr>
                <w:p w14:paraId="3E2EDE0A">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修边</w:t>
                  </w:r>
                </w:p>
              </w:tc>
              <w:tc>
                <w:tcPr>
                  <w:tcW w:w="604" w:type="pct"/>
                  <w:tcBorders>
                    <w:tl2br w:val="nil"/>
                    <w:tr2bl w:val="nil"/>
                  </w:tcBorders>
                  <w:noWrap w:val="0"/>
                  <w:vAlign w:val="center"/>
                </w:tcPr>
                <w:p w14:paraId="229E6937">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S1-4</w:t>
                  </w:r>
                </w:p>
              </w:tc>
              <w:tc>
                <w:tcPr>
                  <w:tcW w:w="862" w:type="pct"/>
                  <w:tcBorders>
                    <w:tl2br w:val="nil"/>
                    <w:tr2bl w:val="nil"/>
                  </w:tcBorders>
                  <w:noWrap w:val="0"/>
                  <w:vAlign w:val="center"/>
                </w:tcPr>
                <w:p w14:paraId="7A4EB2EB">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cs="Times New Roman"/>
                      <w:i w:val="0"/>
                      <w:iCs w:val="0"/>
                      <w:color w:val="auto"/>
                      <w:kern w:val="0"/>
                      <w:sz w:val="21"/>
                      <w:szCs w:val="21"/>
                      <w:highlight w:val="none"/>
                      <w:lang w:val="en-US" w:eastAsia="zh-CN" w:bidi="ar-SA"/>
                    </w:rPr>
                    <w:t>树脂边角料</w:t>
                  </w:r>
                </w:p>
              </w:tc>
              <w:tc>
                <w:tcPr>
                  <w:tcW w:w="1665" w:type="pct"/>
                  <w:tcBorders>
                    <w:tl2br w:val="nil"/>
                    <w:tr2bl w:val="nil"/>
                  </w:tcBorders>
                  <w:noWrap w:val="0"/>
                  <w:vAlign w:val="center"/>
                </w:tcPr>
                <w:p w14:paraId="02FBC769">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PVC树脂</w:t>
                  </w:r>
                </w:p>
              </w:tc>
            </w:tr>
            <w:tr w14:paraId="0CEFF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355E546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651" w:type="pct"/>
                  <w:vMerge w:val="continue"/>
                  <w:tcBorders>
                    <w:tl2br w:val="nil"/>
                    <w:tr2bl w:val="nil"/>
                  </w:tcBorders>
                  <w:noWrap w:val="0"/>
                  <w:vAlign w:val="center"/>
                </w:tcPr>
                <w:p w14:paraId="1018F889">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eastAsia="zh-CN"/>
                    </w:rPr>
                  </w:pPr>
                </w:p>
              </w:tc>
              <w:tc>
                <w:tcPr>
                  <w:tcW w:w="803" w:type="pct"/>
                  <w:tcBorders>
                    <w:tl2br w:val="nil"/>
                    <w:tr2bl w:val="nil"/>
                  </w:tcBorders>
                  <w:noWrap w:val="0"/>
                  <w:vAlign w:val="center"/>
                </w:tcPr>
                <w:p w14:paraId="101E159B">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检验</w:t>
                  </w:r>
                </w:p>
              </w:tc>
              <w:tc>
                <w:tcPr>
                  <w:tcW w:w="604" w:type="pct"/>
                  <w:tcBorders>
                    <w:tl2br w:val="nil"/>
                    <w:tr2bl w:val="nil"/>
                  </w:tcBorders>
                  <w:noWrap w:val="0"/>
                  <w:vAlign w:val="center"/>
                </w:tcPr>
                <w:p w14:paraId="6B4574B6">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S1-5</w:t>
                  </w:r>
                </w:p>
              </w:tc>
              <w:tc>
                <w:tcPr>
                  <w:tcW w:w="862" w:type="pct"/>
                  <w:tcBorders>
                    <w:tl2br w:val="nil"/>
                    <w:tr2bl w:val="nil"/>
                  </w:tcBorders>
                  <w:noWrap w:val="0"/>
                  <w:vAlign w:val="center"/>
                </w:tcPr>
                <w:p w14:paraId="65E3B172">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不合格品</w:t>
                  </w:r>
                </w:p>
              </w:tc>
              <w:tc>
                <w:tcPr>
                  <w:tcW w:w="1665" w:type="pct"/>
                  <w:tcBorders>
                    <w:tl2br w:val="nil"/>
                    <w:tr2bl w:val="nil"/>
                  </w:tcBorders>
                  <w:noWrap w:val="0"/>
                  <w:vAlign w:val="center"/>
                </w:tcPr>
                <w:p w14:paraId="412195C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PVC</w:t>
                  </w:r>
                  <w:r>
                    <w:rPr>
                      <w:rFonts w:hint="eastAsia" w:cs="Times New Roman"/>
                      <w:i w:val="0"/>
                      <w:iCs w:val="0"/>
                      <w:color w:val="auto"/>
                      <w:sz w:val="21"/>
                      <w:szCs w:val="21"/>
                      <w:highlight w:val="none"/>
                      <w:lang w:val="en-US" w:eastAsia="zh-CN"/>
                    </w:rPr>
                    <w:t>鞋底</w:t>
                  </w:r>
                </w:p>
              </w:tc>
            </w:tr>
            <w:tr w14:paraId="1FBA2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2A43BCE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651" w:type="pct"/>
                  <w:vMerge w:val="restart"/>
                  <w:tcBorders>
                    <w:tl2br w:val="nil"/>
                    <w:tr2bl w:val="nil"/>
                  </w:tcBorders>
                  <w:noWrap w:val="0"/>
                  <w:vAlign w:val="center"/>
                </w:tcPr>
                <w:p w14:paraId="3834E341">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eastAsia="zh-CN"/>
                    </w:rPr>
                  </w:pPr>
                  <w:r>
                    <w:rPr>
                      <w:rFonts w:hint="eastAsia" w:ascii="Times New Roman" w:hAnsi="Times New Roman" w:eastAsia="宋体" w:cs="Times New Roman"/>
                      <w:i w:val="0"/>
                      <w:iCs w:val="0"/>
                      <w:color w:val="auto"/>
                      <w:kern w:val="2"/>
                      <w:sz w:val="21"/>
                      <w:szCs w:val="21"/>
                      <w:highlight w:val="none"/>
                      <w:lang w:val="en-US" w:eastAsia="zh-CN" w:bidi="ar-SA"/>
                    </w:rPr>
                    <w:t>PU连帮鞋生产线</w:t>
                  </w:r>
                </w:p>
              </w:tc>
              <w:tc>
                <w:tcPr>
                  <w:tcW w:w="803" w:type="pct"/>
                  <w:tcBorders>
                    <w:tl2br w:val="nil"/>
                    <w:tr2bl w:val="nil"/>
                  </w:tcBorders>
                  <w:noWrap w:val="0"/>
                  <w:vAlign w:val="center"/>
                </w:tcPr>
                <w:p w14:paraId="250DE723">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eastAsia="zh-CN"/>
                    </w:rPr>
                  </w:pPr>
                  <w:r>
                    <w:rPr>
                      <w:rFonts w:hint="eastAsia" w:ascii="Times New Roman" w:hAnsi="Times New Roman" w:cs="Times New Roman"/>
                      <w:i w:val="0"/>
                      <w:iCs w:val="0"/>
                      <w:color w:val="auto"/>
                      <w:sz w:val="21"/>
                      <w:szCs w:val="21"/>
                      <w:highlight w:val="none"/>
                      <w:lang w:val="en-US" w:eastAsia="zh-CN"/>
                    </w:rPr>
                    <w:t>裁剪缝制</w:t>
                  </w:r>
                </w:p>
              </w:tc>
              <w:tc>
                <w:tcPr>
                  <w:tcW w:w="604" w:type="pct"/>
                  <w:tcBorders>
                    <w:tl2br w:val="nil"/>
                    <w:tr2bl w:val="nil"/>
                  </w:tcBorders>
                  <w:noWrap w:val="0"/>
                  <w:vAlign w:val="center"/>
                </w:tcPr>
                <w:p w14:paraId="0F6892CE">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S2-1</w:t>
                  </w:r>
                </w:p>
              </w:tc>
              <w:tc>
                <w:tcPr>
                  <w:tcW w:w="862" w:type="pct"/>
                  <w:tcBorders>
                    <w:tl2br w:val="nil"/>
                    <w:tr2bl w:val="nil"/>
                  </w:tcBorders>
                  <w:noWrap w:val="0"/>
                  <w:vAlign w:val="center"/>
                </w:tcPr>
                <w:p w14:paraId="281A3271">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皮布边角料</w:t>
                  </w:r>
                </w:p>
              </w:tc>
              <w:tc>
                <w:tcPr>
                  <w:tcW w:w="1665" w:type="pct"/>
                  <w:tcBorders>
                    <w:tl2br w:val="nil"/>
                    <w:tr2bl w:val="nil"/>
                  </w:tcBorders>
                  <w:noWrap w:val="0"/>
                  <w:vAlign w:val="center"/>
                </w:tcPr>
                <w:p w14:paraId="308185B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lang w:val="en-US" w:eastAsia="zh-CN"/>
                    </w:rPr>
                  </w:pPr>
                  <w:r>
                    <w:rPr>
                      <w:rFonts w:hint="eastAsia" w:cs="Times New Roman"/>
                      <w:i w:val="0"/>
                      <w:iCs w:val="0"/>
                      <w:color w:val="auto"/>
                      <w:kern w:val="0"/>
                      <w:sz w:val="21"/>
                      <w:szCs w:val="21"/>
                      <w:highlight w:val="none"/>
                      <w:lang w:val="en-US" w:eastAsia="zh-CN"/>
                    </w:rPr>
                    <w:t>帆布、PVC皮革</w:t>
                  </w:r>
                </w:p>
              </w:tc>
            </w:tr>
            <w:tr w14:paraId="4E3EB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412" w:type="pct"/>
                  <w:vMerge w:val="continue"/>
                  <w:tcBorders>
                    <w:tl2br w:val="nil"/>
                    <w:tr2bl w:val="nil"/>
                  </w:tcBorders>
                  <w:noWrap w:val="0"/>
                  <w:vAlign w:val="center"/>
                </w:tcPr>
                <w:p w14:paraId="1F7D671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651" w:type="pct"/>
                  <w:vMerge w:val="continue"/>
                  <w:tcBorders>
                    <w:tl2br w:val="nil"/>
                    <w:tr2bl w:val="nil"/>
                  </w:tcBorders>
                  <w:noWrap w:val="0"/>
                  <w:vAlign w:val="center"/>
                </w:tcPr>
                <w:p w14:paraId="71FC4D15">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eastAsia="zh-CN"/>
                    </w:rPr>
                  </w:pPr>
                </w:p>
              </w:tc>
              <w:tc>
                <w:tcPr>
                  <w:tcW w:w="803" w:type="pct"/>
                  <w:tcBorders>
                    <w:tl2br w:val="nil"/>
                    <w:tr2bl w:val="nil"/>
                  </w:tcBorders>
                  <w:noWrap w:val="0"/>
                  <w:vAlign w:val="center"/>
                </w:tcPr>
                <w:p w14:paraId="7876307F">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配料</w:t>
                  </w:r>
                </w:p>
              </w:tc>
              <w:tc>
                <w:tcPr>
                  <w:tcW w:w="604" w:type="pct"/>
                  <w:vMerge w:val="restart"/>
                  <w:tcBorders>
                    <w:tl2br w:val="nil"/>
                    <w:tr2bl w:val="nil"/>
                  </w:tcBorders>
                  <w:noWrap w:val="0"/>
                  <w:vAlign w:val="center"/>
                </w:tcPr>
                <w:p w14:paraId="4DE0DE60">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S2-2</w:t>
                  </w:r>
                </w:p>
              </w:tc>
              <w:tc>
                <w:tcPr>
                  <w:tcW w:w="862" w:type="pct"/>
                  <w:vMerge w:val="restart"/>
                  <w:tcBorders>
                    <w:tl2br w:val="nil"/>
                    <w:tr2bl w:val="nil"/>
                  </w:tcBorders>
                  <w:shd w:val="clear" w:color="auto" w:fill="auto"/>
                  <w:noWrap w:val="0"/>
                  <w:vAlign w:val="center"/>
                </w:tcPr>
                <w:p w14:paraId="5CA6B87F">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cs="Times New Roman"/>
                      <w:i w:val="0"/>
                      <w:iCs w:val="0"/>
                      <w:color w:val="auto"/>
                      <w:kern w:val="0"/>
                      <w:sz w:val="21"/>
                      <w:szCs w:val="21"/>
                      <w:highlight w:val="none"/>
                      <w:lang w:val="en-US" w:eastAsia="zh-CN" w:bidi="ar-SA"/>
                    </w:rPr>
                    <w:t>废包装桶</w:t>
                  </w:r>
                </w:p>
              </w:tc>
              <w:tc>
                <w:tcPr>
                  <w:tcW w:w="1665" w:type="pct"/>
                  <w:tcBorders>
                    <w:tl2br w:val="nil"/>
                    <w:tr2bl w:val="nil"/>
                  </w:tcBorders>
                  <w:shd w:val="clear" w:color="auto" w:fill="auto"/>
                  <w:noWrap w:val="0"/>
                  <w:vAlign w:val="center"/>
                </w:tcPr>
                <w:p w14:paraId="18F18B94">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粘附聚氨酯的包装桶</w:t>
                  </w:r>
                </w:p>
              </w:tc>
            </w:tr>
            <w:tr w14:paraId="52DF9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4A9995D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651" w:type="pct"/>
                  <w:vMerge w:val="continue"/>
                  <w:tcBorders>
                    <w:tl2br w:val="nil"/>
                    <w:tr2bl w:val="nil"/>
                  </w:tcBorders>
                  <w:noWrap w:val="0"/>
                  <w:vAlign w:val="center"/>
                </w:tcPr>
                <w:p w14:paraId="147B4C21">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eastAsia="zh-CN"/>
                    </w:rPr>
                  </w:pPr>
                </w:p>
              </w:tc>
              <w:tc>
                <w:tcPr>
                  <w:tcW w:w="803" w:type="pct"/>
                  <w:tcBorders>
                    <w:tl2br w:val="nil"/>
                    <w:tr2bl w:val="nil"/>
                  </w:tcBorders>
                  <w:shd w:val="clear" w:color="auto" w:fill="auto"/>
                  <w:noWrap w:val="0"/>
                  <w:vAlign w:val="center"/>
                </w:tcPr>
                <w:p w14:paraId="3F72D217">
                  <w:pPr>
                    <w:pStyle w:val="277"/>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highlight w:val="none"/>
                      <w:lang w:val="en-US" w:eastAsia="zh-CN" w:bidi="zh-CN"/>
                    </w:rPr>
                  </w:pPr>
                  <w:r>
                    <w:rPr>
                      <w:rFonts w:hint="eastAsia" w:ascii="Times New Roman" w:hAnsi="Times New Roman" w:eastAsia="宋体" w:cs="Times New Roman"/>
                      <w:i w:val="0"/>
                      <w:iCs w:val="0"/>
                      <w:color w:val="auto"/>
                      <w:kern w:val="0"/>
                      <w:sz w:val="21"/>
                      <w:szCs w:val="21"/>
                      <w:highlight w:val="none"/>
                      <w:lang w:val="en-US" w:eastAsia="zh-CN" w:bidi="zh-CN"/>
                    </w:rPr>
                    <w:t>上模具</w:t>
                  </w:r>
                </w:p>
              </w:tc>
              <w:tc>
                <w:tcPr>
                  <w:tcW w:w="604" w:type="pct"/>
                  <w:vMerge w:val="continue"/>
                  <w:tcBorders>
                    <w:tl2br w:val="nil"/>
                    <w:tr2bl w:val="nil"/>
                  </w:tcBorders>
                  <w:noWrap w:val="0"/>
                  <w:vAlign w:val="center"/>
                </w:tcPr>
                <w:p w14:paraId="358028F7">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p>
              </w:tc>
              <w:tc>
                <w:tcPr>
                  <w:tcW w:w="862" w:type="pct"/>
                  <w:vMerge w:val="continue"/>
                  <w:tcBorders>
                    <w:tl2br w:val="nil"/>
                    <w:tr2bl w:val="nil"/>
                  </w:tcBorders>
                  <w:shd w:val="clear" w:color="auto" w:fill="auto"/>
                  <w:noWrap w:val="0"/>
                  <w:vAlign w:val="center"/>
                </w:tcPr>
                <w:p w14:paraId="46FD7CB4">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lang w:val="en-US" w:eastAsia="zh-CN" w:bidi="ar-SA"/>
                    </w:rPr>
                  </w:pPr>
                </w:p>
              </w:tc>
              <w:tc>
                <w:tcPr>
                  <w:tcW w:w="1665" w:type="pct"/>
                  <w:vMerge w:val="restart"/>
                  <w:tcBorders>
                    <w:tl2br w:val="nil"/>
                    <w:tr2bl w:val="nil"/>
                  </w:tcBorders>
                  <w:shd w:val="clear" w:color="auto" w:fill="auto"/>
                  <w:noWrap w:val="0"/>
                  <w:vAlign w:val="center"/>
                </w:tcPr>
                <w:p w14:paraId="648F021E">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lang w:val="en-US" w:eastAsia="zh-CN" w:bidi="zh-CN"/>
                    </w:rPr>
                  </w:pPr>
                  <w:r>
                    <w:rPr>
                      <w:rFonts w:hint="eastAsia" w:ascii="Times New Roman" w:hAnsi="Times New Roman" w:cs="Times New Roman"/>
                      <w:i w:val="0"/>
                      <w:iCs w:val="0"/>
                      <w:color w:val="auto"/>
                      <w:sz w:val="21"/>
                      <w:szCs w:val="21"/>
                      <w:highlight w:val="none"/>
                      <w:lang w:val="en-US" w:eastAsia="zh-CN"/>
                    </w:rPr>
                    <w:t>粘附脱模剂的包装桶</w:t>
                  </w:r>
                </w:p>
              </w:tc>
            </w:tr>
            <w:tr w14:paraId="6600E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06236A5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651" w:type="pct"/>
                  <w:vMerge w:val="continue"/>
                  <w:tcBorders>
                    <w:tl2br w:val="nil"/>
                    <w:tr2bl w:val="nil"/>
                  </w:tcBorders>
                  <w:noWrap w:val="0"/>
                  <w:vAlign w:val="center"/>
                </w:tcPr>
                <w:p w14:paraId="00BEB378">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eastAsia="zh-CN"/>
                    </w:rPr>
                  </w:pPr>
                </w:p>
              </w:tc>
              <w:tc>
                <w:tcPr>
                  <w:tcW w:w="803" w:type="pct"/>
                  <w:vMerge w:val="restart"/>
                  <w:tcBorders>
                    <w:tl2br w:val="nil"/>
                    <w:tr2bl w:val="nil"/>
                  </w:tcBorders>
                  <w:shd w:val="clear" w:color="auto" w:fill="auto"/>
                  <w:noWrap w:val="0"/>
                  <w:vAlign w:val="center"/>
                </w:tcPr>
                <w:p w14:paraId="288DD21C">
                  <w:pPr>
                    <w:pStyle w:val="277"/>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highlight w:val="none"/>
                      <w:lang w:val="en-US" w:eastAsia="zh-CN" w:bidi="zh-CN"/>
                    </w:rPr>
                  </w:pPr>
                  <w:r>
                    <w:rPr>
                      <w:rFonts w:hint="eastAsia" w:ascii="Times New Roman" w:hAnsi="Times New Roman" w:eastAsia="宋体" w:cs="Times New Roman"/>
                      <w:i w:val="0"/>
                      <w:iCs w:val="0"/>
                      <w:color w:val="auto"/>
                      <w:kern w:val="0"/>
                      <w:sz w:val="21"/>
                      <w:szCs w:val="21"/>
                      <w:highlight w:val="none"/>
                      <w:lang w:val="en-US" w:eastAsia="zh-CN" w:bidi="zh-CN"/>
                    </w:rPr>
                    <w:t>清洗枪头</w:t>
                  </w:r>
                </w:p>
              </w:tc>
              <w:tc>
                <w:tcPr>
                  <w:tcW w:w="604" w:type="pct"/>
                  <w:vMerge w:val="continue"/>
                  <w:tcBorders>
                    <w:tl2br w:val="nil"/>
                    <w:tr2bl w:val="nil"/>
                  </w:tcBorders>
                  <w:noWrap w:val="0"/>
                  <w:vAlign w:val="center"/>
                </w:tcPr>
                <w:p w14:paraId="237517EA">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p>
              </w:tc>
              <w:tc>
                <w:tcPr>
                  <w:tcW w:w="862" w:type="pct"/>
                  <w:vMerge w:val="continue"/>
                  <w:tcBorders>
                    <w:tl2br w:val="nil"/>
                    <w:tr2bl w:val="nil"/>
                  </w:tcBorders>
                  <w:shd w:val="clear" w:color="auto" w:fill="auto"/>
                  <w:noWrap w:val="0"/>
                  <w:vAlign w:val="center"/>
                </w:tcPr>
                <w:p w14:paraId="239310DB">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lang w:val="en-US" w:eastAsia="zh-CN" w:bidi="zh-CN"/>
                    </w:rPr>
                  </w:pPr>
                </w:p>
              </w:tc>
              <w:tc>
                <w:tcPr>
                  <w:tcW w:w="1665" w:type="pct"/>
                  <w:vMerge w:val="continue"/>
                  <w:tcBorders>
                    <w:tl2br w:val="nil"/>
                    <w:tr2bl w:val="nil"/>
                  </w:tcBorders>
                  <w:shd w:val="clear" w:color="auto" w:fill="auto"/>
                  <w:noWrap w:val="0"/>
                  <w:vAlign w:val="center"/>
                </w:tcPr>
                <w:p w14:paraId="12A89C94">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lang w:val="en-US" w:eastAsia="zh-CN" w:bidi="zh-CN"/>
                    </w:rPr>
                  </w:pPr>
                </w:p>
              </w:tc>
            </w:tr>
            <w:tr w14:paraId="23246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295C28C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651" w:type="pct"/>
                  <w:vMerge w:val="continue"/>
                  <w:tcBorders>
                    <w:tl2br w:val="nil"/>
                    <w:tr2bl w:val="nil"/>
                  </w:tcBorders>
                  <w:noWrap w:val="0"/>
                  <w:vAlign w:val="center"/>
                </w:tcPr>
                <w:p w14:paraId="4111626B">
                  <w:pPr>
                    <w:pStyle w:val="277"/>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i w:val="0"/>
                      <w:iCs w:val="0"/>
                      <w:color w:val="auto"/>
                      <w:sz w:val="21"/>
                      <w:szCs w:val="21"/>
                      <w:highlight w:val="none"/>
                      <w:lang w:val="en-US" w:eastAsia="zh-CN"/>
                    </w:rPr>
                  </w:pPr>
                </w:p>
              </w:tc>
              <w:tc>
                <w:tcPr>
                  <w:tcW w:w="803" w:type="pct"/>
                  <w:vMerge w:val="continue"/>
                  <w:tcBorders>
                    <w:tl2br w:val="nil"/>
                    <w:tr2bl w:val="nil"/>
                  </w:tcBorders>
                  <w:shd w:val="clear" w:color="auto" w:fill="auto"/>
                  <w:noWrap w:val="0"/>
                  <w:vAlign w:val="center"/>
                </w:tcPr>
                <w:p w14:paraId="2E18CF5D">
                  <w:pPr>
                    <w:pStyle w:val="277"/>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highlight w:val="none"/>
                      <w:lang w:val="en-US" w:eastAsia="zh-CN" w:bidi="zh-CN"/>
                    </w:rPr>
                  </w:pPr>
                </w:p>
              </w:tc>
              <w:tc>
                <w:tcPr>
                  <w:tcW w:w="604" w:type="pct"/>
                  <w:tcBorders>
                    <w:tl2br w:val="nil"/>
                    <w:tr2bl w:val="nil"/>
                  </w:tcBorders>
                  <w:shd w:val="clear" w:color="auto" w:fill="auto"/>
                  <w:noWrap w:val="0"/>
                  <w:vAlign w:val="center"/>
                </w:tcPr>
                <w:p w14:paraId="1E106DBA">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lang w:val="en-US" w:eastAsia="zh-CN" w:bidi="zh-CN"/>
                    </w:rPr>
                  </w:pPr>
                  <w:r>
                    <w:rPr>
                      <w:rFonts w:hint="eastAsia" w:ascii="Times New Roman" w:hAnsi="Times New Roman" w:cs="Times New Roman"/>
                      <w:i w:val="0"/>
                      <w:iCs w:val="0"/>
                      <w:color w:val="auto"/>
                      <w:kern w:val="0"/>
                      <w:sz w:val="21"/>
                      <w:szCs w:val="21"/>
                      <w:highlight w:val="none"/>
                      <w:lang w:val="en-US" w:eastAsia="zh-CN" w:bidi="zh-CN"/>
                    </w:rPr>
                    <w:t>S2-3</w:t>
                  </w:r>
                </w:p>
              </w:tc>
              <w:tc>
                <w:tcPr>
                  <w:tcW w:w="862" w:type="pct"/>
                  <w:tcBorders>
                    <w:tl2br w:val="nil"/>
                    <w:tr2bl w:val="nil"/>
                  </w:tcBorders>
                  <w:shd w:val="clear" w:color="auto" w:fill="auto"/>
                  <w:noWrap w:val="0"/>
                  <w:vAlign w:val="center"/>
                </w:tcPr>
                <w:p w14:paraId="46A5C3E9">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cs="Times New Roman"/>
                      <w:i w:val="0"/>
                      <w:iCs w:val="0"/>
                      <w:color w:val="auto"/>
                      <w:kern w:val="0"/>
                      <w:sz w:val="21"/>
                      <w:szCs w:val="21"/>
                      <w:highlight w:val="none"/>
                      <w:lang w:val="en-US" w:eastAsia="zh-CN" w:bidi="ar-SA"/>
                    </w:rPr>
                    <w:t>清洗废液</w:t>
                  </w:r>
                </w:p>
              </w:tc>
              <w:tc>
                <w:tcPr>
                  <w:tcW w:w="1665" w:type="pct"/>
                  <w:tcBorders>
                    <w:tl2br w:val="nil"/>
                    <w:tr2bl w:val="nil"/>
                  </w:tcBorders>
                  <w:shd w:val="clear" w:color="auto" w:fill="auto"/>
                  <w:noWrap w:val="0"/>
                  <w:vAlign w:val="center"/>
                </w:tcPr>
                <w:p w14:paraId="2A49DD1E">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lang w:val="en-US" w:eastAsia="zh-CN" w:bidi="zh-CN"/>
                    </w:rPr>
                  </w:pPr>
                  <w:r>
                    <w:rPr>
                      <w:rFonts w:hint="eastAsia" w:ascii="Times New Roman" w:hAnsi="Times New Roman" w:cs="Times New Roman"/>
                      <w:i w:val="0"/>
                      <w:iCs w:val="0"/>
                      <w:color w:val="auto"/>
                      <w:kern w:val="0"/>
                      <w:sz w:val="21"/>
                      <w:szCs w:val="21"/>
                      <w:highlight w:val="none"/>
                      <w:lang w:val="en-US" w:eastAsia="zh-CN" w:bidi="zh-CN"/>
                    </w:rPr>
                    <w:t>废脱模剂</w:t>
                  </w:r>
                </w:p>
              </w:tc>
            </w:tr>
            <w:tr w14:paraId="0443D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3038D6B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651" w:type="pct"/>
                  <w:vMerge w:val="continue"/>
                  <w:tcBorders>
                    <w:tl2br w:val="nil"/>
                    <w:tr2bl w:val="nil"/>
                  </w:tcBorders>
                  <w:noWrap w:val="0"/>
                  <w:vAlign w:val="center"/>
                </w:tcPr>
                <w:p w14:paraId="2B17BA31">
                  <w:pPr>
                    <w:pStyle w:val="277"/>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i w:val="0"/>
                      <w:iCs w:val="0"/>
                      <w:color w:val="auto"/>
                      <w:sz w:val="21"/>
                      <w:szCs w:val="21"/>
                      <w:highlight w:val="none"/>
                      <w:lang w:val="en-US" w:eastAsia="zh-CN"/>
                    </w:rPr>
                  </w:pPr>
                </w:p>
              </w:tc>
              <w:tc>
                <w:tcPr>
                  <w:tcW w:w="803" w:type="pct"/>
                  <w:tcBorders>
                    <w:tl2br w:val="nil"/>
                    <w:tr2bl w:val="nil"/>
                  </w:tcBorders>
                  <w:shd w:val="clear" w:color="auto" w:fill="auto"/>
                  <w:noWrap w:val="0"/>
                  <w:vAlign w:val="center"/>
                </w:tcPr>
                <w:p w14:paraId="4D828157">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修边</w:t>
                  </w:r>
                </w:p>
              </w:tc>
              <w:tc>
                <w:tcPr>
                  <w:tcW w:w="604" w:type="pct"/>
                  <w:tcBorders>
                    <w:tl2br w:val="nil"/>
                    <w:tr2bl w:val="nil"/>
                  </w:tcBorders>
                  <w:shd w:val="clear" w:color="auto" w:fill="auto"/>
                  <w:noWrap w:val="0"/>
                  <w:vAlign w:val="center"/>
                </w:tcPr>
                <w:p w14:paraId="5EF61A81">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S2-4</w:t>
                  </w:r>
                </w:p>
              </w:tc>
              <w:tc>
                <w:tcPr>
                  <w:tcW w:w="862" w:type="pct"/>
                  <w:tcBorders>
                    <w:tl2br w:val="nil"/>
                    <w:tr2bl w:val="nil"/>
                  </w:tcBorders>
                  <w:shd w:val="clear" w:color="auto" w:fill="auto"/>
                  <w:noWrap w:val="0"/>
                  <w:vAlign w:val="center"/>
                </w:tcPr>
                <w:p w14:paraId="6E2BCEB5">
                  <w:pPr>
                    <w:pStyle w:val="277"/>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cs="Times New Roman"/>
                      <w:i w:val="0"/>
                      <w:iCs w:val="0"/>
                      <w:color w:val="auto"/>
                      <w:kern w:val="0"/>
                      <w:sz w:val="21"/>
                      <w:szCs w:val="21"/>
                      <w:highlight w:val="none"/>
                      <w:lang w:val="en-US" w:eastAsia="zh-CN" w:bidi="ar-SA"/>
                    </w:rPr>
                    <w:t>树脂边角料</w:t>
                  </w:r>
                </w:p>
              </w:tc>
              <w:tc>
                <w:tcPr>
                  <w:tcW w:w="1665" w:type="pct"/>
                  <w:tcBorders>
                    <w:tl2br w:val="nil"/>
                    <w:tr2bl w:val="nil"/>
                  </w:tcBorders>
                  <w:shd w:val="clear" w:color="auto" w:fill="auto"/>
                  <w:noWrap w:val="0"/>
                  <w:vAlign w:val="center"/>
                </w:tcPr>
                <w:p w14:paraId="13810F55">
                  <w:pPr>
                    <w:pStyle w:val="277"/>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highlight w:val="none"/>
                      <w:lang w:val="en-US" w:eastAsia="zh-CN" w:bidi="zh-CN"/>
                    </w:rPr>
                  </w:pPr>
                  <w:r>
                    <w:rPr>
                      <w:rFonts w:hint="eastAsia" w:ascii="Times New Roman" w:hAnsi="Times New Roman" w:cs="Times New Roman"/>
                      <w:i w:val="0"/>
                      <w:iCs w:val="0"/>
                      <w:color w:val="auto"/>
                      <w:sz w:val="21"/>
                      <w:szCs w:val="21"/>
                      <w:highlight w:val="none"/>
                      <w:lang w:val="en-US" w:eastAsia="zh-CN"/>
                    </w:rPr>
                    <w:t>PU树脂</w:t>
                  </w:r>
                </w:p>
              </w:tc>
            </w:tr>
            <w:tr w14:paraId="4A218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762EC7A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651" w:type="pct"/>
                  <w:vMerge w:val="continue"/>
                  <w:tcBorders>
                    <w:tl2br w:val="nil"/>
                    <w:tr2bl w:val="nil"/>
                  </w:tcBorders>
                  <w:noWrap w:val="0"/>
                  <w:vAlign w:val="center"/>
                </w:tcPr>
                <w:p w14:paraId="0DB3F184">
                  <w:pPr>
                    <w:pStyle w:val="277"/>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i w:val="0"/>
                      <w:iCs w:val="0"/>
                      <w:color w:val="auto"/>
                      <w:sz w:val="21"/>
                      <w:szCs w:val="21"/>
                      <w:highlight w:val="none"/>
                      <w:lang w:val="en-US" w:eastAsia="zh-CN"/>
                    </w:rPr>
                  </w:pPr>
                </w:p>
              </w:tc>
              <w:tc>
                <w:tcPr>
                  <w:tcW w:w="803" w:type="pct"/>
                  <w:tcBorders>
                    <w:tl2br w:val="nil"/>
                    <w:tr2bl w:val="nil"/>
                  </w:tcBorders>
                  <w:shd w:val="clear" w:color="auto" w:fill="auto"/>
                  <w:noWrap w:val="0"/>
                  <w:vAlign w:val="center"/>
                </w:tcPr>
                <w:p w14:paraId="3CB5C5EE">
                  <w:pPr>
                    <w:pStyle w:val="277"/>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0"/>
                      <w:sz w:val="21"/>
                      <w:szCs w:val="21"/>
                      <w:highlight w:val="none"/>
                      <w:lang w:val="en-US" w:eastAsia="zh-CN" w:bidi="zh-CN"/>
                    </w:rPr>
                  </w:pPr>
                  <w:r>
                    <w:rPr>
                      <w:rFonts w:hint="eastAsia" w:ascii="Times New Roman" w:hAnsi="Times New Roman" w:cs="Times New Roman"/>
                      <w:i w:val="0"/>
                      <w:iCs w:val="0"/>
                      <w:color w:val="auto"/>
                      <w:sz w:val="21"/>
                      <w:szCs w:val="21"/>
                      <w:highlight w:val="none"/>
                      <w:lang w:val="en-US" w:eastAsia="zh-CN"/>
                    </w:rPr>
                    <w:t>检验</w:t>
                  </w:r>
                </w:p>
              </w:tc>
              <w:tc>
                <w:tcPr>
                  <w:tcW w:w="604" w:type="pct"/>
                  <w:tcBorders>
                    <w:tl2br w:val="nil"/>
                    <w:tr2bl w:val="nil"/>
                  </w:tcBorders>
                  <w:shd w:val="clear" w:color="auto" w:fill="auto"/>
                  <w:noWrap w:val="0"/>
                  <w:vAlign w:val="center"/>
                </w:tcPr>
                <w:p w14:paraId="2FC8970F">
                  <w:pPr>
                    <w:pStyle w:val="277"/>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0"/>
                      <w:sz w:val="21"/>
                      <w:szCs w:val="21"/>
                      <w:highlight w:val="none"/>
                      <w:lang w:val="en-US" w:eastAsia="zh-CN" w:bidi="zh-CN"/>
                    </w:rPr>
                  </w:pPr>
                  <w:r>
                    <w:rPr>
                      <w:rFonts w:hint="eastAsia" w:ascii="Times New Roman" w:hAnsi="Times New Roman" w:cs="Times New Roman"/>
                      <w:i w:val="0"/>
                      <w:iCs w:val="0"/>
                      <w:color w:val="auto"/>
                      <w:sz w:val="21"/>
                      <w:szCs w:val="21"/>
                      <w:highlight w:val="none"/>
                      <w:lang w:val="en-US" w:eastAsia="zh-CN"/>
                    </w:rPr>
                    <w:t>S2-5</w:t>
                  </w:r>
                </w:p>
              </w:tc>
              <w:tc>
                <w:tcPr>
                  <w:tcW w:w="862" w:type="pct"/>
                  <w:tcBorders>
                    <w:tl2br w:val="nil"/>
                    <w:tr2bl w:val="nil"/>
                  </w:tcBorders>
                  <w:shd w:val="clear" w:color="auto" w:fill="auto"/>
                  <w:noWrap w:val="0"/>
                  <w:vAlign w:val="center"/>
                </w:tcPr>
                <w:p w14:paraId="559F7465">
                  <w:pPr>
                    <w:pStyle w:val="277"/>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0"/>
                      <w:sz w:val="21"/>
                      <w:szCs w:val="21"/>
                      <w:highlight w:val="none"/>
                      <w:lang w:val="en-US" w:eastAsia="zh-CN" w:bidi="zh-CN"/>
                    </w:rPr>
                  </w:pPr>
                  <w:r>
                    <w:rPr>
                      <w:rFonts w:hint="eastAsia" w:ascii="Times New Roman" w:hAnsi="Times New Roman" w:cs="Times New Roman"/>
                      <w:i w:val="0"/>
                      <w:iCs w:val="0"/>
                      <w:color w:val="auto"/>
                      <w:sz w:val="21"/>
                      <w:szCs w:val="21"/>
                      <w:highlight w:val="none"/>
                      <w:lang w:val="en-US" w:eastAsia="zh-CN"/>
                    </w:rPr>
                    <w:t>不合格品</w:t>
                  </w:r>
                </w:p>
              </w:tc>
              <w:tc>
                <w:tcPr>
                  <w:tcW w:w="1665" w:type="pct"/>
                  <w:tcBorders>
                    <w:tl2br w:val="nil"/>
                    <w:tr2bl w:val="nil"/>
                  </w:tcBorders>
                  <w:shd w:val="clear" w:color="auto" w:fill="auto"/>
                  <w:noWrap w:val="0"/>
                  <w:vAlign w:val="center"/>
                </w:tcPr>
                <w:p w14:paraId="657F192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cs="Times New Roman"/>
                      <w:i w:val="0"/>
                      <w:iCs w:val="0"/>
                      <w:color w:val="auto"/>
                      <w:sz w:val="21"/>
                      <w:szCs w:val="21"/>
                      <w:highlight w:val="none"/>
                      <w:lang w:val="en-US" w:eastAsia="zh-CN"/>
                    </w:rPr>
                    <w:t>P</w:t>
                  </w:r>
                  <w:r>
                    <w:rPr>
                      <w:rFonts w:hint="eastAsia" w:cs="Times New Roman"/>
                      <w:i w:val="0"/>
                      <w:iCs w:val="0"/>
                      <w:color w:val="auto"/>
                      <w:sz w:val="21"/>
                      <w:szCs w:val="21"/>
                      <w:highlight w:val="none"/>
                      <w:lang w:val="en-US" w:eastAsia="zh-CN"/>
                    </w:rPr>
                    <w:t>U鞋底</w:t>
                  </w:r>
                </w:p>
              </w:tc>
            </w:tr>
            <w:tr w14:paraId="327D1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5BE7A52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651" w:type="pct"/>
                  <w:vMerge w:val="restart"/>
                  <w:tcBorders>
                    <w:tl2br w:val="nil"/>
                    <w:tr2bl w:val="nil"/>
                  </w:tcBorders>
                  <w:noWrap w:val="0"/>
                  <w:vAlign w:val="center"/>
                </w:tcPr>
                <w:p w14:paraId="09587C26">
                  <w:pPr>
                    <w:pStyle w:val="277"/>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羽绒服、棉服、防尘服生产线</w:t>
                  </w:r>
                </w:p>
              </w:tc>
              <w:tc>
                <w:tcPr>
                  <w:tcW w:w="803" w:type="pct"/>
                  <w:tcBorders>
                    <w:tl2br w:val="nil"/>
                    <w:tr2bl w:val="nil"/>
                  </w:tcBorders>
                  <w:shd w:val="clear" w:color="auto" w:fill="auto"/>
                  <w:noWrap w:val="0"/>
                  <w:vAlign w:val="center"/>
                </w:tcPr>
                <w:p w14:paraId="62D43C1E">
                  <w:pPr>
                    <w:pStyle w:val="277"/>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裁剪缝制</w:t>
                  </w:r>
                </w:p>
              </w:tc>
              <w:tc>
                <w:tcPr>
                  <w:tcW w:w="604" w:type="pct"/>
                  <w:tcBorders>
                    <w:tl2br w:val="nil"/>
                    <w:tr2bl w:val="nil"/>
                  </w:tcBorders>
                  <w:shd w:val="clear" w:color="auto" w:fill="auto"/>
                  <w:noWrap w:val="0"/>
                  <w:vAlign w:val="center"/>
                </w:tcPr>
                <w:p w14:paraId="2EFC6683">
                  <w:pPr>
                    <w:pStyle w:val="277"/>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S3-1</w:t>
                  </w:r>
                </w:p>
              </w:tc>
              <w:tc>
                <w:tcPr>
                  <w:tcW w:w="862" w:type="pct"/>
                  <w:tcBorders>
                    <w:tl2br w:val="nil"/>
                    <w:tr2bl w:val="nil"/>
                  </w:tcBorders>
                  <w:shd w:val="clear" w:color="auto" w:fill="auto"/>
                  <w:noWrap w:val="0"/>
                  <w:vAlign w:val="center"/>
                </w:tcPr>
                <w:p w14:paraId="10955EC7">
                  <w:pPr>
                    <w:pStyle w:val="277"/>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布料边角料</w:t>
                  </w:r>
                </w:p>
              </w:tc>
              <w:tc>
                <w:tcPr>
                  <w:tcW w:w="1665" w:type="pct"/>
                  <w:tcBorders>
                    <w:tl2br w:val="nil"/>
                    <w:tr2bl w:val="nil"/>
                  </w:tcBorders>
                  <w:shd w:val="clear" w:color="auto" w:fill="auto"/>
                  <w:noWrap w:val="0"/>
                  <w:vAlign w:val="center"/>
                </w:tcPr>
                <w:p w14:paraId="37C7443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导电布、里布、面布</w:t>
                  </w:r>
                </w:p>
              </w:tc>
            </w:tr>
            <w:tr w14:paraId="078F8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3085415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651" w:type="pct"/>
                  <w:vMerge w:val="continue"/>
                  <w:tcBorders>
                    <w:tl2br w:val="nil"/>
                    <w:tr2bl w:val="nil"/>
                  </w:tcBorders>
                  <w:noWrap w:val="0"/>
                  <w:vAlign w:val="center"/>
                </w:tcPr>
                <w:p w14:paraId="1CD07137">
                  <w:pPr>
                    <w:pStyle w:val="277"/>
                    <w:keepNext w:val="0"/>
                    <w:keepLines w:val="0"/>
                    <w:suppressLineNumbers w:val="0"/>
                    <w:adjustRightInd w:val="0"/>
                    <w:snapToGrid w:val="0"/>
                    <w:spacing w:before="0" w:beforeAutospacing="0" w:after="0" w:afterAutospacing="0"/>
                    <w:ind w:left="0" w:right="0"/>
                    <w:jc w:val="center"/>
                    <w:rPr>
                      <w:rFonts w:hint="eastAsia" w:cs="Times New Roman"/>
                      <w:i w:val="0"/>
                      <w:iCs w:val="0"/>
                      <w:color w:val="auto"/>
                      <w:sz w:val="21"/>
                      <w:szCs w:val="21"/>
                      <w:highlight w:val="none"/>
                      <w:lang w:val="en-US" w:eastAsia="zh-CN"/>
                    </w:rPr>
                  </w:pPr>
                </w:p>
              </w:tc>
              <w:tc>
                <w:tcPr>
                  <w:tcW w:w="803" w:type="pct"/>
                  <w:tcBorders>
                    <w:tl2br w:val="nil"/>
                    <w:tr2bl w:val="nil"/>
                  </w:tcBorders>
                  <w:shd w:val="clear" w:color="auto" w:fill="auto"/>
                  <w:noWrap w:val="0"/>
                  <w:vAlign w:val="center"/>
                </w:tcPr>
                <w:p w14:paraId="525278E6">
                  <w:pPr>
                    <w:pStyle w:val="277"/>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废包装袋</w:t>
                  </w:r>
                </w:p>
              </w:tc>
              <w:tc>
                <w:tcPr>
                  <w:tcW w:w="604" w:type="pct"/>
                  <w:tcBorders>
                    <w:tl2br w:val="nil"/>
                    <w:tr2bl w:val="nil"/>
                  </w:tcBorders>
                  <w:shd w:val="clear" w:color="auto" w:fill="auto"/>
                  <w:noWrap w:val="0"/>
                  <w:vAlign w:val="center"/>
                </w:tcPr>
                <w:p w14:paraId="60B0C5E0">
                  <w:pPr>
                    <w:pStyle w:val="277"/>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S3-2</w:t>
                  </w:r>
                </w:p>
              </w:tc>
              <w:tc>
                <w:tcPr>
                  <w:tcW w:w="862" w:type="pct"/>
                  <w:tcBorders>
                    <w:tl2br w:val="nil"/>
                    <w:tr2bl w:val="nil"/>
                  </w:tcBorders>
                  <w:shd w:val="clear" w:color="auto" w:fill="auto"/>
                  <w:noWrap w:val="0"/>
                  <w:vAlign w:val="center"/>
                </w:tcPr>
                <w:p w14:paraId="2BD9A263">
                  <w:pPr>
                    <w:pStyle w:val="277"/>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废包装袋</w:t>
                  </w:r>
                </w:p>
              </w:tc>
              <w:tc>
                <w:tcPr>
                  <w:tcW w:w="1665" w:type="pct"/>
                  <w:tcBorders>
                    <w:tl2br w:val="nil"/>
                    <w:tr2bl w:val="nil"/>
                  </w:tcBorders>
                  <w:shd w:val="clear" w:color="auto" w:fill="auto"/>
                  <w:noWrap w:val="0"/>
                  <w:vAlign w:val="center"/>
                </w:tcPr>
                <w:p w14:paraId="07B1E86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羽绒、棉絮包装袋</w:t>
                  </w:r>
                </w:p>
              </w:tc>
            </w:tr>
            <w:tr w14:paraId="7FB86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071A032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651" w:type="pct"/>
                  <w:vMerge w:val="continue"/>
                  <w:tcBorders>
                    <w:tl2br w:val="nil"/>
                    <w:tr2bl w:val="nil"/>
                  </w:tcBorders>
                  <w:noWrap w:val="0"/>
                  <w:vAlign w:val="center"/>
                </w:tcPr>
                <w:p w14:paraId="6FE8D683">
                  <w:pPr>
                    <w:pStyle w:val="277"/>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i w:val="0"/>
                      <w:iCs w:val="0"/>
                      <w:color w:val="auto"/>
                      <w:sz w:val="21"/>
                      <w:szCs w:val="21"/>
                      <w:highlight w:val="none"/>
                      <w:lang w:val="en-US" w:eastAsia="zh-CN"/>
                    </w:rPr>
                  </w:pPr>
                </w:p>
              </w:tc>
              <w:tc>
                <w:tcPr>
                  <w:tcW w:w="803" w:type="pct"/>
                  <w:tcBorders>
                    <w:tl2br w:val="nil"/>
                    <w:tr2bl w:val="nil"/>
                  </w:tcBorders>
                  <w:shd w:val="clear" w:color="auto" w:fill="auto"/>
                  <w:noWrap w:val="0"/>
                  <w:vAlign w:val="center"/>
                </w:tcPr>
                <w:p w14:paraId="5B0704DE">
                  <w:pPr>
                    <w:pStyle w:val="277"/>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检验</w:t>
                  </w:r>
                </w:p>
              </w:tc>
              <w:tc>
                <w:tcPr>
                  <w:tcW w:w="604" w:type="pct"/>
                  <w:tcBorders>
                    <w:tl2br w:val="nil"/>
                    <w:tr2bl w:val="nil"/>
                  </w:tcBorders>
                  <w:shd w:val="clear" w:color="auto" w:fill="auto"/>
                  <w:noWrap w:val="0"/>
                  <w:vAlign w:val="center"/>
                </w:tcPr>
                <w:p w14:paraId="530BBECE">
                  <w:pPr>
                    <w:pStyle w:val="277"/>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S3-3</w:t>
                  </w:r>
                </w:p>
              </w:tc>
              <w:tc>
                <w:tcPr>
                  <w:tcW w:w="862" w:type="pct"/>
                  <w:tcBorders>
                    <w:tl2br w:val="nil"/>
                    <w:tr2bl w:val="nil"/>
                  </w:tcBorders>
                  <w:shd w:val="clear" w:color="auto" w:fill="auto"/>
                  <w:noWrap w:val="0"/>
                  <w:vAlign w:val="center"/>
                </w:tcPr>
                <w:p w14:paraId="5BEB840F">
                  <w:pPr>
                    <w:pStyle w:val="277"/>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不合格品</w:t>
                  </w:r>
                </w:p>
              </w:tc>
              <w:tc>
                <w:tcPr>
                  <w:tcW w:w="1665" w:type="pct"/>
                  <w:tcBorders>
                    <w:tl2br w:val="nil"/>
                    <w:tr2bl w:val="nil"/>
                  </w:tcBorders>
                  <w:shd w:val="clear" w:color="auto" w:fill="auto"/>
                  <w:noWrap w:val="0"/>
                  <w:vAlign w:val="center"/>
                </w:tcPr>
                <w:p w14:paraId="62DF4F3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羽绒服、棉服、防尘服</w:t>
                  </w:r>
                </w:p>
              </w:tc>
            </w:tr>
            <w:tr w14:paraId="63F52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4449A65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1454" w:type="pct"/>
                  <w:gridSpan w:val="2"/>
                  <w:vMerge w:val="restart"/>
                  <w:tcBorders>
                    <w:tl2br w:val="nil"/>
                    <w:tr2bl w:val="nil"/>
                  </w:tcBorders>
                  <w:noWrap w:val="0"/>
                  <w:vAlign w:val="center"/>
                </w:tcPr>
                <w:p w14:paraId="1DFEC385">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cs="Times New Roman"/>
                      <w:i w:val="0"/>
                      <w:iCs w:val="0"/>
                      <w:color w:val="auto"/>
                      <w:sz w:val="21"/>
                      <w:szCs w:val="21"/>
                      <w:highlight w:val="none"/>
                      <w:lang w:val="en-US" w:eastAsia="zh-CN"/>
                    </w:rPr>
                    <w:t xml:space="preserve">废气处理 </w:t>
                  </w:r>
                </w:p>
              </w:tc>
              <w:tc>
                <w:tcPr>
                  <w:tcW w:w="604" w:type="pct"/>
                  <w:tcBorders>
                    <w:tl2br w:val="nil"/>
                    <w:tr2bl w:val="nil"/>
                  </w:tcBorders>
                  <w:noWrap w:val="0"/>
                  <w:vAlign w:val="center"/>
                </w:tcPr>
                <w:p w14:paraId="082B0CC9">
                  <w:pPr>
                    <w:pStyle w:val="277"/>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S</w:t>
                  </w:r>
                  <w:r>
                    <w:rPr>
                      <w:rFonts w:hint="eastAsia" w:ascii="Times New Roman" w:hAnsi="Times New Roman" w:cs="Times New Roman"/>
                      <w:i w:val="0"/>
                      <w:iCs w:val="0"/>
                      <w:color w:val="auto"/>
                      <w:sz w:val="21"/>
                      <w:szCs w:val="21"/>
                      <w:highlight w:val="none"/>
                      <w:lang w:val="en-US" w:eastAsia="zh-CN"/>
                    </w:rPr>
                    <w:t>3</w:t>
                  </w:r>
                </w:p>
              </w:tc>
              <w:tc>
                <w:tcPr>
                  <w:tcW w:w="862" w:type="pct"/>
                  <w:tcBorders>
                    <w:tl2br w:val="nil"/>
                    <w:tr2bl w:val="nil"/>
                  </w:tcBorders>
                  <w:noWrap w:val="0"/>
                  <w:vAlign w:val="center"/>
                </w:tcPr>
                <w:p w14:paraId="59D7ECAE">
                  <w:pPr>
                    <w:pStyle w:val="277"/>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废活性炭</w:t>
                  </w:r>
                </w:p>
              </w:tc>
              <w:tc>
                <w:tcPr>
                  <w:tcW w:w="1665" w:type="pct"/>
                  <w:tcBorders>
                    <w:tl2br w:val="nil"/>
                    <w:tr2bl w:val="nil"/>
                  </w:tcBorders>
                  <w:noWrap w:val="0"/>
                  <w:vAlign w:val="center"/>
                </w:tcPr>
                <w:p w14:paraId="61A359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lang w:val="en-US" w:eastAsia="zh-CN"/>
                    </w:rPr>
                    <w:t>吸附饱和的废活性炭</w:t>
                  </w:r>
                </w:p>
              </w:tc>
            </w:tr>
            <w:tr w14:paraId="482D9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1DD1657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1454" w:type="pct"/>
                  <w:gridSpan w:val="2"/>
                  <w:vMerge w:val="continue"/>
                  <w:tcBorders>
                    <w:tl2br w:val="nil"/>
                    <w:tr2bl w:val="nil"/>
                  </w:tcBorders>
                  <w:noWrap w:val="0"/>
                  <w:vAlign w:val="center"/>
                </w:tcPr>
                <w:p w14:paraId="4969B9E1">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eastAsia="zh-CN"/>
                    </w:rPr>
                  </w:pPr>
                </w:p>
              </w:tc>
              <w:tc>
                <w:tcPr>
                  <w:tcW w:w="604" w:type="pct"/>
                  <w:tcBorders>
                    <w:tl2br w:val="nil"/>
                    <w:tr2bl w:val="nil"/>
                  </w:tcBorders>
                  <w:shd w:val="clear" w:color="auto" w:fill="auto"/>
                  <w:noWrap w:val="0"/>
                  <w:vAlign w:val="center"/>
                </w:tcPr>
                <w:p w14:paraId="77157DF3">
                  <w:pPr>
                    <w:pStyle w:val="277"/>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highlight w:val="none"/>
                      <w:lang w:val="en-US" w:eastAsia="zh-CN" w:bidi="zh-CN"/>
                    </w:rPr>
                  </w:pPr>
                  <w:r>
                    <w:rPr>
                      <w:rFonts w:hint="eastAsia" w:ascii="Times New Roman" w:hAnsi="Times New Roman" w:eastAsia="宋体" w:cs="Times New Roman"/>
                      <w:i w:val="0"/>
                      <w:iCs w:val="0"/>
                      <w:color w:val="auto"/>
                      <w:sz w:val="21"/>
                      <w:szCs w:val="21"/>
                      <w:highlight w:val="none"/>
                      <w:lang w:val="en-US" w:eastAsia="zh-CN"/>
                    </w:rPr>
                    <w:t>S</w:t>
                  </w:r>
                  <w:r>
                    <w:rPr>
                      <w:rFonts w:hint="eastAsia" w:ascii="Times New Roman" w:hAnsi="Times New Roman" w:cs="Times New Roman"/>
                      <w:i w:val="0"/>
                      <w:iCs w:val="0"/>
                      <w:color w:val="auto"/>
                      <w:sz w:val="21"/>
                      <w:szCs w:val="21"/>
                      <w:highlight w:val="none"/>
                      <w:lang w:val="en-US" w:eastAsia="zh-CN"/>
                    </w:rPr>
                    <w:t>4</w:t>
                  </w:r>
                </w:p>
              </w:tc>
              <w:tc>
                <w:tcPr>
                  <w:tcW w:w="862" w:type="pct"/>
                  <w:tcBorders>
                    <w:tl2br w:val="nil"/>
                    <w:tr2bl w:val="nil"/>
                  </w:tcBorders>
                  <w:shd w:val="clear" w:color="auto" w:fill="auto"/>
                  <w:noWrap w:val="0"/>
                  <w:vAlign w:val="center"/>
                </w:tcPr>
                <w:p w14:paraId="78E09B00">
                  <w:pPr>
                    <w:pStyle w:val="277"/>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highlight w:val="none"/>
                      <w:lang w:val="en-US" w:eastAsia="zh-CN" w:bidi="zh-CN"/>
                    </w:rPr>
                  </w:pPr>
                  <w:r>
                    <w:rPr>
                      <w:rFonts w:hint="eastAsia" w:ascii="Times New Roman" w:hAnsi="Times New Roman" w:eastAsia="宋体" w:cs="Times New Roman"/>
                      <w:i w:val="0"/>
                      <w:iCs w:val="0"/>
                      <w:color w:val="auto"/>
                      <w:sz w:val="21"/>
                      <w:szCs w:val="21"/>
                      <w:highlight w:val="none"/>
                      <w:lang w:val="en-US" w:eastAsia="zh-CN"/>
                    </w:rPr>
                    <w:t>除尘灰</w:t>
                  </w:r>
                </w:p>
              </w:tc>
              <w:tc>
                <w:tcPr>
                  <w:tcW w:w="1665" w:type="pct"/>
                  <w:tcBorders>
                    <w:tl2br w:val="nil"/>
                    <w:tr2bl w:val="nil"/>
                  </w:tcBorders>
                  <w:shd w:val="clear" w:color="auto" w:fill="auto"/>
                  <w:noWrap w:val="0"/>
                  <w:vAlign w:val="center"/>
                </w:tcPr>
                <w:p w14:paraId="390EACC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lang w:val="en-US" w:eastAsia="zh-CN"/>
                    </w:rPr>
                    <w:t>PVC树脂粉、碳酸钙</w:t>
                  </w:r>
                </w:p>
              </w:tc>
            </w:tr>
            <w:tr w14:paraId="077EE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363BD8C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1454" w:type="pct"/>
                  <w:gridSpan w:val="2"/>
                  <w:tcBorders>
                    <w:tl2br w:val="nil"/>
                    <w:tr2bl w:val="nil"/>
                  </w:tcBorders>
                  <w:noWrap w:val="0"/>
                  <w:vAlign w:val="center"/>
                </w:tcPr>
                <w:p w14:paraId="486D2921">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eastAsia="zh-CN"/>
                    </w:rPr>
                  </w:pPr>
                  <w:r>
                    <w:rPr>
                      <w:rFonts w:hint="default" w:ascii="Times New Roman" w:hAnsi="Times New Roman" w:eastAsia="宋体" w:cs="Times New Roman"/>
                      <w:color w:val="auto"/>
                      <w:sz w:val="21"/>
                      <w:szCs w:val="21"/>
                      <w:highlight w:val="none"/>
                    </w:rPr>
                    <w:t>设备维修</w:t>
                  </w:r>
                </w:p>
              </w:tc>
              <w:tc>
                <w:tcPr>
                  <w:tcW w:w="604" w:type="pct"/>
                  <w:tcBorders>
                    <w:tl2br w:val="nil"/>
                    <w:tr2bl w:val="nil"/>
                  </w:tcBorders>
                  <w:noWrap w:val="0"/>
                  <w:vAlign w:val="center"/>
                </w:tcPr>
                <w:p w14:paraId="5736EA32">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S</w:t>
                  </w:r>
                  <w:r>
                    <w:rPr>
                      <w:rFonts w:hint="eastAsia" w:ascii="Times New Roman" w:hAnsi="Times New Roman" w:cs="Times New Roman"/>
                      <w:i w:val="0"/>
                      <w:iCs w:val="0"/>
                      <w:color w:val="auto"/>
                      <w:sz w:val="21"/>
                      <w:szCs w:val="21"/>
                      <w:highlight w:val="none"/>
                      <w:lang w:val="en-US" w:eastAsia="zh-CN"/>
                    </w:rPr>
                    <w:t>5</w:t>
                  </w:r>
                </w:p>
              </w:tc>
              <w:tc>
                <w:tcPr>
                  <w:tcW w:w="862" w:type="pct"/>
                  <w:tcBorders>
                    <w:tl2br w:val="nil"/>
                    <w:tr2bl w:val="nil"/>
                  </w:tcBorders>
                  <w:noWrap w:val="0"/>
                  <w:vAlign w:val="center"/>
                </w:tcPr>
                <w:p w14:paraId="65F13923">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废</w:t>
                  </w:r>
                  <w:r>
                    <w:rPr>
                      <w:rFonts w:hint="eastAsia" w:ascii="Times New Roman" w:hAnsi="Times New Roman" w:cs="Times New Roman"/>
                      <w:color w:val="auto"/>
                      <w:sz w:val="21"/>
                      <w:szCs w:val="21"/>
                      <w:highlight w:val="none"/>
                      <w:lang w:val="en-US" w:eastAsia="zh-CN"/>
                    </w:rPr>
                    <w:t>机</w:t>
                  </w:r>
                  <w:r>
                    <w:rPr>
                      <w:rFonts w:hint="default" w:ascii="Times New Roman" w:hAnsi="Times New Roman" w:eastAsia="宋体" w:cs="Times New Roman"/>
                      <w:color w:val="auto"/>
                      <w:sz w:val="21"/>
                      <w:szCs w:val="21"/>
                      <w:highlight w:val="none"/>
                    </w:rPr>
                    <w:t>油</w:t>
                  </w:r>
                  <w:r>
                    <w:rPr>
                      <w:rFonts w:hint="eastAsia" w:ascii="Times New Roman" w:hAnsi="Times New Roman" w:cs="Times New Roman"/>
                      <w:color w:val="auto"/>
                      <w:sz w:val="21"/>
                      <w:szCs w:val="21"/>
                      <w:highlight w:val="none"/>
                      <w:lang w:val="en-US" w:eastAsia="zh-CN"/>
                    </w:rPr>
                    <w:t>及油桶</w:t>
                  </w:r>
                </w:p>
              </w:tc>
              <w:tc>
                <w:tcPr>
                  <w:tcW w:w="1665" w:type="pct"/>
                  <w:tcBorders>
                    <w:tl2br w:val="nil"/>
                    <w:tr2bl w:val="nil"/>
                  </w:tcBorders>
                  <w:noWrap w:val="0"/>
                  <w:vAlign w:val="center"/>
                </w:tcPr>
                <w:p w14:paraId="4D3BD5C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lang w:val="en-US" w:eastAsia="zh-CN"/>
                    </w:rPr>
                    <w:t>矿物油</w:t>
                  </w:r>
                </w:p>
              </w:tc>
            </w:tr>
            <w:tr w14:paraId="13639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14:paraId="082903A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rPr>
                  </w:pPr>
                </w:p>
              </w:tc>
              <w:tc>
                <w:tcPr>
                  <w:tcW w:w="1454" w:type="pct"/>
                  <w:gridSpan w:val="2"/>
                  <w:tcBorders>
                    <w:tl2br w:val="nil"/>
                    <w:tr2bl w:val="nil"/>
                  </w:tcBorders>
                  <w:noWrap w:val="0"/>
                  <w:vAlign w:val="center"/>
                </w:tcPr>
                <w:p w14:paraId="47D3F047">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eastAsia="zh-CN"/>
                    </w:rPr>
                  </w:pPr>
                  <w:r>
                    <w:rPr>
                      <w:rFonts w:hint="default" w:ascii="Times New Roman" w:hAnsi="Times New Roman" w:eastAsia="宋体" w:cs="Times New Roman"/>
                      <w:color w:val="auto"/>
                      <w:sz w:val="21"/>
                      <w:szCs w:val="21"/>
                      <w:highlight w:val="none"/>
                    </w:rPr>
                    <w:t>职工生活</w:t>
                  </w:r>
                </w:p>
              </w:tc>
              <w:tc>
                <w:tcPr>
                  <w:tcW w:w="604" w:type="pct"/>
                  <w:tcBorders>
                    <w:tl2br w:val="nil"/>
                    <w:tr2bl w:val="nil"/>
                  </w:tcBorders>
                  <w:noWrap w:val="0"/>
                  <w:vAlign w:val="center"/>
                </w:tcPr>
                <w:p w14:paraId="674C8121">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S</w:t>
                  </w:r>
                  <w:r>
                    <w:rPr>
                      <w:rFonts w:hint="eastAsia" w:ascii="Times New Roman" w:hAnsi="Times New Roman" w:cs="Times New Roman"/>
                      <w:i w:val="0"/>
                      <w:iCs w:val="0"/>
                      <w:color w:val="auto"/>
                      <w:sz w:val="21"/>
                      <w:szCs w:val="21"/>
                      <w:highlight w:val="none"/>
                      <w:lang w:val="en-US" w:eastAsia="zh-CN"/>
                    </w:rPr>
                    <w:t>6</w:t>
                  </w:r>
                </w:p>
              </w:tc>
              <w:tc>
                <w:tcPr>
                  <w:tcW w:w="862" w:type="pct"/>
                  <w:tcBorders>
                    <w:tl2br w:val="nil"/>
                    <w:tr2bl w:val="nil"/>
                  </w:tcBorders>
                  <w:noWrap w:val="0"/>
                  <w:vAlign w:val="center"/>
                </w:tcPr>
                <w:p w14:paraId="792ED59C">
                  <w:pPr>
                    <w:pStyle w:val="27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生活垃圾</w:t>
                  </w:r>
                </w:p>
              </w:tc>
              <w:tc>
                <w:tcPr>
                  <w:tcW w:w="1665" w:type="pct"/>
                  <w:tcBorders>
                    <w:tl2br w:val="nil"/>
                    <w:tr2bl w:val="nil"/>
                  </w:tcBorders>
                  <w:noWrap w:val="0"/>
                  <w:vAlign w:val="center"/>
                </w:tcPr>
                <w:p w14:paraId="7D36F3E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lang w:val="en-US" w:eastAsia="zh-CN"/>
                    </w:rPr>
                    <w:t>废纸等</w:t>
                  </w:r>
                </w:p>
              </w:tc>
            </w:tr>
            <w:bookmarkEnd w:id="7"/>
          </w:tbl>
          <w:p w14:paraId="3EEE2D92">
            <w:pPr>
              <w:pStyle w:val="55"/>
              <w:keepNext w:val="0"/>
              <w:keepLines w:val="0"/>
              <w:numPr>
                <w:ilvl w:val="1"/>
                <w:numId w:val="0"/>
              </w:numPr>
              <w:suppressLineNumbers w:val="0"/>
              <w:spacing w:before="0" w:beforeAutospacing="0" w:after="0" w:afterAutospacing="0"/>
              <w:ind w:left="1560" w:leftChars="0" w:right="0"/>
              <w:rPr>
                <w:rFonts w:hint="default" w:eastAsia="黑体"/>
                <w:color w:val="auto"/>
                <w:highlight w:val="none"/>
                <w:lang w:val="en-US" w:eastAsia="zh-CN"/>
              </w:rPr>
            </w:pPr>
            <w:r>
              <w:rPr>
                <w:rFonts w:hint="eastAsia"/>
                <w:color w:val="auto"/>
                <w:highlight w:val="none"/>
                <w:lang w:val="en-US" w:eastAsia="zh-CN"/>
              </w:rPr>
              <w:t xml:space="preserve">                                                                                                                                                                                                                                                                                                                                                                                                                                                                                                                                                                                                                                                                                                                                                                                                                                                                                                                                                                                                                                                                                                                                                                                                                                                                                                                                                                                                                                                                                                                                                                                                                                                                                                                                                                                                                                                                                                                                                                                                                                                                                                                                                                                                                                                                                                                                                                                                                                                                                                                                                                                                                                                                                                                                                                                                                                                                                                                                                                                                                                                                                                                                                                                                                                                                                                                                                                                                                                                                                                                                                                                                                                                                                                                                                                                                                                                                                                                                                                                                                                                                                                                                                                                                                </w:t>
            </w:r>
            <w:r>
              <w:rPr>
                <w:rFonts w:hint="eastAsia"/>
                <w:color w:val="auto"/>
                <w:highlight w:val="none"/>
                <w:lang w:val="en-US" w:eastAsia="zh-CN"/>
              </w:rPr>
              <w:t xml:space="preserve">                                                                                                                                                                                                                                                                                                                                                                                                                                                                                                                                                                                                                                                                                                                                                                                                                                                                                                                                                                                                                                                                                                                                                                                                                                                                                                                                                                                                                                                                                                                                                                                                                                                                                                                                                                                                                                                                                                                                                                                                                                                                                                                                                                                                                                                                                                                                                                                                                                                                                                                                                                                                                                                                                                                                                                                                                                                                                                                                                                                                                                                                                                                                                                                                                                                                                                                                                                                                                                                                                                                                                                                                                                                                                                                                                                                                                                                                                                                                                                                                                                                                                                                                                                                                                </w:t>
            </w:r>
            <w:r>
              <w:rPr>
                <w:rFonts w:hint="eastAsia"/>
                <w:color w:val="auto"/>
                <w:highlight w:val="none"/>
                <w:lang w:val="en-US" w:eastAsia="zh-CN"/>
              </w:rPr>
              <w:t xml:space="preserve">                                                                                                                                                                                                                                                                                                                                                                                                                                                                                                                                                                                                                                                                                                                                                                                                                                                                                                                                                                                                                                                                                                                                                                                                                                                                                                                                                                                                                                                                                                                                                                                                                                                                                                                                                                                                                                                                                                                                                                                                                                                                                                                                                                               </w:t>
            </w:r>
          </w:p>
        </w:tc>
      </w:tr>
    </w:tbl>
    <w:p w14:paraId="579C7FC5">
      <w:pPr>
        <w:pStyle w:val="36"/>
        <w:spacing w:before="0" w:beforeAutospacing="0" w:after="0" w:afterAutospacing="0"/>
        <w:jc w:val="both"/>
        <w:outlineLvl w:val="0"/>
        <w:rPr>
          <w:b/>
          <w:color w:val="auto"/>
          <w:sz w:val="30"/>
          <w:szCs w:val="30"/>
        </w:rPr>
        <w:sectPr>
          <w:headerReference r:id="rId7" w:type="default"/>
          <w:footerReference r:id="rId8"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pPr>
    </w:p>
    <w:tbl>
      <w:tblPr>
        <w:tblStyle w:val="39"/>
        <w:tblW w:w="9548" w:type="dxa"/>
        <w:tblInd w:w="-5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9115"/>
      </w:tblGrid>
      <w:tr w14:paraId="3D20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3" w:hRule="atLeast"/>
        </w:trPr>
        <w:tc>
          <w:tcPr>
            <w:tcW w:w="433" w:type="dxa"/>
            <w:noWrap w:val="0"/>
            <w:vAlign w:val="center"/>
          </w:tcPr>
          <w:p w14:paraId="62D69154">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color w:val="auto"/>
                <w:sz w:val="24"/>
                <w:szCs w:val="24"/>
                <w:highlight w:val="none"/>
              </w:rPr>
            </w:pPr>
            <w:r>
              <w:rPr>
                <w:rFonts w:hint="eastAsia" w:ascii="Calibri" w:hAnsi="Calibri" w:eastAsia="宋体" w:cs="Times New Roman"/>
                <w:color w:val="auto"/>
                <w:sz w:val="24"/>
                <w:szCs w:val="24"/>
                <w:highlight w:val="none"/>
              </w:rPr>
              <w:t>与项目有关的原有环境污染问题</w:t>
            </w:r>
          </w:p>
          <w:p w14:paraId="26301DC7">
            <w:pPr>
              <w:keepNext w:val="0"/>
              <w:keepLines w:val="0"/>
              <w:suppressLineNumbers w:val="0"/>
              <w:spacing w:before="0" w:beforeAutospacing="0" w:after="0" w:afterAutospacing="0"/>
              <w:ind w:left="0" w:right="0"/>
              <w:jc w:val="center"/>
              <w:rPr>
                <w:rFonts w:ascii="Calibri" w:hAnsi="Calibri" w:eastAsia="宋体" w:cs="Times New Roman"/>
                <w:color w:val="auto"/>
                <w:sz w:val="30"/>
                <w:szCs w:val="22"/>
                <w:highlight w:val="yellow"/>
              </w:rPr>
            </w:pPr>
          </w:p>
        </w:tc>
        <w:tc>
          <w:tcPr>
            <w:tcW w:w="9115" w:type="dxa"/>
            <w:noWrap w:val="0"/>
            <w:vAlign w:val="center"/>
          </w:tcPr>
          <w:p w14:paraId="61529630">
            <w:pPr>
              <w:keepNext w:val="0"/>
              <w:keepLines w:val="0"/>
              <w:widowControl/>
              <w:suppressLineNumbers w:val="0"/>
              <w:spacing w:before="0" w:beforeAutospacing="0" w:after="0" w:afterAutospacing="0" w:line="520" w:lineRule="exact"/>
              <w:ind w:left="0" w:right="0"/>
              <w:jc w:val="left"/>
              <w:rPr>
                <w:rFonts w:hint="default" w:ascii="Times New Roman" w:hAnsi="Times New Roman" w:eastAsia="宋体" w:cs="Times New Roman"/>
                <w:color w:val="auto"/>
                <w:sz w:val="24"/>
                <w:szCs w:val="24"/>
                <w:highlight w:val="none"/>
                <w:lang w:val="en-US" w:eastAsia="zh-CN"/>
              </w:rPr>
            </w:pPr>
            <w:r>
              <w:rPr>
                <w:rFonts w:hint="eastAsia"/>
                <w:color w:val="auto"/>
                <w:sz w:val="24"/>
                <w:szCs w:val="22"/>
                <w:lang w:val="en-US" w:eastAsia="zh-CN"/>
              </w:rPr>
              <w:t xml:space="preserve">    </w:t>
            </w:r>
            <w:r>
              <w:rPr>
                <w:rFonts w:hint="eastAsia"/>
                <w:color w:val="auto"/>
                <w:sz w:val="24"/>
                <w:szCs w:val="22"/>
              </w:rPr>
              <w:t>本项目为新建项目，</w:t>
            </w:r>
            <w:r>
              <w:rPr>
                <w:rFonts w:hint="eastAsia"/>
                <w:color w:val="auto"/>
                <w:sz w:val="24"/>
                <w:szCs w:val="22"/>
                <w:lang w:val="en-US" w:eastAsia="zh-CN"/>
              </w:rPr>
              <w:t>建设单</w:t>
            </w:r>
            <w:r>
              <w:rPr>
                <w:rFonts w:hint="eastAsia"/>
                <w:color w:val="auto"/>
                <w:sz w:val="24"/>
                <w:szCs w:val="22"/>
                <w:highlight w:val="none"/>
                <w:lang w:val="en-US" w:eastAsia="zh-CN"/>
              </w:rPr>
              <w:t>位租赁</w:t>
            </w:r>
            <w:r>
              <w:rPr>
                <w:rFonts w:hint="eastAsia" w:ascii="Times New Roman" w:hAnsi="Times New Roman" w:eastAsia="宋体" w:cs="Times New Roman"/>
                <w:b w:val="0"/>
                <w:bCs w:val="0"/>
                <w:color w:val="auto"/>
                <w:sz w:val="24"/>
                <w:szCs w:val="24"/>
                <w:highlight w:val="none"/>
                <w:lang w:val="en-US" w:eastAsia="zh-CN"/>
              </w:rPr>
              <w:t>蚌埠市康福特服装有限公司</w:t>
            </w:r>
            <w:r>
              <w:rPr>
                <w:rFonts w:hint="eastAsia"/>
                <w:color w:val="auto"/>
                <w:sz w:val="24"/>
                <w:szCs w:val="22"/>
                <w:highlight w:val="none"/>
                <w:lang w:val="en-US" w:eastAsia="zh-CN"/>
              </w:rPr>
              <w:t>厂区进行生产办公活动</w:t>
            </w:r>
            <w:r>
              <w:rPr>
                <w:rFonts w:hint="eastAsia" w:cs="Times New Roman"/>
                <w:color w:val="auto"/>
                <w:sz w:val="24"/>
                <w:szCs w:val="24"/>
                <w:highlight w:val="none"/>
                <w:lang w:val="en-US" w:eastAsia="zh-CN"/>
              </w:rPr>
              <w:t>，项目建设主要依托厂区已建成的厂房、</w:t>
            </w:r>
            <w:r>
              <w:rPr>
                <w:rFonts w:hint="eastAsia" w:ascii="Times New Roman" w:hAnsi="Times New Roman" w:eastAsia="宋体" w:cs="Times New Roman"/>
                <w:color w:val="auto"/>
                <w:sz w:val="24"/>
                <w:szCs w:val="24"/>
                <w:highlight w:val="none"/>
                <w:lang w:val="en-US" w:eastAsia="zh-CN"/>
              </w:rPr>
              <w:t>办公楼及化粪池等公辅设施进行生产</w:t>
            </w:r>
            <w:r>
              <w:rPr>
                <w:rFonts w:hint="eastAsia" w:cs="Times New Roman"/>
                <w:color w:val="auto"/>
                <w:sz w:val="24"/>
                <w:szCs w:val="24"/>
                <w:highlight w:val="none"/>
                <w:lang w:val="en-US" w:eastAsia="zh-CN"/>
              </w:rPr>
              <w:t>办公</w:t>
            </w:r>
            <w:r>
              <w:rPr>
                <w:rFonts w:hint="eastAsia" w:ascii="Times New Roman" w:hAnsi="Times New Roman" w:eastAsia="宋体" w:cs="Times New Roman"/>
                <w:color w:val="auto"/>
                <w:sz w:val="24"/>
                <w:szCs w:val="24"/>
                <w:highlight w:val="none"/>
                <w:lang w:val="en-US" w:eastAsia="zh-CN"/>
              </w:rPr>
              <w:t>活动。</w:t>
            </w:r>
          </w:p>
          <w:p w14:paraId="7292DDB0">
            <w:pPr>
              <w:keepNext w:val="0"/>
              <w:keepLines w:val="0"/>
              <w:widowControl/>
              <w:suppressLineNumbers w:val="0"/>
              <w:spacing w:before="0" w:beforeAutospacing="0" w:after="0" w:afterAutospacing="0" w:line="520" w:lineRule="exact"/>
              <w:ind w:left="0" w:right="0"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蚌埠市康福特服装有限公司主要从事羽绒服、棉服等服装制造</w:t>
            </w:r>
            <w:r>
              <w:rPr>
                <w:rFonts w:hint="eastAsia" w:ascii="Times New Roman" w:hAnsi="Times New Roman" w:eastAsia="宋体" w:cs="Times New Roman"/>
                <w:color w:val="auto"/>
                <w:sz w:val="24"/>
                <w:szCs w:val="24"/>
                <w:highlight w:val="none"/>
                <w:lang w:val="en-US" w:eastAsia="zh-CN"/>
              </w:rPr>
              <w:t>，主要生产工艺仅为裁剪缝制，</w:t>
            </w:r>
            <w:r>
              <w:rPr>
                <w:rFonts w:hint="eastAsia" w:cs="Times New Roman"/>
                <w:color w:val="auto"/>
                <w:sz w:val="24"/>
                <w:szCs w:val="24"/>
                <w:highlight w:val="none"/>
                <w:lang w:val="en-US" w:eastAsia="zh-CN"/>
              </w:rPr>
              <w:t>无需进行环评手续</w:t>
            </w:r>
            <w:r>
              <w:rPr>
                <w:rFonts w:hint="eastAsia" w:ascii="Times New Roman" w:hAnsi="Times New Roman" w:eastAsia="宋体" w:cs="Times New Roman"/>
                <w:color w:val="auto"/>
                <w:sz w:val="24"/>
                <w:szCs w:val="24"/>
                <w:highlight w:val="none"/>
                <w:lang w:val="en-US" w:eastAsia="zh-CN"/>
              </w:rPr>
              <w:t>。</w:t>
            </w:r>
          </w:p>
          <w:p w14:paraId="78C317EC">
            <w:pPr>
              <w:keepNext w:val="0"/>
              <w:keepLines w:val="0"/>
              <w:widowControl/>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根据现场勘探，目前</w:t>
            </w:r>
            <w:r>
              <w:rPr>
                <w:rFonts w:hint="eastAsia" w:cs="Times New Roman"/>
                <w:color w:val="auto"/>
                <w:sz w:val="24"/>
                <w:szCs w:val="24"/>
                <w:highlight w:val="none"/>
                <w:lang w:val="en-US" w:eastAsia="zh-CN"/>
              </w:rPr>
              <w:t>蚌埠市康福特服装有限公司</w:t>
            </w:r>
            <w:r>
              <w:rPr>
                <w:rFonts w:hint="default" w:ascii="Times New Roman" w:hAnsi="Times New Roman" w:eastAsia="宋体" w:cs="Times New Roman"/>
                <w:color w:val="auto"/>
                <w:sz w:val="24"/>
                <w:szCs w:val="24"/>
                <w:highlight w:val="none"/>
                <w:lang w:val="en-US" w:eastAsia="zh-CN"/>
              </w:rPr>
              <w:t>厂区已建成</w:t>
            </w:r>
            <w:r>
              <w:rPr>
                <w:rFonts w:hint="eastAsia" w:ascii="Times New Roman" w:hAnsi="Times New Roman" w:eastAsia="宋体" w:cs="Times New Roman"/>
                <w:color w:val="auto"/>
                <w:sz w:val="24"/>
                <w:szCs w:val="24"/>
                <w:highlight w:val="none"/>
                <w:lang w:val="en-US" w:eastAsia="zh-CN"/>
              </w:rPr>
              <w:t>1#厂房、</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#厂房</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综合楼、</w:t>
            </w:r>
            <w:r>
              <w:rPr>
                <w:rFonts w:hint="eastAsia" w:cs="Times New Roman"/>
                <w:color w:val="auto"/>
                <w:sz w:val="24"/>
                <w:szCs w:val="24"/>
                <w:highlight w:val="none"/>
                <w:lang w:val="en-US" w:eastAsia="zh-CN"/>
              </w:rPr>
              <w:t>食堂</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该企业</w:t>
            </w:r>
            <w:r>
              <w:rPr>
                <w:rFonts w:hint="eastAsia" w:ascii="Times New Roman" w:hAnsi="Times New Roman" w:eastAsia="宋体" w:cs="Times New Roman"/>
                <w:color w:val="auto"/>
                <w:sz w:val="24"/>
                <w:szCs w:val="24"/>
                <w:highlight w:val="none"/>
                <w:lang w:val="en-US" w:eastAsia="zh-CN"/>
              </w:rPr>
              <w:t>已全部终止生产，并拆除和移走相关生产设备，期间未实施其他的生产项目至今</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租赁</w:t>
            </w:r>
            <w:r>
              <w:rPr>
                <w:rFonts w:hint="eastAsia" w:ascii="Times New Roman" w:hAnsi="Times New Roman" w:eastAsia="宋体" w:cs="Times New Roman"/>
                <w:color w:val="auto"/>
                <w:sz w:val="24"/>
                <w:szCs w:val="24"/>
                <w:highlight w:val="none"/>
                <w:lang w:val="en-US" w:eastAsia="zh-CN"/>
              </w:rPr>
              <w:t>的厂房、办公楼等现</w:t>
            </w:r>
            <w:r>
              <w:rPr>
                <w:rFonts w:hint="eastAsia" w:ascii="Times New Roman" w:hAnsi="Times New Roman" w:eastAsia="宋体" w:cs="Times New Roman"/>
                <w:color w:val="auto"/>
                <w:sz w:val="24"/>
                <w:szCs w:val="24"/>
                <w:lang w:val="en-US" w:eastAsia="zh-CN"/>
              </w:rPr>
              <w:t>状为空置状态，不存在环境遗留问题，因此，无与本项目有关的主要环境问题</w:t>
            </w:r>
            <w:r>
              <w:rPr>
                <w:rFonts w:hint="default" w:ascii="Times New Roman" w:hAnsi="Times New Roman" w:eastAsia="宋体" w:cs="Times New Roman"/>
                <w:color w:val="auto"/>
                <w:sz w:val="24"/>
                <w:szCs w:val="24"/>
                <w:lang w:val="en-US" w:eastAsia="zh-CN"/>
              </w:rPr>
              <w:t>。</w:t>
            </w:r>
          </w:p>
          <w:p w14:paraId="15452E3F">
            <w:pPr>
              <w:keepNext w:val="0"/>
              <w:keepLines w:val="0"/>
              <w:widowControl/>
              <w:suppressLineNumbers w:val="0"/>
              <w:spacing w:before="0" w:beforeAutospacing="0" w:after="0" w:afterAutospacing="0" w:line="520" w:lineRule="exact"/>
              <w:ind w:left="0" w:right="0" w:firstLine="420" w:firstLineChars="200"/>
              <w:jc w:val="both"/>
              <w:rPr>
                <w:rFonts w:hint="eastAsia" w:ascii="Calibri" w:hAnsi="Calibri" w:eastAsia="宋体" w:cs="Times New Roman"/>
                <w:color w:val="auto"/>
                <w:szCs w:val="22"/>
              </w:rPr>
            </w:pPr>
          </w:p>
        </w:tc>
      </w:tr>
    </w:tbl>
    <w:p w14:paraId="73D9930C">
      <w:pPr>
        <w:pStyle w:val="36"/>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outlineLvl w:val="0"/>
        <w:rPr>
          <w:rFonts w:ascii="黑体" w:hAnsi="黑体" w:eastAsia="黑体"/>
          <w:snapToGrid w:val="0"/>
          <w:color w:val="auto"/>
          <w:sz w:val="30"/>
          <w:szCs w:val="30"/>
        </w:rPr>
      </w:pPr>
      <w:r>
        <w:rPr>
          <w:rFonts w:ascii="Times New Roman"/>
          <w:b/>
          <w:snapToGrid w:val="0"/>
          <w:color w:val="auto"/>
          <w:sz w:val="30"/>
          <w:szCs w:val="30"/>
        </w:rPr>
        <w:br w:type="page"/>
      </w:r>
      <w:bookmarkStart w:id="8" w:name="_Toc32654"/>
      <w:r>
        <w:rPr>
          <w:rFonts w:hint="eastAsia" w:ascii="黑体" w:hAnsi="黑体" w:eastAsia="黑体" w:cs="Times New Roman"/>
          <w:snapToGrid w:val="0"/>
          <w:color w:val="auto"/>
          <w:sz w:val="30"/>
          <w:szCs w:val="30"/>
          <w:highlight w:val="none"/>
          <w:lang w:val="en-US" w:eastAsia="zh-CN"/>
        </w:rPr>
        <w:t>三、区域环境质量现状、环境保护目标及评价标准</w:t>
      </w:r>
      <w:bookmarkEnd w:id="8"/>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8091"/>
      </w:tblGrid>
      <w:tr w14:paraId="08BB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252" w:type="pct"/>
            <w:noWrap w:val="0"/>
            <w:vAlign w:val="center"/>
          </w:tcPr>
          <w:p w14:paraId="687C6D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区域环境质量现状</w:t>
            </w:r>
          </w:p>
        </w:tc>
        <w:tc>
          <w:tcPr>
            <w:tcW w:w="4747" w:type="pct"/>
            <w:noWrap w:val="0"/>
            <w:vAlign w:val="top"/>
          </w:tcPr>
          <w:p w14:paraId="7D7CBD2B">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szCs w:val="28"/>
                <w:highlight w:val="none"/>
                <w:lang w:eastAsia="zh-CN"/>
              </w:rPr>
            </w:pPr>
            <w:r>
              <w:rPr>
                <w:rFonts w:hint="default" w:ascii="Times New Roman" w:hAnsi="Times New Roman" w:eastAsia="宋体" w:cs="Times New Roman"/>
                <w:b/>
                <w:color w:val="auto"/>
                <w:sz w:val="24"/>
                <w:szCs w:val="28"/>
                <w:highlight w:val="none"/>
                <w:lang w:eastAsia="zh-CN"/>
              </w:rPr>
              <w:t>一、区域环境质量现状</w:t>
            </w:r>
          </w:p>
          <w:p w14:paraId="04D87D59">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szCs w:val="28"/>
                <w:highlight w:val="none"/>
              </w:rPr>
            </w:pPr>
            <w:r>
              <w:rPr>
                <w:rFonts w:hint="default" w:ascii="Times New Roman" w:hAnsi="Times New Roman" w:eastAsia="宋体" w:cs="Times New Roman"/>
                <w:b/>
                <w:color w:val="auto"/>
                <w:sz w:val="24"/>
                <w:szCs w:val="28"/>
                <w:highlight w:val="none"/>
              </w:rPr>
              <w:t>1、大气环境</w:t>
            </w:r>
          </w:p>
          <w:p w14:paraId="35A3FD0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①基本污染物</w:t>
            </w:r>
          </w:p>
          <w:p w14:paraId="5B8E5E3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32"/>
                <w:highlight w:val="none"/>
              </w:rPr>
              <w:t>根据《</w:t>
            </w:r>
            <w:r>
              <w:rPr>
                <w:rFonts w:hint="eastAsia" w:cs="Times New Roman"/>
                <w:color w:val="auto"/>
                <w:sz w:val="24"/>
                <w:szCs w:val="32"/>
                <w:highlight w:val="none"/>
                <w:lang w:val="en-US" w:eastAsia="zh-CN"/>
              </w:rPr>
              <w:t>建设项目环境影响报告表编制技术</w:t>
            </w:r>
            <w:r>
              <w:rPr>
                <w:rFonts w:hint="default" w:ascii="Times New Roman" w:hAnsi="Times New Roman" w:cs="Times New Roman"/>
                <w:color w:val="auto"/>
                <w:sz w:val="24"/>
                <w:szCs w:val="32"/>
                <w:highlight w:val="none"/>
                <w:lang w:val="en-US" w:eastAsia="zh-CN"/>
              </w:rPr>
              <w:t>指南</w:t>
            </w:r>
            <w:r>
              <w:rPr>
                <w:rFonts w:hint="default" w:ascii="Times New Roman" w:hAnsi="Times New Roman" w:eastAsia="宋体" w:cs="Times New Roman"/>
                <w:color w:val="auto"/>
                <w:sz w:val="24"/>
                <w:szCs w:val="32"/>
                <w:highlight w:val="none"/>
              </w:rPr>
              <w:t>》（</w:t>
            </w:r>
            <w:r>
              <w:rPr>
                <w:rFonts w:hint="default" w:ascii="Times New Roman" w:hAnsi="Times New Roman" w:cs="Times New Roman"/>
                <w:color w:val="auto"/>
                <w:sz w:val="24"/>
                <w:szCs w:val="32"/>
                <w:highlight w:val="none"/>
                <w:lang w:val="en-US" w:eastAsia="zh-CN"/>
              </w:rPr>
              <w:t>污染影响类</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color w:val="auto"/>
                <w:sz w:val="24"/>
                <w:szCs w:val="24"/>
                <w:highlight w:val="none"/>
              </w:rPr>
              <w:t>常规污染物引用与建设项目距离近的有效数据，包括近3年的规划环境影响评价的监测数据，国家、地方环境空气质量监测网数据或生态环境主管部门公开发布的质量数据等。</w:t>
            </w:r>
          </w:p>
          <w:p w14:paraId="46366AAB">
            <w:pPr>
              <w:pStyle w:val="8"/>
              <w:keepNext w:val="0"/>
              <w:keepLines w:val="0"/>
              <w:suppressLineNumbers w:val="0"/>
              <w:spacing w:before="0" w:beforeAutospacing="0" w:after="0" w:afterAutospacing="0" w:line="360" w:lineRule="auto"/>
              <w:ind w:left="0" w:right="122" w:firstLine="360" w:firstLineChars="150"/>
              <w:rPr>
                <w:rFonts w:hint="default" w:ascii="Times New Roman" w:hAnsi="Times New Roman" w:cs="Times New Roman"/>
                <w:b/>
                <w:bCs/>
                <w:color w:val="auto"/>
                <w:sz w:val="24"/>
                <w:szCs w:val="24"/>
                <w:highlight w:val="none"/>
              </w:rPr>
            </w:pPr>
            <w:r>
              <w:rPr>
                <w:rFonts w:hint="default" w:ascii="Times New Roman" w:hAnsi="Times New Roman" w:eastAsia="宋体" w:cs="Times New Roman"/>
                <w:color w:val="auto"/>
                <w:sz w:val="24"/>
                <w:szCs w:val="24"/>
                <w:highlight w:val="none"/>
              </w:rPr>
              <w:t>根据《环境空气质量标准》（GB3095-2012）的规定，参加评价的污染指标为6项</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w:t>
            </w:r>
            <w:r>
              <w:rPr>
                <w:rFonts w:hint="eastAsia" w:ascii="Times New Roman" w:hAnsi="Times New Roman" w:eastAsia="宋体" w:cs="Times New Roman"/>
                <w:color w:val="auto"/>
                <w:sz w:val="24"/>
                <w:szCs w:val="24"/>
                <w:highlight w:val="none"/>
              </w:rPr>
              <w:t>2023年蚌埠市生态环境质量状况公报</w:t>
            </w:r>
            <w:r>
              <w:rPr>
                <w:rFonts w:hint="default" w:ascii="Times New Roman" w:hAnsi="Times New Roman" w:eastAsia="宋体" w:cs="Times New Roman"/>
                <w:color w:val="auto"/>
                <w:sz w:val="24"/>
                <w:szCs w:val="24"/>
                <w:highlight w:val="none"/>
              </w:rPr>
              <w:t>》，2023年</w:t>
            </w:r>
            <w:r>
              <w:rPr>
                <w:rFonts w:hint="eastAsia" w:cs="Times New Roman"/>
                <w:color w:val="auto"/>
                <w:sz w:val="24"/>
                <w:szCs w:val="24"/>
                <w:highlight w:val="none"/>
                <w:lang w:val="en-US" w:eastAsia="zh-CN"/>
              </w:rPr>
              <w:t>蚌埠</w:t>
            </w:r>
            <w:r>
              <w:rPr>
                <w:rFonts w:hint="default" w:ascii="Times New Roman" w:hAnsi="Times New Roman" w:eastAsia="宋体" w:cs="Times New Roman"/>
                <w:color w:val="auto"/>
                <w:sz w:val="24"/>
                <w:szCs w:val="24"/>
                <w:highlight w:val="none"/>
              </w:rPr>
              <w:t>市二氧化硫年平均值为8微克/立方米，符合一级标准20微克/立方米的要求；二氧化氮年平均值为2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微克/立方米，符合一级标准40微克/立方米的要求；可吸入颗粒物年平均值为</w:t>
            </w:r>
            <w:r>
              <w:rPr>
                <w:rFonts w:hint="eastAsia" w:cs="Times New Roman"/>
                <w:color w:val="auto"/>
                <w:sz w:val="24"/>
                <w:szCs w:val="24"/>
                <w:highlight w:val="none"/>
                <w:lang w:val="en-US" w:eastAsia="zh-CN"/>
              </w:rPr>
              <w:t>66</w:t>
            </w:r>
            <w:r>
              <w:rPr>
                <w:rFonts w:hint="default" w:ascii="Times New Roman" w:hAnsi="Times New Roman" w:eastAsia="宋体" w:cs="Times New Roman"/>
                <w:color w:val="auto"/>
                <w:sz w:val="24"/>
                <w:szCs w:val="24"/>
                <w:highlight w:val="none"/>
              </w:rPr>
              <w:t>微克/立方米，符合二级标准70微克/立方米的要求；细颗粒物年平均值为</w:t>
            </w:r>
            <w:r>
              <w:rPr>
                <w:rFonts w:hint="eastAsia" w:cs="Times New Roman"/>
                <w:color w:val="auto"/>
                <w:sz w:val="24"/>
                <w:szCs w:val="24"/>
                <w:highlight w:val="none"/>
                <w:lang w:val="en-US" w:eastAsia="zh-CN"/>
              </w:rPr>
              <w:t>38</w:t>
            </w:r>
            <w:r>
              <w:rPr>
                <w:rFonts w:hint="default" w:ascii="Times New Roman" w:hAnsi="Times New Roman" w:eastAsia="宋体" w:cs="Times New Roman"/>
                <w:color w:val="auto"/>
                <w:sz w:val="24"/>
                <w:szCs w:val="24"/>
                <w:highlight w:val="none"/>
              </w:rPr>
              <w:t>微克/立方米，</w:t>
            </w:r>
            <w:r>
              <w:rPr>
                <w:rFonts w:hint="eastAsia" w:cs="Times New Roman"/>
                <w:color w:val="auto"/>
                <w:sz w:val="24"/>
                <w:szCs w:val="24"/>
                <w:highlight w:val="none"/>
                <w:lang w:val="en-US" w:eastAsia="zh-CN"/>
              </w:rPr>
              <w:t>不</w:t>
            </w:r>
            <w:r>
              <w:rPr>
                <w:rFonts w:hint="default" w:ascii="Times New Roman" w:hAnsi="Times New Roman" w:eastAsia="宋体" w:cs="Times New Roman"/>
                <w:color w:val="auto"/>
                <w:sz w:val="24"/>
                <w:szCs w:val="24"/>
                <w:highlight w:val="none"/>
              </w:rPr>
              <w:t>符合二级标准35微克/立方米的要求；一氧化碳年评价值为0.</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毫克/立方米，符合一级标准4毫克/立方米的要求；臭氧日最大8小时浓度年评价值为1</w:t>
            </w:r>
            <w:r>
              <w:rPr>
                <w:rFonts w:hint="eastAsia" w:cs="Times New Roman"/>
                <w:color w:val="auto"/>
                <w:sz w:val="24"/>
                <w:szCs w:val="24"/>
                <w:highlight w:val="none"/>
                <w:lang w:val="en-US" w:eastAsia="zh-CN"/>
              </w:rPr>
              <w:t>59</w:t>
            </w:r>
            <w:r>
              <w:rPr>
                <w:rFonts w:hint="default" w:ascii="Times New Roman" w:hAnsi="Times New Roman" w:eastAsia="宋体" w:cs="Times New Roman"/>
                <w:color w:val="auto"/>
                <w:sz w:val="24"/>
                <w:szCs w:val="24"/>
                <w:highlight w:val="none"/>
              </w:rPr>
              <w:t>微克/立方米，符合二级标准</w:t>
            </w:r>
            <w:r>
              <w:rPr>
                <w:rFonts w:hint="eastAsia" w:cs="Times New Roman"/>
                <w:color w:val="auto"/>
                <w:sz w:val="24"/>
                <w:szCs w:val="24"/>
                <w:highlight w:val="none"/>
                <w:lang w:val="en-US" w:eastAsia="zh-CN"/>
              </w:rPr>
              <w:t>159</w:t>
            </w:r>
            <w:r>
              <w:rPr>
                <w:rFonts w:hint="default" w:ascii="Times New Roman" w:hAnsi="Times New Roman" w:eastAsia="宋体" w:cs="Times New Roman"/>
                <w:color w:val="auto"/>
                <w:sz w:val="24"/>
                <w:szCs w:val="24"/>
                <w:highlight w:val="none"/>
              </w:rPr>
              <w:t>微克/立方米的要求</w:t>
            </w:r>
            <w:r>
              <w:rPr>
                <w:rFonts w:hint="default" w:ascii="Times New Roman" w:hAnsi="Times New Roman" w:cs="Times New Roman"/>
                <w:color w:val="auto"/>
                <w:sz w:val="24"/>
                <w:szCs w:val="24"/>
                <w:highlight w:val="none"/>
              </w:rPr>
              <w:t>。评价结果详见下表3-1。</w:t>
            </w:r>
          </w:p>
          <w:p w14:paraId="3BE66F75">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ascii="Times New Roman" w:hAnsi="Times New Roman"/>
                <w:b/>
                <w:bCs/>
                <w:color w:val="auto"/>
                <w:kern w:val="2"/>
                <w:sz w:val="21"/>
                <w:szCs w:val="21"/>
                <w:highlight w:val="none"/>
              </w:rPr>
            </w:pPr>
            <w:r>
              <w:rPr>
                <w:rFonts w:ascii="Times New Roman" w:hAnsi="Times New Roman"/>
                <w:b/>
                <w:bCs/>
                <w:color w:val="auto"/>
                <w:kern w:val="2"/>
                <w:sz w:val="21"/>
                <w:szCs w:val="21"/>
                <w:highlight w:val="none"/>
              </w:rPr>
              <w:t xml:space="preserve">表3-1  </w:t>
            </w:r>
            <w:r>
              <w:rPr>
                <w:rFonts w:hint="eastAsia" w:ascii="Times New Roman" w:hAnsi="Times New Roman"/>
                <w:b/>
                <w:bCs/>
                <w:color w:val="auto"/>
                <w:kern w:val="2"/>
                <w:sz w:val="21"/>
                <w:szCs w:val="21"/>
                <w:highlight w:val="none"/>
                <w:lang w:val="en-US" w:eastAsia="zh-CN"/>
              </w:rPr>
              <w:t>区域</w:t>
            </w:r>
            <w:r>
              <w:rPr>
                <w:rFonts w:ascii="Times New Roman" w:hAnsi="Times New Roman"/>
                <w:b/>
                <w:bCs/>
                <w:color w:val="auto"/>
                <w:kern w:val="2"/>
                <w:sz w:val="21"/>
                <w:szCs w:val="21"/>
                <w:highlight w:val="none"/>
              </w:rPr>
              <w:t>环境质量现状评价一览表</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2678"/>
              <w:gridCol w:w="1256"/>
              <w:gridCol w:w="1232"/>
              <w:gridCol w:w="865"/>
              <w:gridCol w:w="953"/>
            </w:tblGrid>
            <w:tr w14:paraId="55E1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 w:type="pct"/>
                  <w:noWrap w:val="0"/>
                  <w:vAlign w:val="center"/>
                </w:tcPr>
                <w:p w14:paraId="07A4BB35">
                  <w:pPr>
                    <w:keepNext w:val="0"/>
                    <w:keepLines w:val="0"/>
                    <w:widowControl/>
                    <w:suppressLineNumbers w:val="0"/>
                    <w:adjustRightInd w:val="0"/>
                    <w:spacing w:before="0" w:beforeAutospacing="0" w:after="0" w:afterAutospacing="0"/>
                    <w:ind w:left="0" w:right="0"/>
                    <w:jc w:val="center"/>
                    <w:rPr>
                      <w:rFonts w:ascii="Times New Roman" w:hAnsi="Times New Roman"/>
                      <w:b/>
                      <w:bCs/>
                      <w:color w:val="auto"/>
                      <w:szCs w:val="21"/>
                      <w:highlight w:val="none"/>
                    </w:rPr>
                  </w:pPr>
                  <w:r>
                    <w:rPr>
                      <w:rFonts w:ascii="Times New Roman" w:hAnsi="Times New Roman"/>
                      <w:b/>
                      <w:bCs/>
                      <w:color w:val="auto"/>
                      <w:szCs w:val="21"/>
                      <w:highlight w:val="none"/>
                    </w:rPr>
                    <w:t>污染物</w:t>
                  </w:r>
                </w:p>
              </w:tc>
              <w:tc>
                <w:tcPr>
                  <w:tcW w:w="1702" w:type="pct"/>
                  <w:noWrap w:val="0"/>
                  <w:vAlign w:val="center"/>
                </w:tcPr>
                <w:p w14:paraId="61CEB941">
                  <w:pPr>
                    <w:keepNext w:val="0"/>
                    <w:keepLines w:val="0"/>
                    <w:widowControl/>
                    <w:suppressLineNumbers w:val="0"/>
                    <w:adjustRightInd w:val="0"/>
                    <w:spacing w:before="0" w:beforeAutospacing="0" w:after="0" w:afterAutospacing="0"/>
                    <w:ind w:left="0" w:right="0"/>
                    <w:jc w:val="center"/>
                    <w:rPr>
                      <w:rFonts w:ascii="Times New Roman" w:hAnsi="Times New Roman"/>
                      <w:b/>
                      <w:bCs/>
                      <w:color w:val="auto"/>
                      <w:szCs w:val="21"/>
                      <w:highlight w:val="none"/>
                    </w:rPr>
                  </w:pPr>
                  <w:r>
                    <w:rPr>
                      <w:rFonts w:ascii="Times New Roman" w:hAnsi="Times New Roman"/>
                      <w:b/>
                      <w:bCs/>
                      <w:color w:val="auto"/>
                      <w:szCs w:val="21"/>
                      <w:highlight w:val="none"/>
                    </w:rPr>
                    <w:t>年评价指标</w:t>
                  </w:r>
                </w:p>
              </w:tc>
              <w:tc>
                <w:tcPr>
                  <w:tcW w:w="798" w:type="pct"/>
                  <w:noWrap w:val="0"/>
                  <w:vAlign w:val="center"/>
                </w:tcPr>
                <w:p w14:paraId="29F1C1CE">
                  <w:pPr>
                    <w:keepNext w:val="0"/>
                    <w:keepLines w:val="0"/>
                    <w:widowControl/>
                    <w:suppressLineNumbers w:val="0"/>
                    <w:adjustRightInd w:val="0"/>
                    <w:spacing w:before="0" w:beforeAutospacing="0" w:after="0" w:afterAutospacing="0"/>
                    <w:ind w:left="0" w:right="0"/>
                    <w:jc w:val="center"/>
                    <w:rPr>
                      <w:rFonts w:ascii="Times New Roman" w:hAnsi="Times New Roman"/>
                      <w:b/>
                      <w:bCs/>
                      <w:color w:val="auto"/>
                      <w:szCs w:val="21"/>
                      <w:highlight w:val="none"/>
                    </w:rPr>
                  </w:pPr>
                  <w:r>
                    <w:rPr>
                      <w:rFonts w:ascii="Times New Roman" w:hAnsi="Times New Roman"/>
                      <w:b/>
                      <w:bCs/>
                      <w:color w:val="auto"/>
                      <w:szCs w:val="21"/>
                      <w:highlight w:val="none"/>
                    </w:rPr>
                    <w:t>现状浓度（ug/m</w:t>
                  </w:r>
                  <w:r>
                    <w:rPr>
                      <w:rFonts w:ascii="Times New Roman" w:hAnsi="Times New Roman"/>
                      <w:b/>
                      <w:bCs/>
                      <w:color w:val="auto"/>
                      <w:szCs w:val="21"/>
                      <w:highlight w:val="none"/>
                      <w:vertAlign w:val="superscript"/>
                    </w:rPr>
                    <w:t>3</w:t>
                  </w:r>
                  <w:r>
                    <w:rPr>
                      <w:rFonts w:ascii="Times New Roman" w:hAnsi="Times New Roman"/>
                      <w:b/>
                      <w:bCs/>
                      <w:color w:val="auto"/>
                      <w:szCs w:val="21"/>
                      <w:highlight w:val="none"/>
                    </w:rPr>
                    <w:t>）</w:t>
                  </w:r>
                </w:p>
              </w:tc>
              <w:tc>
                <w:tcPr>
                  <w:tcW w:w="783" w:type="pct"/>
                  <w:noWrap w:val="0"/>
                  <w:vAlign w:val="center"/>
                </w:tcPr>
                <w:p w14:paraId="7448F34C">
                  <w:pPr>
                    <w:keepNext w:val="0"/>
                    <w:keepLines w:val="0"/>
                    <w:widowControl/>
                    <w:suppressLineNumbers w:val="0"/>
                    <w:adjustRightInd w:val="0"/>
                    <w:spacing w:before="0" w:beforeAutospacing="0" w:after="0" w:afterAutospacing="0"/>
                    <w:ind w:left="0" w:right="0"/>
                    <w:jc w:val="center"/>
                    <w:rPr>
                      <w:rFonts w:ascii="Times New Roman" w:hAnsi="Times New Roman"/>
                      <w:b/>
                      <w:bCs/>
                      <w:color w:val="auto"/>
                      <w:szCs w:val="21"/>
                      <w:highlight w:val="none"/>
                    </w:rPr>
                  </w:pPr>
                  <w:r>
                    <w:rPr>
                      <w:rFonts w:ascii="Times New Roman" w:hAnsi="Times New Roman"/>
                      <w:b/>
                      <w:bCs/>
                      <w:color w:val="auto"/>
                      <w:szCs w:val="21"/>
                      <w:highlight w:val="none"/>
                    </w:rPr>
                    <w:t>标准值（ug/m</w:t>
                  </w:r>
                  <w:r>
                    <w:rPr>
                      <w:rFonts w:ascii="Times New Roman" w:hAnsi="Times New Roman"/>
                      <w:b/>
                      <w:bCs/>
                      <w:color w:val="auto"/>
                      <w:szCs w:val="21"/>
                      <w:highlight w:val="none"/>
                      <w:vertAlign w:val="superscript"/>
                    </w:rPr>
                    <w:t>3</w:t>
                  </w:r>
                  <w:r>
                    <w:rPr>
                      <w:rFonts w:ascii="Times New Roman" w:hAnsi="Times New Roman"/>
                      <w:b/>
                      <w:bCs/>
                      <w:color w:val="auto"/>
                      <w:szCs w:val="21"/>
                      <w:highlight w:val="none"/>
                    </w:rPr>
                    <w:t>）</w:t>
                  </w:r>
                </w:p>
              </w:tc>
              <w:tc>
                <w:tcPr>
                  <w:tcW w:w="550" w:type="pct"/>
                  <w:noWrap w:val="0"/>
                  <w:vAlign w:val="center"/>
                </w:tcPr>
                <w:p w14:paraId="711CCB3B">
                  <w:pPr>
                    <w:keepNext w:val="0"/>
                    <w:keepLines w:val="0"/>
                    <w:widowControl/>
                    <w:suppressLineNumbers w:val="0"/>
                    <w:adjustRightInd w:val="0"/>
                    <w:spacing w:before="0" w:beforeAutospacing="0" w:after="0" w:afterAutospacing="0"/>
                    <w:ind w:left="0" w:right="0"/>
                    <w:jc w:val="center"/>
                    <w:rPr>
                      <w:rFonts w:ascii="Times New Roman" w:hAnsi="Times New Roman"/>
                      <w:b/>
                      <w:bCs/>
                      <w:color w:val="auto"/>
                      <w:szCs w:val="21"/>
                      <w:highlight w:val="none"/>
                    </w:rPr>
                  </w:pPr>
                  <w:r>
                    <w:rPr>
                      <w:rFonts w:ascii="Times New Roman" w:hAnsi="Times New Roman"/>
                      <w:b/>
                      <w:bCs/>
                      <w:color w:val="auto"/>
                      <w:szCs w:val="21"/>
                      <w:highlight w:val="none"/>
                    </w:rPr>
                    <w:t>占标率%</w:t>
                  </w:r>
                </w:p>
              </w:tc>
              <w:tc>
                <w:tcPr>
                  <w:tcW w:w="606" w:type="pct"/>
                  <w:noWrap w:val="0"/>
                  <w:vAlign w:val="center"/>
                </w:tcPr>
                <w:p w14:paraId="4F32188A">
                  <w:pPr>
                    <w:keepNext w:val="0"/>
                    <w:keepLines w:val="0"/>
                    <w:widowControl/>
                    <w:suppressLineNumbers w:val="0"/>
                    <w:adjustRightInd w:val="0"/>
                    <w:spacing w:before="0" w:beforeAutospacing="0" w:after="0" w:afterAutospacing="0"/>
                    <w:ind w:left="0" w:right="0"/>
                    <w:jc w:val="center"/>
                    <w:rPr>
                      <w:rFonts w:ascii="Times New Roman" w:hAnsi="Times New Roman"/>
                      <w:b/>
                      <w:bCs/>
                      <w:color w:val="auto"/>
                      <w:szCs w:val="21"/>
                      <w:highlight w:val="none"/>
                    </w:rPr>
                  </w:pPr>
                  <w:r>
                    <w:rPr>
                      <w:rFonts w:ascii="Times New Roman" w:hAnsi="Times New Roman"/>
                      <w:b/>
                      <w:bCs/>
                      <w:color w:val="auto"/>
                      <w:szCs w:val="21"/>
                      <w:highlight w:val="none"/>
                    </w:rPr>
                    <w:t>达标</w:t>
                  </w:r>
                </w:p>
                <w:p w14:paraId="0F399348">
                  <w:pPr>
                    <w:keepNext w:val="0"/>
                    <w:keepLines w:val="0"/>
                    <w:widowControl/>
                    <w:suppressLineNumbers w:val="0"/>
                    <w:adjustRightInd w:val="0"/>
                    <w:spacing w:before="0" w:beforeAutospacing="0" w:after="0" w:afterAutospacing="0"/>
                    <w:ind w:left="0" w:right="0"/>
                    <w:jc w:val="center"/>
                    <w:rPr>
                      <w:rFonts w:ascii="Times New Roman" w:hAnsi="Times New Roman"/>
                      <w:b/>
                      <w:bCs/>
                      <w:color w:val="auto"/>
                      <w:szCs w:val="21"/>
                      <w:highlight w:val="none"/>
                    </w:rPr>
                  </w:pPr>
                  <w:r>
                    <w:rPr>
                      <w:rFonts w:ascii="Times New Roman" w:hAnsi="Times New Roman"/>
                      <w:b/>
                      <w:bCs/>
                      <w:color w:val="auto"/>
                      <w:szCs w:val="21"/>
                      <w:highlight w:val="none"/>
                    </w:rPr>
                    <w:t>情况</w:t>
                  </w:r>
                </w:p>
              </w:tc>
            </w:tr>
            <w:tr w14:paraId="3679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 w:type="pct"/>
                  <w:noWrap w:val="0"/>
                  <w:vAlign w:val="center"/>
                </w:tcPr>
                <w:p w14:paraId="04DE25AD">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SO</w:t>
                  </w:r>
                  <w:r>
                    <w:rPr>
                      <w:rFonts w:ascii="Times New Roman" w:hAnsi="Times New Roman"/>
                      <w:color w:val="auto"/>
                      <w:szCs w:val="21"/>
                      <w:highlight w:val="none"/>
                      <w:vertAlign w:val="subscript"/>
                    </w:rPr>
                    <w:t>2</w:t>
                  </w:r>
                </w:p>
              </w:tc>
              <w:tc>
                <w:tcPr>
                  <w:tcW w:w="1702" w:type="pct"/>
                  <w:noWrap w:val="0"/>
                  <w:vAlign w:val="center"/>
                </w:tcPr>
                <w:p w14:paraId="03F9A911">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年平均质量浓度</w:t>
                  </w:r>
                </w:p>
              </w:tc>
              <w:tc>
                <w:tcPr>
                  <w:tcW w:w="798" w:type="pct"/>
                  <w:noWrap w:val="0"/>
                  <w:vAlign w:val="center"/>
                </w:tcPr>
                <w:p w14:paraId="34F0F854">
                  <w:pPr>
                    <w:keepNext w:val="0"/>
                    <w:keepLines w:val="0"/>
                    <w:widowControl/>
                    <w:suppressLineNumbers w:val="0"/>
                    <w:adjustRightInd w:val="0"/>
                    <w:spacing w:before="0" w:beforeAutospacing="0" w:after="0" w:afterAutospacing="0"/>
                    <w:ind w:left="0" w:right="0"/>
                    <w:jc w:val="center"/>
                    <w:rPr>
                      <w:rFonts w:hint="eastAsia" w:ascii="Times New Roman" w:hAnsi="Times New Roman"/>
                      <w:color w:val="auto"/>
                      <w:szCs w:val="21"/>
                      <w:highlight w:val="none"/>
                    </w:rPr>
                  </w:pPr>
                  <w:r>
                    <w:rPr>
                      <w:rFonts w:hint="eastAsia" w:ascii="Times New Roman" w:hAnsi="Times New Roman"/>
                      <w:color w:val="auto"/>
                      <w:szCs w:val="21"/>
                      <w:highlight w:val="none"/>
                    </w:rPr>
                    <w:t>8</w:t>
                  </w:r>
                </w:p>
              </w:tc>
              <w:tc>
                <w:tcPr>
                  <w:tcW w:w="783" w:type="pct"/>
                  <w:noWrap w:val="0"/>
                  <w:vAlign w:val="center"/>
                </w:tcPr>
                <w:p w14:paraId="31802397">
                  <w:pPr>
                    <w:keepNext w:val="0"/>
                    <w:keepLines w:val="0"/>
                    <w:widowControl/>
                    <w:suppressLineNumbers w:val="0"/>
                    <w:adjustRightInd w:val="0"/>
                    <w:spacing w:before="0" w:beforeAutospacing="0" w:after="0" w:afterAutospacing="0"/>
                    <w:ind w:left="0" w:right="0"/>
                    <w:jc w:val="center"/>
                    <w:rPr>
                      <w:rFonts w:hint="default" w:ascii="Times New Roman" w:hAnsi="Times New Roman"/>
                      <w:color w:val="auto"/>
                      <w:szCs w:val="21"/>
                      <w:highlight w:val="none"/>
                      <w:lang w:val="en-US"/>
                    </w:rPr>
                  </w:pPr>
                  <w:r>
                    <w:rPr>
                      <w:rFonts w:hint="eastAsia"/>
                      <w:color w:val="auto"/>
                      <w:szCs w:val="21"/>
                      <w:highlight w:val="none"/>
                      <w:lang w:val="en-US" w:eastAsia="zh-CN"/>
                    </w:rPr>
                    <w:t>60</w:t>
                  </w:r>
                </w:p>
              </w:tc>
              <w:tc>
                <w:tcPr>
                  <w:tcW w:w="550" w:type="pct"/>
                  <w:noWrap w:val="0"/>
                  <w:vAlign w:val="center"/>
                </w:tcPr>
                <w:p w14:paraId="7BEAD128">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13.3</w:t>
                  </w:r>
                </w:p>
              </w:tc>
              <w:tc>
                <w:tcPr>
                  <w:tcW w:w="606" w:type="pct"/>
                  <w:noWrap w:val="0"/>
                  <w:vAlign w:val="center"/>
                </w:tcPr>
                <w:p w14:paraId="5A5CECD1">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达标</w:t>
                  </w:r>
                </w:p>
              </w:tc>
            </w:tr>
            <w:tr w14:paraId="323F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 w:type="pct"/>
                  <w:noWrap w:val="0"/>
                  <w:vAlign w:val="center"/>
                </w:tcPr>
                <w:p w14:paraId="282B4A57">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NO</w:t>
                  </w:r>
                  <w:r>
                    <w:rPr>
                      <w:rFonts w:ascii="Times New Roman" w:hAnsi="Times New Roman"/>
                      <w:color w:val="auto"/>
                      <w:szCs w:val="21"/>
                      <w:highlight w:val="none"/>
                      <w:vertAlign w:val="subscript"/>
                    </w:rPr>
                    <w:t>2</w:t>
                  </w:r>
                </w:p>
              </w:tc>
              <w:tc>
                <w:tcPr>
                  <w:tcW w:w="1702" w:type="pct"/>
                  <w:noWrap w:val="0"/>
                  <w:vAlign w:val="center"/>
                </w:tcPr>
                <w:p w14:paraId="16A23E38">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年平均质量浓度</w:t>
                  </w:r>
                </w:p>
              </w:tc>
              <w:tc>
                <w:tcPr>
                  <w:tcW w:w="798" w:type="pct"/>
                  <w:noWrap w:val="0"/>
                  <w:vAlign w:val="center"/>
                </w:tcPr>
                <w:p w14:paraId="610364CA">
                  <w:pPr>
                    <w:keepNext w:val="0"/>
                    <w:keepLines w:val="0"/>
                    <w:widowControl/>
                    <w:suppressLineNumbers w:val="0"/>
                    <w:adjustRightInd w:val="0"/>
                    <w:spacing w:before="0" w:beforeAutospacing="0" w:after="0" w:afterAutospacing="0"/>
                    <w:ind w:left="0" w:right="0"/>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rPr>
                    <w:t>2</w:t>
                  </w:r>
                  <w:r>
                    <w:rPr>
                      <w:rFonts w:hint="eastAsia"/>
                      <w:color w:val="auto"/>
                      <w:szCs w:val="21"/>
                      <w:highlight w:val="none"/>
                      <w:lang w:val="en-US" w:eastAsia="zh-CN"/>
                    </w:rPr>
                    <w:t>4</w:t>
                  </w:r>
                </w:p>
              </w:tc>
              <w:tc>
                <w:tcPr>
                  <w:tcW w:w="783" w:type="pct"/>
                  <w:noWrap w:val="0"/>
                  <w:vAlign w:val="center"/>
                </w:tcPr>
                <w:p w14:paraId="0BF923FB">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40</w:t>
                  </w:r>
                </w:p>
              </w:tc>
              <w:tc>
                <w:tcPr>
                  <w:tcW w:w="550" w:type="pct"/>
                  <w:noWrap w:val="0"/>
                  <w:vAlign w:val="center"/>
                </w:tcPr>
                <w:p w14:paraId="30A67F42">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60</w:t>
                  </w:r>
                </w:p>
              </w:tc>
              <w:tc>
                <w:tcPr>
                  <w:tcW w:w="606" w:type="pct"/>
                  <w:noWrap w:val="0"/>
                  <w:vAlign w:val="center"/>
                </w:tcPr>
                <w:p w14:paraId="558C889A">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达标</w:t>
                  </w:r>
                </w:p>
              </w:tc>
            </w:tr>
            <w:tr w14:paraId="29C0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 w:type="pct"/>
                  <w:noWrap w:val="0"/>
                  <w:vAlign w:val="center"/>
                </w:tcPr>
                <w:p w14:paraId="52C261B4">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PM</w:t>
                  </w:r>
                  <w:r>
                    <w:rPr>
                      <w:rFonts w:ascii="Times New Roman" w:hAnsi="Times New Roman"/>
                      <w:color w:val="auto"/>
                      <w:szCs w:val="21"/>
                      <w:highlight w:val="none"/>
                      <w:vertAlign w:val="subscript"/>
                    </w:rPr>
                    <w:t>10</w:t>
                  </w:r>
                </w:p>
              </w:tc>
              <w:tc>
                <w:tcPr>
                  <w:tcW w:w="1702" w:type="pct"/>
                  <w:noWrap w:val="0"/>
                  <w:vAlign w:val="center"/>
                </w:tcPr>
                <w:p w14:paraId="38262A9B">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年平均质量浓度</w:t>
                  </w:r>
                </w:p>
              </w:tc>
              <w:tc>
                <w:tcPr>
                  <w:tcW w:w="798" w:type="pct"/>
                  <w:noWrap w:val="0"/>
                  <w:vAlign w:val="center"/>
                </w:tcPr>
                <w:p w14:paraId="7EB28EEF">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66</w:t>
                  </w:r>
                </w:p>
              </w:tc>
              <w:tc>
                <w:tcPr>
                  <w:tcW w:w="783" w:type="pct"/>
                  <w:noWrap w:val="0"/>
                  <w:vAlign w:val="center"/>
                </w:tcPr>
                <w:p w14:paraId="481885E5">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70</w:t>
                  </w:r>
                </w:p>
              </w:tc>
              <w:tc>
                <w:tcPr>
                  <w:tcW w:w="550" w:type="pct"/>
                  <w:noWrap w:val="0"/>
                  <w:vAlign w:val="center"/>
                </w:tcPr>
                <w:p w14:paraId="3458163B">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94.3</w:t>
                  </w:r>
                </w:p>
              </w:tc>
              <w:tc>
                <w:tcPr>
                  <w:tcW w:w="606" w:type="pct"/>
                  <w:noWrap w:val="0"/>
                  <w:vAlign w:val="center"/>
                </w:tcPr>
                <w:p w14:paraId="4AE7C64E">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达标</w:t>
                  </w:r>
                </w:p>
              </w:tc>
            </w:tr>
            <w:tr w14:paraId="6148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 w:type="pct"/>
                  <w:noWrap w:val="0"/>
                  <w:vAlign w:val="center"/>
                </w:tcPr>
                <w:p w14:paraId="281DC48E">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PM</w:t>
                  </w:r>
                  <w:r>
                    <w:rPr>
                      <w:rFonts w:ascii="Times New Roman" w:hAnsi="Times New Roman"/>
                      <w:color w:val="auto"/>
                      <w:szCs w:val="21"/>
                      <w:highlight w:val="none"/>
                      <w:vertAlign w:val="subscript"/>
                    </w:rPr>
                    <w:t>2.5</w:t>
                  </w:r>
                </w:p>
              </w:tc>
              <w:tc>
                <w:tcPr>
                  <w:tcW w:w="1702" w:type="pct"/>
                  <w:noWrap w:val="0"/>
                  <w:vAlign w:val="center"/>
                </w:tcPr>
                <w:p w14:paraId="6FF73E2C">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年平均质量浓度</w:t>
                  </w:r>
                </w:p>
              </w:tc>
              <w:tc>
                <w:tcPr>
                  <w:tcW w:w="798" w:type="pct"/>
                  <w:noWrap w:val="0"/>
                  <w:vAlign w:val="center"/>
                </w:tcPr>
                <w:p w14:paraId="29C11B29">
                  <w:pPr>
                    <w:keepNext w:val="0"/>
                    <w:keepLines w:val="0"/>
                    <w:widowControl/>
                    <w:suppressLineNumbers w:val="0"/>
                    <w:adjustRightInd w:val="0"/>
                    <w:spacing w:before="0" w:beforeAutospacing="0" w:after="0" w:afterAutospacing="0"/>
                    <w:ind w:left="0" w:right="0"/>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rPr>
                    <w:t>3</w:t>
                  </w:r>
                  <w:r>
                    <w:rPr>
                      <w:rFonts w:hint="eastAsia"/>
                      <w:color w:val="auto"/>
                      <w:szCs w:val="21"/>
                      <w:highlight w:val="none"/>
                      <w:lang w:val="en-US" w:eastAsia="zh-CN"/>
                    </w:rPr>
                    <w:t>8</w:t>
                  </w:r>
                </w:p>
              </w:tc>
              <w:tc>
                <w:tcPr>
                  <w:tcW w:w="783" w:type="pct"/>
                  <w:noWrap w:val="0"/>
                  <w:vAlign w:val="center"/>
                </w:tcPr>
                <w:p w14:paraId="732B3CD0">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35</w:t>
                  </w:r>
                </w:p>
              </w:tc>
              <w:tc>
                <w:tcPr>
                  <w:tcW w:w="550" w:type="pct"/>
                  <w:noWrap w:val="0"/>
                  <w:vAlign w:val="center"/>
                </w:tcPr>
                <w:p w14:paraId="56353B20">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108.6</w:t>
                  </w:r>
                </w:p>
              </w:tc>
              <w:tc>
                <w:tcPr>
                  <w:tcW w:w="606" w:type="pct"/>
                  <w:noWrap w:val="0"/>
                  <w:vAlign w:val="center"/>
                </w:tcPr>
                <w:p w14:paraId="4E9B349E">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hint="eastAsia"/>
                      <w:color w:val="auto"/>
                      <w:szCs w:val="21"/>
                      <w:highlight w:val="none"/>
                      <w:lang w:val="en-US" w:eastAsia="zh-CN"/>
                    </w:rPr>
                    <w:t>不</w:t>
                  </w:r>
                  <w:r>
                    <w:rPr>
                      <w:rFonts w:ascii="Times New Roman" w:hAnsi="Times New Roman"/>
                      <w:color w:val="auto"/>
                      <w:szCs w:val="21"/>
                      <w:highlight w:val="none"/>
                    </w:rPr>
                    <w:t>达标</w:t>
                  </w:r>
                </w:p>
              </w:tc>
            </w:tr>
            <w:tr w14:paraId="7C31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 w:type="pct"/>
                  <w:noWrap w:val="0"/>
                  <w:vAlign w:val="center"/>
                </w:tcPr>
                <w:p w14:paraId="5B303920">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CO</w:t>
                  </w:r>
                </w:p>
              </w:tc>
              <w:tc>
                <w:tcPr>
                  <w:tcW w:w="1702" w:type="pct"/>
                  <w:noWrap w:val="0"/>
                  <w:vAlign w:val="center"/>
                </w:tcPr>
                <w:p w14:paraId="52BC8361">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24小时平均质量浓度</w:t>
                  </w:r>
                </w:p>
              </w:tc>
              <w:tc>
                <w:tcPr>
                  <w:tcW w:w="798" w:type="pct"/>
                  <w:noWrap w:val="0"/>
                  <w:vAlign w:val="center"/>
                </w:tcPr>
                <w:p w14:paraId="31D41A8C">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hint="eastAsia"/>
                      <w:color w:val="auto"/>
                      <w:szCs w:val="21"/>
                      <w:highlight w:val="none"/>
                      <w:lang w:val="en-US" w:eastAsia="zh-CN"/>
                    </w:rPr>
                    <w:t>8</w:t>
                  </w:r>
                  <w:r>
                    <w:rPr>
                      <w:rFonts w:ascii="Times New Roman" w:hAnsi="Times New Roman"/>
                      <w:color w:val="auto"/>
                      <w:szCs w:val="21"/>
                      <w:highlight w:val="none"/>
                    </w:rPr>
                    <w:t>00</w:t>
                  </w:r>
                </w:p>
              </w:tc>
              <w:tc>
                <w:tcPr>
                  <w:tcW w:w="783" w:type="pct"/>
                  <w:noWrap w:val="0"/>
                  <w:vAlign w:val="center"/>
                </w:tcPr>
                <w:p w14:paraId="26031FD1">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4000</w:t>
                  </w:r>
                </w:p>
              </w:tc>
              <w:tc>
                <w:tcPr>
                  <w:tcW w:w="550" w:type="pct"/>
                  <w:noWrap w:val="0"/>
                  <w:vAlign w:val="center"/>
                </w:tcPr>
                <w:p w14:paraId="6A1788FA">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20</w:t>
                  </w:r>
                </w:p>
              </w:tc>
              <w:tc>
                <w:tcPr>
                  <w:tcW w:w="606" w:type="pct"/>
                  <w:noWrap w:val="0"/>
                  <w:vAlign w:val="center"/>
                </w:tcPr>
                <w:p w14:paraId="6882CC1E">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达标</w:t>
                  </w:r>
                </w:p>
              </w:tc>
            </w:tr>
            <w:tr w14:paraId="4024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 w:type="pct"/>
                  <w:noWrap w:val="0"/>
                  <w:vAlign w:val="center"/>
                </w:tcPr>
                <w:p w14:paraId="47104E02">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O</w:t>
                  </w:r>
                  <w:r>
                    <w:rPr>
                      <w:rFonts w:ascii="Times New Roman" w:hAnsi="Times New Roman"/>
                      <w:color w:val="auto"/>
                      <w:szCs w:val="21"/>
                      <w:highlight w:val="none"/>
                      <w:vertAlign w:val="subscript"/>
                    </w:rPr>
                    <w:t>3</w:t>
                  </w:r>
                </w:p>
              </w:tc>
              <w:tc>
                <w:tcPr>
                  <w:tcW w:w="1702" w:type="pct"/>
                  <w:noWrap w:val="0"/>
                  <w:vAlign w:val="center"/>
                </w:tcPr>
                <w:p w14:paraId="547EB721">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日最大8小时浓度</w:t>
                  </w:r>
                </w:p>
              </w:tc>
              <w:tc>
                <w:tcPr>
                  <w:tcW w:w="798" w:type="pct"/>
                  <w:noWrap w:val="0"/>
                  <w:vAlign w:val="center"/>
                </w:tcPr>
                <w:p w14:paraId="337882E9">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rPr>
                    <w:t>1</w:t>
                  </w:r>
                  <w:r>
                    <w:rPr>
                      <w:rFonts w:hint="eastAsia"/>
                      <w:color w:val="auto"/>
                      <w:szCs w:val="21"/>
                      <w:highlight w:val="none"/>
                      <w:lang w:val="en-US" w:eastAsia="zh-CN"/>
                    </w:rPr>
                    <w:t>59</w:t>
                  </w:r>
                </w:p>
              </w:tc>
              <w:tc>
                <w:tcPr>
                  <w:tcW w:w="783" w:type="pct"/>
                  <w:noWrap w:val="0"/>
                  <w:vAlign w:val="center"/>
                </w:tcPr>
                <w:p w14:paraId="00835F57">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160</w:t>
                  </w:r>
                </w:p>
              </w:tc>
              <w:tc>
                <w:tcPr>
                  <w:tcW w:w="550" w:type="pct"/>
                  <w:noWrap w:val="0"/>
                  <w:vAlign w:val="center"/>
                </w:tcPr>
                <w:p w14:paraId="5628FECD">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99.4</w:t>
                  </w:r>
                </w:p>
              </w:tc>
              <w:tc>
                <w:tcPr>
                  <w:tcW w:w="606" w:type="pct"/>
                  <w:noWrap w:val="0"/>
                  <w:vAlign w:val="center"/>
                </w:tcPr>
                <w:p w14:paraId="33E5554E">
                  <w:pPr>
                    <w:keepNext w:val="0"/>
                    <w:keepLines w:val="0"/>
                    <w:widowControl/>
                    <w:suppressLineNumbers w:val="0"/>
                    <w:adjustRightIn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达标</w:t>
                  </w:r>
                </w:p>
              </w:tc>
            </w:tr>
          </w:tbl>
          <w:p w14:paraId="33699354">
            <w:pPr>
              <w:pStyle w:val="34"/>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cs="Times New Roman"/>
                <w:color w:val="auto"/>
                <w:sz w:val="24"/>
                <w:szCs w:val="22"/>
                <w:highlight w:val="none"/>
              </w:rPr>
            </w:pPr>
            <w:r>
              <w:rPr>
                <w:rFonts w:hint="default" w:ascii="Times New Roman" w:hAnsi="Times New Roman" w:eastAsia="宋体" w:cs="Times New Roman"/>
                <w:color w:val="auto"/>
                <w:sz w:val="24"/>
                <w:szCs w:val="24"/>
                <w:highlight w:val="none"/>
              </w:rPr>
              <w:t>由上表可知，2023年度</w:t>
            </w:r>
            <w:r>
              <w:rPr>
                <w:rFonts w:hint="eastAsia" w:ascii="Times New Roman" w:hAnsi="Times New Roman" w:eastAsia="宋体" w:cs="Times New Roman"/>
                <w:color w:val="auto"/>
                <w:sz w:val="24"/>
                <w:szCs w:val="24"/>
                <w:highlight w:val="none"/>
                <w:lang w:val="en-US" w:eastAsia="zh-CN"/>
              </w:rPr>
              <w:t>蚌埠</w:t>
            </w:r>
            <w:r>
              <w:rPr>
                <w:rFonts w:hint="default" w:ascii="Times New Roman" w:hAnsi="Times New Roman" w:eastAsia="宋体" w:cs="Times New Roman"/>
                <w:color w:val="auto"/>
                <w:sz w:val="24"/>
                <w:szCs w:val="24"/>
                <w:highlight w:val="none"/>
              </w:rPr>
              <w:t>市PM10、SO2、NO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、CO</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指标均能满足《环境空气质量标准》（GB3095-2012）及其修改单中二级标准，PM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不能满足《环境空气质量标准》（GB3095-2012）及其修改单中二级标准，综合属于大气环境质量不达标区</w:t>
            </w:r>
            <w:r>
              <w:rPr>
                <w:rFonts w:hint="default" w:ascii="Times New Roman" w:hAnsi="Times New Roman" w:cs="Times New Roman"/>
                <w:color w:val="auto"/>
                <w:sz w:val="24"/>
                <w:szCs w:val="22"/>
                <w:highlight w:val="none"/>
              </w:rPr>
              <w:t>。</w:t>
            </w:r>
          </w:p>
          <w:p w14:paraId="5F44B29E">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②特征污染物</w:t>
            </w:r>
          </w:p>
          <w:p w14:paraId="362D81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为了解项目</w:t>
            </w:r>
            <w:r>
              <w:rPr>
                <w:rFonts w:hint="eastAsia" w:cs="Times New Roman"/>
                <w:color w:val="auto"/>
                <w:kern w:val="0"/>
                <w:sz w:val="24"/>
                <w:szCs w:val="24"/>
                <w:highlight w:val="none"/>
                <w:lang w:val="en-US" w:eastAsia="zh-CN" w:bidi="ar"/>
              </w:rPr>
              <w:t>特征污染物</w:t>
            </w:r>
            <w:r>
              <w:rPr>
                <w:rFonts w:hint="default" w:ascii="Times New Roman" w:hAnsi="Times New Roman" w:eastAsia="宋体" w:cs="Times New Roman"/>
                <w:color w:val="auto"/>
                <w:kern w:val="0"/>
                <w:sz w:val="24"/>
                <w:szCs w:val="24"/>
                <w:highlight w:val="none"/>
                <w:lang w:val="en-US" w:eastAsia="zh-CN" w:bidi="ar"/>
              </w:rPr>
              <w:t>TSP所在区域环境质量情况，本次评价引用</w:t>
            </w:r>
            <w:r>
              <w:rPr>
                <w:rFonts w:ascii="Times New Roman" w:hAnsi="Times New Roman"/>
                <w:color w:val="auto"/>
                <w:kern w:val="0"/>
                <w:sz w:val="24"/>
                <w:szCs w:val="24"/>
                <w:highlight w:val="none"/>
                <w:lang w:bidi="ar"/>
              </w:rPr>
              <w:t>《</w:t>
            </w:r>
            <w:r>
              <w:rPr>
                <w:rFonts w:hint="eastAsia" w:ascii="Times New Roman" w:hAnsi="Times New Roman" w:eastAsia="宋体" w:cs="Times New Roman"/>
                <w:color w:val="auto"/>
                <w:sz w:val="24"/>
                <w:szCs w:val="22"/>
                <w:highlight w:val="none"/>
                <w:lang w:eastAsia="zh-CN"/>
              </w:rPr>
              <w:t>丽岛新能源(安徽)有限公</w:t>
            </w:r>
            <w:r>
              <w:rPr>
                <w:rFonts w:hint="eastAsia" w:ascii="Times New Roman" w:hAnsi="Times New Roman" w:eastAsia="宋体" w:cs="Times New Roman"/>
                <w:color w:val="auto"/>
                <w:kern w:val="0"/>
                <w:sz w:val="24"/>
                <w:szCs w:val="24"/>
                <w:highlight w:val="none"/>
                <w:lang w:val="en-US" w:eastAsia="zh-CN" w:bidi="ar"/>
              </w:rPr>
              <w:t>司年产8.6万吨新能源电池集流体材料等新型铝材项目环境影响报告书》</w:t>
            </w:r>
            <w:r>
              <w:rPr>
                <w:rFonts w:hint="default" w:ascii="Times New Roman" w:hAnsi="Times New Roman" w:eastAsia="宋体" w:cs="Times New Roman"/>
                <w:color w:val="auto"/>
                <w:kern w:val="0"/>
                <w:sz w:val="24"/>
                <w:szCs w:val="24"/>
                <w:highlight w:val="none"/>
                <w:lang w:val="en-US" w:eastAsia="zh-CN" w:bidi="ar"/>
              </w:rPr>
              <w:t>中监测点位</w:t>
            </w:r>
            <w:r>
              <w:rPr>
                <w:rFonts w:hint="eastAsia" w:ascii="Times New Roman" w:hAnsi="Times New Roman" w:eastAsia="宋体" w:cs="Times New Roman"/>
                <w:color w:val="auto"/>
                <w:kern w:val="0"/>
                <w:sz w:val="24"/>
                <w:szCs w:val="24"/>
                <w:highlight w:val="none"/>
                <w:lang w:val="en-US" w:eastAsia="zh-CN" w:bidi="ar"/>
              </w:rPr>
              <w:t>G1丽岛新能源（安徽）有限公司项目地的监测</w:t>
            </w:r>
            <w:r>
              <w:rPr>
                <w:rFonts w:hint="default" w:ascii="Times New Roman" w:hAnsi="Times New Roman" w:eastAsia="宋体" w:cs="Times New Roman"/>
                <w:color w:val="auto"/>
                <w:kern w:val="0"/>
                <w:sz w:val="24"/>
                <w:szCs w:val="24"/>
                <w:highlight w:val="none"/>
                <w:lang w:val="en-US" w:eastAsia="zh-CN" w:bidi="ar"/>
              </w:rPr>
              <w:t>数据。</w:t>
            </w:r>
          </w:p>
          <w:p w14:paraId="2A4E34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 xml:space="preserve">引用有效性分析： </w:t>
            </w:r>
          </w:p>
          <w:p w14:paraId="2C32CA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rPr>
              <w:t>监测时间为2022年</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日~</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日连续监测</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天，</w:t>
            </w:r>
            <w:r>
              <w:rPr>
                <w:rFonts w:hint="default" w:ascii="Times New Roman" w:hAnsi="Times New Roman" w:eastAsia="宋体" w:cs="Times New Roman"/>
                <w:color w:val="auto"/>
                <w:kern w:val="0"/>
                <w:sz w:val="24"/>
                <w:szCs w:val="24"/>
                <w:highlight w:val="none"/>
                <w:lang w:val="en-US" w:eastAsia="zh-CN" w:bidi="ar"/>
              </w:rPr>
              <w:t>监测点位</w:t>
            </w:r>
            <w:r>
              <w:rPr>
                <w:rFonts w:hint="default" w:ascii="Times New Roman" w:hAnsi="Times New Roman" w:eastAsia="宋体" w:cs="Times New Roman"/>
                <w:color w:val="auto"/>
                <w:sz w:val="24"/>
                <w:szCs w:val="24"/>
                <w:highlight w:val="none"/>
              </w:rPr>
              <w:t>位于项目</w:t>
            </w:r>
            <w:r>
              <w:rPr>
                <w:rFonts w:hint="eastAsia" w:cs="Times New Roman"/>
                <w:color w:val="auto"/>
                <w:sz w:val="24"/>
                <w:szCs w:val="24"/>
                <w:highlight w:val="none"/>
                <w:lang w:val="en-US" w:eastAsia="zh-CN"/>
              </w:rPr>
              <w:t>西南</w:t>
            </w:r>
            <w:r>
              <w:rPr>
                <w:rFonts w:hint="eastAsia" w:ascii="Times New Roman" w:hAnsi="Times New Roman" w:eastAsia="宋体" w:cs="Times New Roman"/>
                <w:color w:val="auto"/>
                <w:sz w:val="24"/>
                <w:szCs w:val="24"/>
                <w:highlight w:val="none"/>
                <w:lang w:val="en-US" w:eastAsia="zh-CN"/>
              </w:rPr>
              <w:t>侧</w:t>
            </w:r>
            <w:r>
              <w:rPr>
                <w:rFonts w:hint="default" w:ascii="Times New Roman" w:hAnsi="Times New Roman" w:eastAsia="宋体" w:cs="Times New Roman"/>
                <w:color w:val="auto"/>
                <w:sz w:val="24"/>
                <w:szCs w:val="24"/>
                <w:highlight w:val="none"/>
              </w:rPr>
              <w:t>约</w:t>
            </w: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269</w:t>
            </w:r>
            <w:r>
              <w:rPr>
                <w:rFonts w:hint="default" w:ascii="Times New Roman" w:hAnsi="Times New Roman" w:eastAsia="宋体" w:cs="Times New Roman"/>
                <w:color w:val="auto"/>
                <w:sz w:val="24"/>
                <w:szCs w:val="24"/>
                <w:highlight w:val="none"/>
              </w:rPr>
              <w:t>m，满足《建设项目环境影响报告表编制技术指南（污染影响类）》中</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引用建设项目周边5km范围内近3年的现有监测数据</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的要求，引用的历史大气监测数据是可行的。</w:t>
            </w:r>
            <w:r>
              <w:rPr>
                <w:rFonts w:hint="eastAsia" w:cs="Times New Roman"/>
                <w:color w:val="auto"/>
                <w:sz w:val="24"/>
                <w:szCs w:val="24"/>
                <w:highlight w:val="none"/>
                <w:lang w:val="en-US" w:eastAsia="zh-CN"/>
              </w:rPr>
              <w:t>具体检测点位和评价结果如下：</w:t>
            </w:r>
            <w:r>
              <w:rPr>
                <w:rFonts w:hint="default" w:ascii="Times New Roman" w:hAnsi="Times New Roman" w:eastAsia="宋体" w:cs="Times New Roman"/>
                <w:color w:val="auto"/>
                <w:kern w:val="0"/>
                <w:sz w:val="24"/>
                <w:szCs w:val="24"/>
                <w:highlight w:val="none"/>
                <w:lang w:val="en-US" w:eastAsia="zh-CN" w:bidi="ar"/>
              </w:rPr>
              <w:t xml:space="preserve"> </w:t>
            </w:r>
          </w:p>
          <w:p w14:paraId="49110E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（1）监测布点与监测项目</w:t>
            </w:r>
          </w:p>
          <w:p w14:paraId="49D79F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olor w:val="auto"/>
                <w:sz w:val="24"/>
                <w:szCs w:val="24"/>
                <w:highlight w:val="none"/>
              </w:rPr>
              <w:t>引用</w:t>
            </w:r>
            <w:r>
              <w:rPr>
                <w:color w:val="auto"/>
                <w:sz w:val="24"/>
                <w:szCs w:val="24"/>
                <w:highlight w:val="none"/>
              </w:rPr>
              <w:t>监测点位、监测因子</w:t>
            </w:r>
            <w:r>
              <w:rPr>
                <w:rFonts w:hint="default" w:ascii="Times New Roman" w:hAnsi="Times New Roman" w:eastAsia="宋体" w:cs="Times New Roman"/>
                <w:color w:val="auto"/>
                <w:kern w:val="0"/>
                <w:sz w:val="24"/>
                <w:szCs w:val="24"/>
                <w:highlight w:val="none"/>
                <w:lang w:val="en-US" w:eastAsia="zh-CN" w:bidi="ar"/>
              </w:rPr>
              <w:t>具体见下表：</w:t>
            </w:r>
          </w:p>
          <w:p w14:paraId="1056DF2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表3-2  项目区域环境空气监测点位布置及对应监测因子</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523"/>
              <w:gridCol w:w="1424"/>
              <w:gridCol w:w="1482"/>
              <w:gridCol w:w="656"/>
              <w:gridCol w:w="1139"/>
              <w:gridCol w:w="1002"/>
            </w:tblGrid>
            <w:tr w14:paraId="4446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404" w:type="pct"/>
                  <w:vMerge w:val="restart"/>
                  <w:tcBorders>
                    <w:tl2br w:val="nil"/>
                    <w:tr2bl w:val="nil"/>
                  </w:tcBorders>
                  <w:noWrap w:val="0"/>
                  <w:vAlign w:val="center"/>
                </w:tcPr>
                <w:p w14:paraId="20E6046C">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968" w:type="pct"/>
                  <w:vMerge w:val="restart"/>
                  <w:tcBorders>
                    <w:tl2br w:val="nil"/>
                    <w:tr2bl w:val="nil"/>
                  </w:tcBorders>
                  <w:noWrap w:val="0"/>
                  <w:vAlign w:val="center"/>
                </w:tcPr>
                <w:p w14:paraId="05F939C2">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监测点名称</w:t>
                  </w:r>
                </w:p>
              </w:tc>
              <w:tc>
                <w:tcPr>
                  <w:tcW w:w="1847" w:type="pct"/>
                  <w:gridSpan w:val="2"/>
                  <w:tcBorders>
                    <w:tl2br w:val="nil"/>
                    <w:tr2bl w:val="nil"/>
                  </w:tcBorders>
                  <w:noWrap w:val="0"/>
                  <w:vAlign w:val="center"/>
                </w:tcPr>
                <w:p w14:paraId="7D672FD7">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监测点坐标（</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w:t>
                  </w:r>
                </w:p>
              </w:tc>
              <w:tc>
                <w:tcPr>
                  <w:tcW w:w="417" w:type="pct"/>
                  <w:vMerge w:val="restart"/>
                  <w:tcBorders>
                    <w:tl2br w:val="nil"/>
                    <w:tr2bl w:val="nil"/>
                  </w:tcBorders>
                  <w:noWrap w:val="0"/>
                  <w:vAlign w:val="center"/>
                </w:tcPr>
                <w:p w14:paraId="28736641">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相对方位</w:t>
                  </w:r>
                </w:p>
              </w:tc>
              <w:tc>
                <w:tcPr>
                  <w:tcW w:w="724" w:type="pct"/>
                  <w:vMerge w:val="restart"/>
                  <w:tcBorders>
                    <w:tl2br w:val="nil"/>
                    <w:tr2bl w:val="nil"/>
                  </w:tcBorders>
                  <w:noWrap w:val="0"/>
                  <w:vAlign w:val="center"/>
                </w:tcPr>
                <w:p w14:paraId="3E18D3A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w:t>
                  </w:r>
                  <w:r>
                    <w:rPr>
                      <w:rFonts w:hint="default" w:ascii="Times New Roman" w:hAnsi="Times New Roman" w:eastAsia="宋体" w:cs="Times New Roman"/>
                      <w:b/>
                      <w:bCs/>
                      <w:color w:val="auto"/>
                      <w:sz w:val="21"/>
                      <w:szCs w:val="21"/>
                      <w:highlight w:val="none"/>
                      <w:lang w:eastAsia="zh-CN"/>
                    </w:rPr>
                    <w:t>本项目</w:t>
                  </w:r>
                  <w:r>
                    <w:rPr>
                      <w:rFonts w:hint="default" w:ascii="Times New Roman" w:hAnsi="Times New Roman" w:eastAsia="宋体" w:cs="Times New Roman"/>
                      <w:b/>
                      <w:bCs/>
                      <w:color w:val="auto"/>
                      <w:sz w:val="21"/>
                      <w:szCs w:val="21"/>
                      <w:highlight w:val="none"/>
                    </w:rPr>
                    <w:t>距离(m)</w:t>
                  </w:r>
                </w:p>
              </w:tc>
              <w:tc>
                <w:tcPr>
                  <w:tcW w:w="637" w:type="pct"/>
                  <w:vMerge w:val="restart"/>
                  <w:tcBorders>
                    <w:tl2br w:val="nil"/>
                    <w:tr2bl w:val="nil"/>
                  </w:tcBorders>
                  <w:noWrap w:val="0"/>
                  <w:vAlign w:val="center"/>
                </w:tcPr>
                <w:p w14:paraId="3B08EB6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监测因子</w:t>
                  </w:r>
                </w:p>
              </w:tc>
            </w:tr>
            <w:tr w14:paraId="041F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04" w:type="pct"/>
                  <w:vMerge w:val="continue"/>
                  <w:tcBorders>
                    <w:tl2br w:val="nil"/>
                    <w:tr2bl w:val="nil"/>
                  </w:tcBorders>
                  <w:noWrap w:val="0"/>
                  <w:vAlign w:val="center"/>
                </w:tcPr>
                <w:p w14:paraId="247DE2CA">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rPr>
                  </w:pPr>
                </w:p>
              </w:tc>
              <w:tc>
                <w:tcPr>
                  <w:tcW w:w="968" w:type="pct"/>
                  <w:vMerge w:val="continue"/>
                  <w:tcBorders>
                    <w:tl2br w:val="nil"/>
                    <w:tr2bl w:val="nil"/>
                  </w:tcBorders>
                  <w:noWrap w:val="0"/>
                  <w:vAlign w:val="center"/>
                </w:tcPr>
                <w:p w14:paraId="69DA99E5">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rPr>
                  </w:pPr>
                </w:p>
              </w:tc>
              <w:tc>
                <w:tcPr>
                  <w:tcW w:w="905" w:type="pct"/>
                  <w:tcBorders>
                    <w:tl2br w:val="nil"/>
                    <w:tr2bl w:val="nil"/>
                  </w:tcBorders>
                  <w:noWrap w:val="0"/>
                  <w:vAlign w:val="center"/>
                </w:tcPr>
                <w:p w14:paraId="1D14617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经度</w:t>
                  </w:r>
                </w:p>
              </w:tc>
              <w:tc>
                <w:tcPr>
                  <w:tcW w:w="941" w:type="pct"/>
                  <w:tcBorders>
                    <w:tl2br w:val="nil"/>
                    <w:tr2bl w:val="nil"/>
                  </w:tcBorders>
                  <w:noWrap w:val="0"/>
                  <w:vAlign w:val="center"/>
                </w:tcPr>
                <w:p w14:paraId="6A7FDCA1">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纬度</w:t>
                  </w:r>
                </w:p>
              </w:tc>
              <w:tc>
                <w:tcPr>
                  <w:tcW w:w="417" w:type="pct"/>
                  <w:vMerge w:val="continue"/>
                  <w:tcBorders>
                    <w:tl2br w:val="nil"/>
                    <w:tr2bl w:val="nil"/>
                  </w:tcBorders>
                  <w:noWrap w:val="0"/>
                  <w:vAlign w:val="center"/>
                </w:tcPr>
                <w:p w14:paraId="78E3EC46">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rPr>
                  </w:pPr>
                </w:p>
              </w:tc>
              <w:tc>
                <w:tcPr>
                  <w:tcW w:w="724" w:type="pct"/>
                  <w:vMerge w:val="continue"/>
                  <w:tcBorders>
                    <w:tl2br w:val="nil"/>
                    <w:tr2bl w:val="nil"/>
                  </w:tcBorders>
                  <w:noWrap w:val="0"/>
                  <w:vAlign w:val="center"/>
                </w:tcPr>
                <w:p w14:paraId="2636F30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rPr>
                  </w:pPr>
                </w:p>
              </w:tc>
              <w:tc>
                <w:tcPr>
                  <w:tcW w:w="637" w:type="pct"/>
                  <w:vMerge w:val="continue"/>
                  <w:tcBorders>
                    <w:tl2br w:val="nil"/>
                    <w:tr2bl w:val="nil"/>
                  </w:tcBorders>
                  <w:noWrap w:val="0"/>
                  <w:vAlign w:val="center"/>
                </w:tcPr>
                <w:p w14:paraId="3920392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rPr>
                  </w:pPr>
                </w:p>
              </w:tc>
            </w:tr>
            <w:tr w14:paraId="437D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04" w:type="pct"/>
                  <w:tcBorders>
                    <w:tl2br w:val="nil"/>
                    <w:tr2bl w:val="nil"/>
                  </w:tcBorders>
                  <w:noWrap w:val="0"/>
                  <w:vAlign w:val="center"/>
                </w:tcPr>
                <w:p w14:paraId="576FCC55">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lang w:val="zh-CN" w:eastAsia="zh-CN" w:bidi="zh-CN"/>
                    </w:rPr>
                  </w:pPr>
                  <w:r>
                    <w:rPr>
                      <w:rFonts w:hint="default" w:ascii="Times New Roman" w:hAnsi="Times New Roman" w:eastAsia="宋体" w:cs="Times New Roman"/>
                      <w:color w:val="auto"/>
                      <w:kern w:val="0"/>
                      <w:sz w:val="21"/>
                      <w:szCs w:val="21"/>
                      <w:highlight w:val="none"/>
                      <w:lang w:val="zh-CN" w:eastAsia="zh-CN" w:bidi="zh-CN"/>
                    </w:rPr>
                    <w:t>G</w:t>
                  </w:r>
                  <w:r>
                    <w:rPr>
                      <w:rFonts w:hint="eastAsia" w:ascii="Times New Roman" w:hAnsi="Times New Roman" w:eastAsia="宋体" w:cs="Times New Roman"/>
                      <w:color w:val="auto"/>
                      <w:kern w:val="0"/>
                      <w:sz w:val="21"/>
                      <w:szCs w:val="21"/>
                      <w:highlight w:val="none"/>
                      <w:lang w:val="en-US" w:eastAsia="zh-CN" w:bidi="zh-CN"/>
                    </w:rPr>
                    <w:t>1</w:t>
                  </w:r>
                </w:p>
              </w:tc>
              <w:tc>
                <w:tcPr>
                  <w:tcW w:w="968" w:type="pct"/>
                  <w:tcBorders>
                    <w:tl2br w:val="nil"/>
                    <w:tr2bl w:val="nil"/>
                  </w:tcBorders>
                  <w:noWrap w:val="0"/>
                  <w:vAlign w:val="center"/>
                </w:tcPr>
                <w:p w14:paraId="0D125D2C">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eastAsia" w:ascii="Times New Roman" w:hAnsi="Times New Roman" w:eastAsia="宋体" w:cs="Times New Roman"/>
                      <w:color w:val="auto"/>
                      <w:kern w:val="0"/>
                      <w:sz w:val="21"/>
                      <w:szCs w:val="21"/>
                      <w:highlight w:val="none"/>
                      <w:lang w:val="en-US" w:eastAsia="zh-CN" w:bidi="zh-CN"/>
                    </w:rPr>
                    <w:t>丽岛新能源（安徽）有限公司项目地</w:t>
                  </w:r>
                </w:p>
              </w:tc>
              <w:tc>
                <w:tcPr>
                  <w:tcW w:w="905" w:type="pct"/>
                  <w:tcBorders>
                    <w:tl2br w:val="nil"/>
                    <w:tr2bl w:val="nil"/>
                  </w:tcBorders>
                  <w:noWrap w:val="0"/>
                  <w:vAlign w:val="center"/>
                </w:tcPr>
                <w:p w14:paraId="165B85D0">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117.836277</w:t>
                  </w:r>
                </w:p>
              </w:tc>
              <w:tc>
                <w:tcPr>
                  <w:tcW w:w="941" w:type="pct"/>
                  <w:tcBorders>
                    <w:tl2br w:val="nil"/>
                    <w:tr2bl w:val="nil"/>
                  </w:tcBorders>
                  <w:noWrap w:val="0"/>
                  <w:vAlign w:val="center"/>
                </w:tcPr>
                <w:p w14:paraId="6F52CD08">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33.090647</w:t>
                  </w:r>
                </w:p>
              </w:tc>
              <w:tc>
                <w:tcPr>
                  <w:tcW w:w="417" w:type="pct"/>
                  <w:tcBorders>
                    <w:tl2br w:val="nil"/>
                    <w:tr2bl w:val="nil"/>
                  </w:tcBorders>
                  <w:noWrap w:val="0"/>
                  <w:vAlign w:val="center"/>
                </w:tcPr>
                <w:p w14:paraId="375F04D9">
                  <w:pPr>
                    <w:pStyle w:val="336"/>
                    <w:keepNext w:val="0"/>
                    <w:keepLines w:val="0"/>
                    <w:pageBreakBefore w:val="0"/>
                    <w:widowControl w:val="0"/>
                    <w:suppressLineNumbers w:val="0"/>
                    <w:kinsoku/>
                    <w:wordWrap/>
                    <w:overflowPunct/>
                    <w:topLinePunct w:val="0"/>
                    <w:bidi w:val="0"/>
                    <w:adjustRightInd/>
                    <w:snapToGrid/>
                    <w:spacing w:before="0" w:beforeAutospacing="0" w:after="0" w:afterAutospacing="0"/>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SW</w:t>
                  </w:r>
                </w:p>
              </w:tc>
              <w:tc>
                <w:tcPr>
                  <w:tcW w:w="724" w:type="pct"/>
                  <w:tcBorders>
                    <w:tl2br w:val="nil"/>
                    <w:tr2bl w:val="nil"/>
                  </w:tcBorders>
                  <w:noWrap w:val="0"/>
                  <w:vAlign w:val="center"/>
                </w:tcPr>
                <w:p w14:paraId="3A6E460C">
                  <w:pPr>
                    <w:pStyle w:val="336"/>
                    <w:keepNext w:val="0"/>
                    <w:keepLines w:val="0"/>
                    <w:pageBreakBefore w:val="0"/>
                    <w:widowControl w:val="0"/>
                    <w:suppressLineNumbers w:val="0"/>
                    <w:kinsoku/>
                    <w:wordWrap/>
                    <w:overflowPunct/>
                    <w:topLinePunct w:val="0"/>
                    <w:bidi w:val="0"/>
                    <w:adjustRightInd/>
                    <w:snapToGrid/>
                    <w:spacing w:before="0" w:beforeAutospacing="0" w:after="0" w:afterAutospacing="0"/>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3269</w:t>
                  </w:r>
                </w:p>
              </w:tc>
              <w:tc>
                <w:tcPr>
                  <w:tcW w:w="637" w:type="pct"/>
                  <w:tcBorders>
                    <w:tl2br w:val="nil"/>
                    <w:tr2bl w:val="nil"/>
                  </w:tcBorders>
                  <w:noWrap w:val="0"/>
                  <w:vAlign w:val="center"/>
                </w:tcPr>
                <w:p w14:paraId="384C0E1C">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TSP</w:t>
                  </w:r>
                </w:p>
              </w:tc>
            </w:tr>
          </w:tbl>
          <w:p w14:paraId="37600C07">
            <w:pPr>
              <w:pStyle w:val="338"/>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）评价结果</w:t>
            </w:r>
          </w:p>
          <w:p w14:paraId="2A8CBF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 xml:space="preserve">3-3  </w:t>
            </w:r>
            <w:r>
              <w:rPr>
                <w:rFonts w:hint="default" w:ascii="Times New Roman" w:hAnsi="Times New Roman" w:eastAsia="宋体" w:cs="Times New Roman"/>
                <w:b/>
                <w:bCs/>
                <w:color w:val="auto"/>
                <w:sz w:val="21"/>
                <w:szCs w:val="21"/>
                <w:highlight w:val="none"/>
              </w:rPr>
              <w:t>环境空气质量现状监测结果一览表</w:t>
            </w:r>
          </w:p>
          <w:tbl>
            <w:tblPr>
              <w:tblStyle w:val="39"/>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12"/>
              <w:gridCol w:w="879"/>
              <w:gridCol w:w="838"/>
              <w:gridCol w:w="860"/>
              <w:gridCol w:w="741"/>
              <w:gridCol w:w="621"/>
              <w:gridCol w:w="783"/>
              <w:gridCol w:w="689"/>
              <w:gridCol w:w="629"/>
              <w:gridCol w:w="607"/>
            </w:tblGrid>
            <w:tr w14:paraId="70C35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1" w:type="pct"/>
                  <w:vMerge w:val="restart"/>
                  <w:tcBorders>
                    <w:tl2br w:val="nil"/>
                    <w:tr2bl w:val="nil"/>
                  </w:tcBorders>
                  <w:noWrap w:val="0"/>
                  <w:vAlign w:val="center"/>
                </w:tcPr>
                <w:p w14:paraId="798FF5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监测点位</w:t>
                  </w:r>
                </w:p>
              </w:tc>
              <w:tc>
                <w:tcPr>
                  <w:tcW w:w="559" w:type="pct"/>
                  <w:vMerge w:val="restart"/>
                  <w:tcBorders>
                    <w:tl2br w:val="nil"/>
                    <w:tr2bl w:val="nil"/>
                  </w:tcBorders>
                  <w:noWrap w:val="0"/>
                  <w:vAlign w:val="center"/>
                </w:tcPr>
                <w:p w14:paraId="6D67C7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监测项目</w:t>
                  </w:r>
                </w:p>
              </w:tc>
              <w:tc>
                <w:tcPr>
                  <w:tcW w:w="1946" w:type="pct"/>
                  <w:gridSpan w:val="4"/>
                  <w:tcBorders>
                    <w:tl2br w:val="nil"/>
                    <w:tr2bl w:val="nil"/>
                  </w:tcBorders>
                  <w:noWrap w:val="0"/>
                  <w:vAlign w:val="center"/>
                </w:tcPr>
                <w:p w14:paraId="63E4E8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时均(或一次)浓度值</w:t>
                  </w:r>
                </w:p>
              </w:tc>
              <w:tc>
                <w:tcPr>
                  <w:tcW w:w="1722" w:type="pct"/>
                  <w:gridSpan w:val="4"/>
                  <w:tcBorders>
                    <w:tl2br w:val="nil"/>
                    <w:tr2bl w:val="nil"/>
                  </w:tcBorders>
                  <w:noWrap w:val="0"/>
                  <w:vAlign w:val="center"/>
                </w:tcPr>
                <w:p w14:paraId="7330AA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日平均浓度值</w:t>
                  </w:r>
                </w:p>
              </w:tc>
            </w:tr>
            <w:tr w14:paraId="55696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1" w:type="pct"/>
                  <w:vMerge w:val="continue"/>
                  <w:tcBorders>
                    <w:tl2br w:val="nil"/>
                    <w:tr2bl w:val="nil"/>
                  </w:tcBorders>
                  <w:noWrap w:val="0"/>
                  <w:vAlign w:val="center"/>
                </w:tcPr>
                <w:p w14:paraId="09E99B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rPr>
                      <w:rFonts w:hint="default" w:ascii="Times New Roman" w:hAnsi="Times New Roman" w:eastAsia="宋体" w:cs="Times New Roman"/>
                      <w:b/>
                      <w:bCs/>
                      <w:i w:val="0"/>
                      <w:iCs w:val="0"/>
                      <w:color w:val="auto"/>
                      <w:sz w:val="21"/>
                      <w:szCs w:val="21"/>
                      <w:highlight w:val="none"/>
                      <w:u w:val="none"/>
                    </w:rPr>
                  </w:pPr>
                </w:p>
              </w:tc>
              <w:tc>
                <w:tcPr>
                  <w:tcW w:w="559" w:type="pct"/>
                  <w:vMerge w:val="continue"/>
                  <w:tcBorders>
                    <w:tl2br w:val="nil"/>
                    <w:tr2bl w:val="nil"/>
                  </w:tcBorders>
                  <w:noWrap w:val="0"/>
                  <w:vAlign w:val="center"/>
                </w:tcPr>
                <w:p w14:paraId="3CCD03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rPr>
                      <w:rFonts w:hint="default" w:ascii="Times New Roman" w:hAnsi="Times New Roman" w:eastAsia="宋体" w:cs="Times New Roman"/>
                      <w:b/>
                      <w:bCs/>
                      <w:i w:val="0"/>
                      <w:iCs w:val="0"/>
                      <w:color w:val="auto"/>
                      <w:sz w:val="21"/>
                      <w:szCs w:val="21"/>
                      <w:highlight w:val="none"/>
                      <w:u w:val="none"/>
                    </w:rPr>
                  </w:pPr>
                </w:p>
              </w:tc>
              <w:tc>
                <w:tcPr>
                  <w:tcW w:w="1080" w:type="pct"/>
                  <w:gridSpan w:val="2"/>
                  <w:tcBorders>
                    <w:tl2br w:val="nil"/>
                    <w:tr2bl w:val="nil"/>
                  </w:tcBorders>
                  <w:noWrap w:val="0"/>
                  <w:vAlign w:val="center"/>
                </w:tcPr>
                <w:p w14:paraId="355444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浓度范围(mg/m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highlight w:val="none"/>
                      <w:u w:val="none"/>
                      <w:lang w:val="en-US" w:eastAsia="zh-CN" w:bidi="ar"/>
                    </w:rPr>
                    <w:t>)</w:t>
                  </w:r>
                </w:p>
              </w:tc>
              <w:tc>
                <w:tcPr>
                  <w:tcW w:w="471" w:type="pct"/>
                  <w:vMerge w:val="restart"/>
                  <w:tcBorders>
                    <w:tl2br w:val="nil"/>
                    <w:tr2bl w:val="nil"/>
                  </w:tcBorders>
                  <w:noWrap w:val="0"/>
                  <w:vAlign w:val="center"/>
                </w:tcPr>
                <w:p w14:paraId="266113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超标数</w:t>
                  </w:r>
                </w:p>
              </w:tc>
              <w:tc>
                <w:tcPr>
                  <w:tcW w:w="395" w:type="pct"/>
                  <w:vMerge w:val="restart"/>
                  <w:tcBorders>
                    <w:tl2br w:val="nil"/>
                    <w:tr2bl w:val="nil"/>
                  </w:tcBorders>
                  <w:noWrap w:val="0"/>
                  <w:vAlign w:val="center"/>
                </w:tcPr>
                <w:p w14:paraId="1E9B5C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超标率(%)</w:t>
                  </w:r>
                </w:p>
              </w:tc>
              <w:tc>
                <w:tcPr>
                  <w:tcW w:w="936" w:type="pct"/>
                  <w:gridSpan w:val="2"/>
                  <w:tcBorders>
                    <w:tl2br w:val="nil"/>
                    <w:tr2bl w:val="nil"/>
                  </w:tcBorders>
                  <w:noWrap w:val="0"/>
                  <w:vAlign w:val="center"/>
                </w:tcPr>
                <w:p w14:paraId="660E1C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浓度范围(mg/m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highlight w:val="none"/>
                      <w:u w:val="none"/>
                      <w:lang w:val="en-US" w:eastAsia="zh-CN" w:bidi="ar"/>
                    </w:rPr>
                    <w:t>)</w:t>
                  </w:r>
                </w:p>
              </w:tc>
              <w:tc>
                <w:tcPr>
                  <w:tcW w:w="400" w:type="pct"/>
                  <w:vMerge w:val="restart"/>
                  <w:tcBorders>
                    <w:tl2br w:val="nil"/>
                    <w:tr2bl w:val="nil"/>
                  </w:tcBorders>
                  <w:noWrap w:val="0"/>
                  <w:vAlign w:val="center"/>
                </w:tcPr>
                <w:p w14:paraId="2E5E22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超标数</w:t>
                  </w:r>
                </w:p>
              </w:tc>
              <w:tc>
                <w:tcPr>
                  <w:tcW w:w="386" w:type="pct"/>
                  <w:vMerge w:val="restart"/>
                  <w:tcBorders>
                    <w:tl2br w:val="nil"/>
                    <w:tr2bl w:val="nil"/>
                  </w:tcBorders>
                  <w:noWrap w:val="0"/>
                  <w:vAlign w:val="center"/>
                </w:tcPr>
                <w:p w14:paraId="15C3D0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超标率(%)</w:t>
                  </w:r>
                </w:p>
              </w:tc>
            </w:tr>
            <w:tr w14:paraId="11415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1" w:type="pct"/>
                  <w:vMerge w:val="continue"/>
                  <w:tcBorders>
                    <w:tl2br w:val="nil"/>
                    <w:tr2bl w:val="nil"/>
                  </w:tcBorders>
                  <w:noWrap w:val="0"/>
                  <w:vAlign w:val="center"/>
                </w:tcPr>
                <w:p w14:paraId="468EF5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rPr>
                      <w:rFonts w:hint="default" w:ascii="Times New Roman" w:hAnsi="Times New Roman" w:eastAsia="宋体" w:cs="Times New Roman"/>
                      <w:i w:val="0"/>
                      <w:iCs w:val="0"/>
                      <w:color w:val="auto"/>
                      <w:sz w:val="21"/>
                      <w:szCs w:val="21"/>
                      <w:highlight w:val="none"/>
                      <w:u w:val="none"/>
                    </w:rPr>
                  </w:pPr>
                </w:p>
              </w:tc>
              <w:tc>
                <w:tcPr>
                  <w:tcW w:w="559" w:type="pct"/>
                  <w:vMerge w:val="continue"/>
                  <w:tcBorders>
                    <w:tl2br w:val="nil"/>
                    <w:tr2bl w:val="nil"/>
                  </w:tcBorders>
                  <w:noWrap w:val="0"/>
                  <w:vAlign w:val="center"/>
                </w:tcPr>
                <w:p w14:paraId="3D8759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rPr>
                      <w:rFonts w:hint="default" w:ascii="Times New Roman" w:hAnsi="Times New Roman" w:eastAsia="宋体" w:cs="Times New Roman"/>
                      <w:i w:val="0"/>
                      <w:iCs w:val="0"/>
                      <w:color w:val="auto"/>
                      <w:sz w:val="21"/>
                      <w:szCs w:val="21"/>
                      <w:highlight w:val="none"/>
                      <w:u w:val="none"/>
                    </w:rPr>
                  </w:pPr>
                </w:p>
              </w:tc>
              <w:tc>
                <w:tcPr>
                  <w:tcW w:w="533" w:type="pct"/>
                  <w:tcBorders>
                    <w:tl2br w:val="nil"/>
                    <w:tr2bl w:val="nil"/>
                  </w:tcBorders>
                  <w:noWrap w:val="0"/>
                  <w:vAlign w:val="center"/>
                </w:tcPr>
                <w:p w14:paraId="6E02BC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最小值</w:t>
                  </w:r>
                </w:p>
              </w:tc>
              <w:tc>
                <w:tcPr>
                  <w:tcW w:w="547" w:type="pct"/>
                  <w:tcBorders>
                    <w:tl2br w:val="nil"/>
                    <w:tr2bl w:val="nil"/>
                  </w:tcBorders>
                  <w:noWrap w:val="0"/>
                  <w:vAlign w:val="center"/>
                </w:tcPr>
                <w:p w14:paraId="7BE196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最大值</w:t>
                  </w:r>
                </w:p>
              </w:tc>
              <w:tc>
                <w:tcPr>
                  <w:tcW w:w="471" w:type="pct"/>
                  <w:vMerge w:val="continue"/>
                  <w:tcBorders>
                    <w:tl2br w:val="nil"/>
                    <w:tr2bl w:val="nil"/>
                  </w:tcBorders>
                  <w:noWrap w:val="0"/>
                  <w:vAlign w:val="center"/>
                </w:tcPr>
                <w:p w14:paraId="06EFA0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rPr>
                      <w:rFonts w:hint="default" w:ascii="Times New Roman" w:hAnsi="Times New Roman" w:eastAsia="宋体" w:cs="Times New Roman"/>
                      <w:i w:val="0"/>
                      <w:iCs w:val="0"/>
                      <w:color w:val="auto"/>
                      <w:sz w:val="21"/>
                      <w:szCs w:val="21"/>
                      <w:highlight w:val="none"/>
                      <w:u w:val="none"/>
                    </w:rPr>
                  </w:pPr>
                </w:p>
              </w:tc>
              <w:tc>
                <w:tcPr>
                  <w:tcW w:w="395" w:type="pct"/>
                  <w:vMerge w:val="continue"/>
                  <w:tcBorders>
                    <w:tl2br w:val="nil"/>
                    <w:tr2bl w:val="nil"/>
                  </w:tcBorders>
                  <w:noWrap w:val="0"/>
                  <w:vAlign w:val="center"/>
                </w:tcPr>
                <w:p w14:paraId="105901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rPr>
                      <w:rFonts w:hint="default" w:ascii="Times New Roman" w:hAnsi="Times New Roman" w:eastAsia="宋体" w:cs="Times New Roman"/>
                      <w:i w:val="0"/>
                      <w:iCs w:val="0"/>
                      <w:color w:val="auto"/>
                      <w:sz w:val="21"/>
                      <w:szCs w:val="21"/>
                      <w:highlight w:val="none"/>
                      <w:u w:val="none"/>
                    </w:rPr>
                  </w:pPr>
                </w:p>
              </w:tc>
              <w:tc>
                <w:tcPr>
                  <w:tcW w:w="498" w:type="pct"/>
                  <w:tcBorders>
                    <w:tl2br w:val="nil"/>
                    <w:tr2bl w:val="nil"/>
                  </w:tcBorders>
                  <w:noWrap w:val="0"/>
                  <w:vAlign w:val="center"/>
                </w:tcPr>
                <w:p w14:paraId="72D8BF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最小值</w:t>
                  </w:r>
                </w:p>
              </w:tc>
              <w:tc>
                <w:tcPr>
                  <w:tcW w:w="438" w:type="pct"/>
                  <w:tcBorders>
                    <w:tl2br w:val="nil"/>
                    <w:tr2bl w:val="nil"/>
                  </w:tcBorders>
                  <w:noWrap w:val="0"/>
                  <w:vAlign w:val="center"/>
                </w:tcPr>
                <w:p w14:paraId="47803E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最大值</w:t>
                  </w:r>
                </w:p>
              </w:tc>
              <w:tc>
                <w:tcPr>
                  <w:tcW w:w="400" w:type="pct"/>
                  <w:vMerge w:val="continue"/>
                  <w:tcBorders>
                    <w:tl2br w:val="nil"/>
                    <w:tr2bl w:val="nil"/>
                  </w:tcBorders>
                  <w:noWrap w:val="0"/>
                  <w:vAlign w:val="center"/>
                </w:tcPr>
                <w:p w14:paraId="0E8057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rPr>
                      <w:rFonts w:hint="default" w:ascii="Times New Roman" w:hAnsi="Times New Roman" w:eastAsia="宋体" w:cs="Times New Roman"/>
                      <w:i w:val="0"/>
                      <w:iCs w:val="0"/>
                      <w:color w:val="auto"/>
                      <w:sz w:val="21"/>
                      <w:szCs w:val="21"/>
                      <w:highlight w:val="none"/>
                      <w:u w:val="none"/>
                    </w:rPr>
                  </w:pPr>
                </w:p>
              </w:tc>
              <w:tc>
                <w:tcPr>
                  <w:tcW w:w="386" w:type="pct"/>
                  <w:vMerge w:val="continue"/>
                  <w:tcBorders>
                    <w:tl2br w:val="nil"/>
                    <w:tr2bl w:val="nil"/>
                  </w:tcBorders>
                  <w:noWrap w:val="0"/>
                  <w:vAlign w:val="center"/>
                </w:tcPr>
                <w:p w14:paraId="01D3A7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rPr>
                      <w:rFonts w:hint="default" w:ascii="Times New Roman" w:hAnsi="Times New Roman" w:eastAsia="宋体" w:cs="Times New Roman"/>
                      <w:i w:val="0"/>
                      <w:iCs w:val="0"/>
                      <w:color w:val="auto"/>
                      <w:sz w:val="21"/>
                      <w:szCs w:val="21"/>
                      <w:highlight w:val="none"/>
                      <w:u w:val="none"/>
                    </w:rPr>
                  </w:pPr>
                </w:p>
              </w:tc>
            </w:tr>
            <w:tr w14:paraId="31F3A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1" w:type="pct"/>
                  <w:tcBorders>
                    <w:tl2br w:val="nil"/>
                    <w:tr2bl w:val="nil"/>
                  </w:tcBorders>
                  <w:noWrap w:val="0"/>
                  <w:vAlign w:val="center"/>
                </w:tcPr>
                <w:p w14:paraId="5B5096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color w:val="auto"/>
                      <w:sz w:val="21"/>
                      <w:szCs w:val="21"/>
                      <w:highlight w:val="none"/>
                      <w:lang w:val="en-US" w:eastAsia="zh-CN"/>
                    </w:rPr>
                    <w:t>G</w:t>
                  </w:r>
                  <w:r>
                    <w:rPr>
                      <w:rFonts w:hint="eastAsia" w:cs="Times New Roman"/>
                      <w:color w:val="auto"/>
                      <w:sz w:val="21"/>
                      <w:szCs w:val="21"/>
                      <w:highlight w:val="none"/>
                      <w:lang w:val="en-US" w:eastAsia="zh-CN"/>
                    </w:rPr>
                    <w:t>1</w:t>
                  </w:r>
                </w:p>
              </w:tc>
              <w:tc>
                <w:tcPr>
                  <w:tcW w:w="559" w:type="pct"/>
                  <w:tcBorders>
                    <w:tl2br w:val="nil"/>
                    <w:tr2bl w:val="nil"/>
                  </w:tcBorders>
                  <w:noWrap w:val="0"/>
                  <w:vAlign w:val="center"/>
                </w:tcPr>
                <w:p w14:paraId="79D207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TSP</w:t>
                  </w:r>
                </w:p>
              </w:tc>
              <w:tc>
                <w:tcPr>
                  <w:tcW w:w="533" w:type="pct"/>
                  <w:tcBorders>
                    <w:tl2br w:val="nil"/>
                    <w:tr2bl w:val="nil"/>
                  </w:tcBorders>
                  <w:noWrap/>
                  <w:vAlign w:val="center"/>
                </w:tcPr>
                <w:p w14:paraId="2CD83A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47" w:type="pct"/>
                  <w:tcBorders>
                    <w:tl2br w:val="nil"/>
                    <w:tr2bl w:val="nil"/>
                  </w:tcBorders>
                  <w:noWrap/>
                  <w:vAlign w:val="center"/>
                </w:tcPr>
                <w:p w14:paraId="783DD3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71" w:type="pct"/>
                  <w:tcBorders>
                    <w:tl2br w:val="nil"/>
                    <w:tr2bl w:val="nil"/>
                  </w:tcBorders>
                  <w:noWrap w:val="0"/>
                  <w:vAlign w:val="center"/>
                </w:tcPr>
                <w:p w14:paraId="3CA685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95" w:type="pct"/>
                  <w:tcBorders>
                    <w:tl2br w:val="nil"/>
                    <w:tr2bl w:val="nil"/>
                  </w:tcBorders>
                  <w:noWrap w:val="0"/>
                  <w:vAlign w:val="center"/>
                </w:tcPr>
                <w:p w14:paraId="1125CE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98" w:type="pct"/>
                  <w:tcBorders>
                    <w:tl2br w:val="nil"/>
                    <w:tr2bl w:val="nil"/>
                  </w:tcBorders>
                  <w:noWrap/>
                  <w:vAlign w:val="center"/>
                </w:tcPr>
                <w:p w14:paraId="305862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183</w:t>
                  </w:r>
                </w:p>
              </w:tc>
              <w:tc>
                <w:tcPr>
                  <w:tcW w:w="438" w:type="pct"/>
                  <w:tcBorders>
                    <w:tl2br w:val="nil"/>
                    <w:tr2bl w:val="nil"/>
                  </w:tcBorders>
                  <w:noWrap/>
                  <w:vAlign w:val="center"/>
                </w:tcPr>
                <w:p w14:paraId="039F43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213</w:t>
                  </w:r>
                </w:p>
              </w:tc>
              <w:tc>
                <w:tcPr>
                  <w:tcW w:w="400" w:type="pct"/>
                  <w:tcBorders>
                    <w:tl2br w:val="nil"/>
                    <w:tr2bl w:val="nil"/>
                  </w:tcBorders>
                  <w:noWrap w:val="0"/>
                  <w:vAlign w:val="center"/>
                </w:tcPr>
                <w:p w14:paraId="44794B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386" w:type="pct"/>
                  <w:tcBorders>
                    <w:tl2br w:val="nil"/>
                    <w:tr2bl w:val="nil"/>
                  </w:tcBorders>
                  <w:noWrap w:val="0"/>
                  <w:vAlign w:val="center"/>
                </w:tcPr>
                <w:p w14:paraId="33F8FE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bl>
          <w:p w14:paraId="1D636367">
            <w:pPr>
              <w:pStyle w:val="339"/>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textAlignment w:val="auto"/>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由上述监测结果可知：监测点TSP监测日均浓度均可满足《环境空气质量标准》（GB3095-2012）</w:t>
            </w:r>
            <w:r>
              <w:rPr>
                <w:rFonts w:hint="default" w:ascii="Times New Roman" w:hAnsi="Times New Roman" w:eastAsia="宋体" w:cs="Times New Roman"/>
                <w:color w:val="auto"/>
                <w:szCs w:val="22"/>
                <w:highlight w:val="none"/>
                <w:lang w:eastAsia="zh-CN"/>
              </w:rPr>
              <w:t>及修改单中</w:t>
            </w:r>
            <w:r>
              <w:rPr>
                <w:rFonts w:hint="default" w:ascii="Times New Roman" w:hAnsi="Times New Roman" w:eastAsia="宋体" w:cs="Times New Roman"/>
                <w:color w:val="auto"/>
                <w:szCs w:val="22"/>
                <w:highlight w:val="none"/>
              </w:rPr>
              <w:t>二级标准限值要求。</w:t>
            </w:r>
          </w:p>
          <w:p w14:paraId="14F3A68A">
            <w:pPr>
              <w:keepNext w:val="0"/>
              <w:keepLines w:val="0"/>
              <w:numPr>
                <w:ilvl w:val="0"/>
                <w:numId w:val="6"/>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rPr>
              <w:t>水环境</w:t>
            </w:r>
          </w:p>
          <w:p w14:paraId="6A9845F5">
            <w:pPr>
              <w:keepNext w:val="0"/>
              <w:keepLines w:val="0"/>
              <w:suppressLineNumbers w:val="0"/>
              <w:spacing w:before="0" w:beforeAutospacing="0" w:after="0" w:afterAutospacing="0" w:line="360" w:lineRule="auto"/>
              <w:ind w:left="0" w:right="0" w:firstLine="480" w:firstLineChars="0"/>
              <w:jc w:val="left"/>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根据《建设项目环境影响报告表编制技术指南》（污染影响类）（试行）中要求：区域环境质量现状中地表水环境可“引用与建设项目距离近的有效数据，包括近</w:t>
            </w:r>
            <w:r>
              <w:rPr>
                <w:rFonts w:hint="default"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年的规划环境影响评价的监测数据，所在流域控制单元内国家、地方控制断面监测数据，生态环境主管部门发布的水环境质量数据或地表水达标情况的结论”。</w:t>
            </w:r>
          </w:p>
          <w:p w14:paraId="0696B35A">
            <w:pPr>
              <w:keepNext w:val="0"/>
              <w:keepLines w:val="0"/>
              <w:suppressLineNumbers w:val="0"/>
              <w:spacing w:before="0" w:beforeAutospacing="0" w:after="0" w:afterAutospacing="0" w:line="360" w:lineRule="auto"/>
              <w:ind w:left="0" w:right="0" w:firstLine="480" w:firstLineChars="0"/>
              <w:jc w:val="both"/>
              <w:rPr>
                <w:rFonts w:hint="eastAsia" w:eastAsia="宋体"/>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项目所在</w:t>
            </w:r>
            <w:r>
              <w:rPr>
                <w:rFonts w:hint="eastAsia" w:cs="Times New Roman"/>
                <w:color w:val="auto"/>
                <w:sz w:val="24"/>
                <w:szCs w:val="24"/>
                <w:highlight w:val="none"/>
                <w:lang w:val="en-US" w:eastAsia="zh-CN"/>
              </w:rPr>
              <w:t>地</w:t>
            </w:r>
            <w:r>
              <w:rPr>
                <w:rFonts w:hint="eastAsia" w:ascii="Times New Roman" w:hAnsi="Times New Roman" w:cs="Times New Roman"/>
                <w:color w:val="auto"/>
                <w:sz w:val="24"/>
                <w:szCs w:val="24"/>
                <w:highlight w:val="none"/>
                <w:lang w:val="en-US" w:eastAsia="zh-CN"/>
              </w:rPr>
              <w:t>地</w:t>
            </w:r>
            <w:r>
              <w:rPr>
                <w:rFonts w:hint="eastAsia" w:cs="Times New Roman"/>
                <w:color w:val="auto"/>
                <w:sz w:val="24"/>
                <w:szCs w:val="24"/>
                <w:highlight w:val="none"/>
                <w:lang w:val="en-US" w:eastAsia="zh-CN"/>
              </w:rPr>
              <w:t>表</w:t>
            </w:r>
            <w:r>
              <w:rPr>
                <w:rFonts w:hint="eastAsia" w:ascii="Times New Roman" w:hAnsi="Times New Roman" w:cs="Times New Roman"/>
                <w:color w:val="auto"/>
                <w:sz w:val="24"/>
                <w:szCs w:val="24"/>
                <w:highlight w:val="none"/>
                <w:lang w:val="en-US" w:eastAsia="zh-CN"/>
              </w:rPr>
              <w:t>水体主要为淮河，执行《地表水环境质量标准》（</w:t>
            </w:r>
            <w:r>
              <w:rPr>
                <w:rFonts w:hint="default" w:ascii="Times New Roman" w:hAnsi="Times New Roman" w:cs="Times New Roman"/>
                <w:color w:val="auto"/>
                <w:sz w:val="24"/>
                <w:szCs w:val="24"/>
                <w:highlight w:val="none"/>
                <w:lang w:val="en-US" w:eastAsia="zh-CN"/>
              </w:rPr>
              <w:t>GB3838-2002</w:t>
            </w:r>
            <w:r>
              <w:rPr>
                <w:rFonts w:hint="eastAsia" w:ascii="Times New Roman" w:hAnsi="Times New Roman" w:cs="Times New Roman"/>
                <w:color w:val="auto"/>
                <w:sz w:val="24"/>
                <w:szCs w:val="24"/>
                <w:highlight w:val="none"/>
                <w:lang w:val="en-US" w:eastAsia="zh-CN"/>
              </w:rPr>
              <w:t>）的</w:t>
            </w:r>
            <w:r>
              <w:rPr>
                <w:rFonts w:hint="default" w:ascii="Times New Roman" w:hAnsi="Times New Roman" w:cs="Times New Roman"/>
                <w:color w:val="auto"/>
                <w:sz w:val="24"/>
                <w:szCs w:val="24"/>
                <w:highlight w:val="none"/>
                <w:lang w:val="en-US" w:eastAsia="zh-CN"/>
              </w:rPr>
              <w:t>Ⅲ</w:t>
            </w:r>
            <w:r>
              <w:rPr>
                <w:rFonts w:hint="eastAsia" w:ascii="Times New Roman" w:hAnsi="Times New Roman" w:cs="Times New Roman"/>
                <w:color w:val="auto"/>
                <w:sz w:val="24"/>
                <w:szCs w:val="24"/>
                <w:highlight w:val="none"/>
                <w:lang w:val="en-US" w:eastAsia="zh-CN"/>
              </w:rPr>
              <w:t>类标准。</w:t>
            </w:r>
            <w:r>
              <w:rPr>
                <w:rFonts w:hint="eastAsia"/>
                <w:color w:val="auto"/>
                <w:sz w:val="24"/>
                <w:szCs w:val="24"/>
                <w:highlight w:val="none"/>
              </w:rPr>
              <w:t>本次评价引用《安徽五河经济开发区总体发展规划</w:t>
            </w:r>
            <w:r>
              <w:rPr>
                <w:rFonts w:hint="eastAsia"/>
                <w:color w:val="auto"/>
                <w:sz w:val="24"/>
                <w:szCs w:val="24"/>
                <w:highlight w:val="none"/>
                <w:lang w:eastAsia="zh-CN"/>
              </w:rPr>
              <w:t>（</w:t>
            </w:r>
            <w:r>
              <w:rPr>
                <w:rFonts w:hint="eastAsia"/>
                <w:color w:val="auto"/>
                <w:sz w:val="24"/>
                <w:szCs w:val="24"/>
                <w:highlight w:val="none"/>
              </w:rPr>
              <w:t>2012-2030年</w:t>
            </w:r>
            <w:r>
              <w:rPr>
                <w:rFonts w:hint="eastAsia"/>
                <w:color w:val="auto"/>
                <w:sz w:val="24"/>
                <w:szCs w:val="24"/>
                <w:highlight w:val="none"/>
                <w:lang w:eastAsia="zh-CN"/>
              </w:rPr>
              <w:t>）（</w:t>
            </w:r>
            <w:r>
              <w:rPr>
                <w:rFonts w:hint="eastAsia"/>
                <w:color w:val="auto"/>
                <w:sz w:val="24"/>
                <w:szCs w:val="24"/>
                <w:highlight w:val="none"/>
              </w:rPr>
              <w:t>修编</w:t>
            </w:r>
            <w:r>
              <w:rPr>
                <w:rFonts w:hint="eastAsia"/>
                <w:color w:val="auto"/>
                <w:sz w:val="24"/>
                <w:szCs w:val="24"/>
                <w:highlight w:val="none"/>
                <w:lang w:eastAsia="zh-CN"/>
              </w:rPr>
              <w:t>）</w:t>
            </w:r>
            <w:r>
              <w:rPr>
                <w:rFonts w:hint="eastAsia"/>
                <w:color w:val="auto"/>
                <w:sz w:val="24"/>
                <w:szCs w:val="24"/>
                <w:highlight w:val="none"/>
              </w:rPr>
              <w:t>环境影响跟踪评价报告书》中地表水现状监测数据，采样时间为2023年5月14日和15日，</w:t>
            </w:r>
            <w:r>
              <w:rPr>
                <w:rFonts w:hint="eastAsia"/>
                <w:color w:val="auto"/>
                <w:sz w:val="24"/>
                <w:szCs w:val="24"/>
                <w:highlight w:val="none"/>
                <w:lang w:val="en-US" w:eastAsia="zh-CN"/>
              </w:rPr>
              <w:t>属于近3年的区域环境影响评价的监测数据，因此引用其监测数据是可行有效的。</w:t>
            </w:r>
            <w:r>
              <w:rPr>
                <w:rFonts w:hint="eastAsia"/>
                <w:color w:val="auto"/>
                <w:sz w:val="24"/>
                <w:szCs w:val="24"/>
                <w:highlight w:val="none"/>
              </w:rPr>
              <w:t>本次地表水环境现状评价共布设4个监测断面，监测布点具体布设情况见</w:t>
            </w:r>
            <w:r>
              <w:rPr>
                <w:rFonts w:hint="eastAsia"/>
                <w:color w:val="auto"/>
                <w:sz w:val="24"/>
                <w:szCs w:val="24"/>
                <w:highlight w:val="none"/>
                <w:lang w:val="en-US" w:eastAsia="zh-CN"/>
              </w:rPr>
              <w:t>下</w:t>
            </w:r>
            <w:r>
              <w:rPr>
                <w:rFonts w:hint="eastAsia"/>
                <w:color w:val="auto"/>
                <w:sz w:val="24"/>
                <w:szCs w:val="24"/>
                <w:highlight w:val="none"/>
              </w:rPr>
              <w:t>表</w:t>
            </w:r>
            <w:r>
              <w:rPr>
                <w:rFonts w:hint="eastAsia"/>
                <w:color w:val="auto"/>
                <w:sz w:val="24"/>
                <w:szCs w:val="24"/>
                <w:highlight w:val="none"/>
                <w:lang w:eastAsia="zh-CN"/>
              </w:rPr>
              <w:t>：</w:t>
            </w:r>
          </w:p>
          <w:p w14:paraId="6791A9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 xml:space="preserve">3-4  </w:t>
            </w:r>
            <w:r>
              <w:rPr>
                <w:rFonts w:hint="default" w:ascii="Times New Roman" w:hAnsi="Times New Roman" w:eastAsia="宋体" w:cs="Times New Roman"/>
                <w:b/>
                <w:bCs/>
                <w:color w:val="auto"/>
                <w:sz w:val="21"/>
                <w:szCs w:val="21"/>
                <w:highlight w:val="none"/>
              </w:rPr>
              <w:t>地表水现状环境监测断面设置一览表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964"/>
              <w:gridCol w:w="2920"/>
              <w:gridCol w:w="3017"/>
            </w:tblGrid>
            <w:tr w14:paraId="167F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ign w:val="center"/>
                </w:tcPr>
                <w:p w14:paraId="19797C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断面编号</w:t>
                  </w:r>
                </w:p>
              </w:tc>
              <w:tc>
                <w:tcPr>
                  <w:tcW w:w="612" w:type="pct"/>
                  <w:tcBorders>
                    <w:tl2br w:val="nil"/>
                    <w:tr2bl w:val="nil"/>
                  </w:tcBorders>
                  <w:noWrap/>
                  <w:vAlign w:val="center"/>
                </w:tcPr>
                <w:p w14:paraId="6D7629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河流名称</w:t>
                  </w:r>
                </w:p>
              </w:tc>
              <w:tc>
                <w:tcPr>
                  <w:tcW w:w="2355" w:type="pct"/>
                  <w:tcBorders>
                    <w:tl2br w:val="nil"/>
                    <w:tr2bl w:val="nil"/>
                  </w:tcBorders>
                  <w:noWrap/>
                  <w:vAlign w:val="center"/>
                </w:tcPr>
                <w:p w14:paraId="6B503F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断面</w:t>
                  </w:r>
                  <w:r>
                    <w:rPr>
                      <w:rFonts w:hint="eastAsia" w:cs="Times New Roman"/>
                      <w:b/>
                      <w:bCs/>
                      <w:i w:val="0"/>
                      <w:iCs w:val="0"/>
                      <w:color w:val="auto"/>
                      <w:kern w:val="0"/>
                      <w:sz w:val="21"/>
                      <w:szCs w:val="21"/>
                      <w:highlight w:val="none"/>
                      <w:u w:val="none"/>
                      <w:lang w:val="en-US" w:eastAsia="zh-CN" w:bidi="ar"/>
                    </w:rPr>
                    <w:t>名称和</w:t>
                  </w:r>
                  <w:r>
                    <w:rPr>
                      <w:rFonts w:hint="default" w:ascii="Times New Roman" w:hAnsi="Times New Roman" w:eastAsia="宋体" w:cs="Times New Roman"/>
                      <w:b/>
                      <w:bCs/>
                      <w:i w:val="0"/>
                      <w:iCs w:val="0"/>
                      <w:color w:val="auto"/>
                      <w:kern w:val="0"/>
                      <w:sz w:val="21"/>
                      <w:szCs w:val="21"/>
                      <w:highlight w:val="none"/>
                      <w:u w:val="none"/>
                      <w:lang w:val="en-US" w:eastAsia="zh-CN" w:bidi="ar"/>
                    </w:rPr>
                    <w:t>位置</w:t>
                  </w:r>
                </w:p>
              </w:tc>
              <w:tc>
                <w:tcPr>
                  <w:tcW w:w="1418" w:type="pct"/>
                  <w:tcBorders>
                    <w:tl2br w:val="nil"/>
                    <w:tr2bl w:val="nil"/>
                  </w:tcBorders>
                  <w:noWrap/>
                  <w:vAlign w:val="center"/>
                </w:tcPr>
                <w:p w14:paraId="416955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监测</w:t>
                  </w:r>
                  <w:r>
                    <w:rPr>
                      <w:rFonts w:hint="eastAsia" w:cs="Times New Roman"/>
                      <w:b/>
                      <w:bCs/>
                      <w:i w:val="0"/>
                      <w:iCs w:val="0"/>
                      <w:color w:val="auto"/>
                      <w:kern w:val="0"/>
                      <w:sz w:val="21"/>
                      <w:szCs w:val="21"/>
                      <w:highlight w:val="none"/>
                      <w:u w:val="none"/>
                      <w:lang w:val="en-US" w:eastAsia="zh-CN" w:bidi="ar"/>
                    </w:rPr>
                    <w:t>因子</w:t>
                  </w:r>
                </w:p>
              </w:tc>
            </w:tr>
            <w:tr w14:paraId="7E20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ign w:val="center"/>
                </w:tcPr>
                <w:p w14:paraId="34C959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w:t>
                  </w: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612" w:type="pct"/>
                  <w:vMerge w:val="restart"/>
                  <w:tcBorders>
                    <w:tl2br w:val="nil"/>
                    <w:tr2bl w:val="nil"/>
                  </w:tcBorders>
                  <w:noWrap w:val="0"/>
                  <w:vAlign w:val="center"/>
                </w:tcPr>
                <w:p w14:paraId="6DAEDB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淮</w:t>
                  </w:r>
                  <w:r>
                    <w:rPr>
                      <w:rFonts w:hint="default" w:ascii="Times New Roman" w:hAnsi="Times New Roman" w:eastAsia="宋体" w:cs="Times New Roman"/>
                      <w:color w:val="auto"/>
                      <w:sz w:val="21"/>
                      <w:szCs w:val="21"/>
                      <w:highlight w:val="none"/>
                    </w:rPr>
                    <w:t>河</w:t>
                  </w:r>
                </w:p>
              </w:tc>
              <w:tc>
                <w:tcPr>
                  <w:tcW w:w="2355" w:type="pct"/>
                  <w:tcBorders>
                    <w:tl2br w:val="nil"/>
                    <w:tr2bl w:val="nil"/>
                  </w:tcBorders>
                  <w:noWrap/>
                  <w:vAlign w:val="center"/>
                </w:tcPr>
                <w:p w14:paraId="736817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城南污水处理厂排污口</w:t>
                  </w:r>
                  <w:r>
                    <w:rPr>
                      <w:rFonts w:hint="default" w:ascii="Times New Roman" w:hAnsi="Times New Roman" w:eastAsia="宋体" w:cs="Times New Roman"/>
                      <w:color w:val="auto"/>
                      <w:sz w:val="21"/>
                      <w:szCs w:val="21"/>
                      <w:highlight w:val="none"/>
                    </w:rPr>
                    <w:t>上游500m</w:t>
                  </w:r>
                </w:p>
              </w:tc>
              <w:tc>
                <w:tcPr>
                  <w:tcW w:w="1418" w:type="pct"/>
                  <w:vMerge w:val="restart"/>
                  <w:tcBorders>
                    <w:tl2br w:val="nil"/>
                    <w:tr2bl w:val="nil"/>
                  </w:tcBorders>
                  <w:noWrap/>
                  <w:vAlign w:val="center"/>
                </w:tcPr>
                <w:p w14:paraId="006E80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pH、COD、BOD</w:t>
                  </w:r>
                  <w:r>
                    <w:rPr>
                      <w:rFonts w:hint="eastAsia" w:cs="Times New Roman"/>
                      <w:i w:val="0"/>
                      <w:iCs w:val="0"/>
                      <w:color w:val="auto"/>
                      <w:kern w:val="0"/>
                      <w:sz w:val="21"/>
                      <w:szCs w:val="21"/>
                      <w:highlight w:val="none"/>
                      <w:u w:val="none"/>
                      <w:vertAlign w:val="subscript"/>
                      <w:lang w:val="en-US" w:eastAsia="zh-CN" w:bidi="ar"/>
                    </w:rPr>
                    <w:t>5</w:t>
                  </w:r>
                  <w:r>
                    <w:rPr>
                      <w:rFonts w:hint="eastAsia" w:cs="Times New Roman"/>
                      <w:i w:val="0"/>
                      <w:iCs w:val="0"/>
                      <w:color w:val="auto"/>
                      <w:kern w:val="0"/>
                      <w:sz w:val="21"/>
                      <w:szCs w:val="21"/>
                      <w:highlight w:val="none"/>
                      <w:u w:val="none"/>
                      <w:lang w:val="en-US" w:eastAsia="zh-CN" w:bidi="ar"/>
                    </w:rPr>
                    <w:t>、SS、氨氮、TP</w:t>
                  </w:r>
                </w:p>
              </w:tc>
            </w:tr>
            <w:tr w14:paraId="18A6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ign w:val="center"/>
                </w:tcPr>
                <w:p w14:paraId="0C4339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w:t>
                  </w: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12" w:type="pct"/>
                  <w:vMerge w:val="continue"/>
                  <w:tcBorders>
                    <w:tl2br w:val="nil"/>
                    <w:tr2bl w:val="nil"/>
                  </w:tcBorders>
                  <w:noWrap w:val="0"/>
                  <w:vAlign w:val="center"/>
                </w:tcPr>
                <w:p w14:paraId="102755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355" w:type="pct"/>
                  <w:tcBorders>
                    <w:tl2br w:val="nil"/>
                    <w:tr2bl w:val="nil"/>
                  </w:tcBorders>
                  <w:noWrap/>
                  <w:vAlign w:val="center"/>
                </w:tcPr>
                <w:p w14:paraId="689AC3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城南污水处理厂排污口</w:t>
                  </w:r>
                  <w:r>
                    <w:rPr>
                      <w:rFonts w:hint="eastAsia" w:ascii="Times New Roman" w:hAnsi="Times New Roman" w:cs="Times New Roman"/>
                      <w:color w:val="auto"/>
                      <w:sz w:val="21"/>
                      <w:szCs w:val="21"/>
                      <w:highlight w:val="none"/>
                      <w:lang w:val="en-US" w:eastAsia="zh-CN"/>
                    </w:rPr>
                    <w:t>下</w:t>
                  </w:r>
                  <w:r>
                    <w:rPr>
                      <w:rFonts w:hint="default" w:ascii="Times New Roman" w:hAnsi="Times New Roman" w:eastAsia="宋体" w:cs="Times New Roman"/>
                      <w:color w:val="auto"/>
                      <w:sz w:val="21"/>
                      <w:szCs w:val="21"/>
                      <w:highlight w:val="none"/>
                    </w:rPr>
                    <w:t>游500m</w:t>
                  </w:r>
                </w:p>
              </w:tc>
              <w:tc>
                <w:tcPr>
                  <w:tcW w:w="1418" w:type="pct"/>
                  <w:vMerge w:val="continue"/>
                  <w:tcBorders>
                    <w:tl2br w:val="nil"/>
                    <w:tr2bl w:val="nil"/>
                  </w:tcBorders>
                  <w:noWrap/>
                  <w:vAlign w:val="center"/>
                </w:tcPr>
                <w:p w14:paraId="6D18E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D00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ign w:val="center"/>
                </w:tcPr>
                <w:p w14:paraId="6B7ABF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W3</w:t>
                  </w:r>
                </w:p>
              </w:tc>
              <w:tc>
                <w:tcPr>
                  <w:tcW w:w="612" w:type="pct"/>
                  <w:vMerge w:val="continue"/>
                  <w:tcBorders>
                    <w:tl2br w:val="nil"/>
                    <w:tr2bl w:val="nil"/>
                  </w:tcBorders>
                  <w:noWrap w:val="0"/>
                  <w:vAlign w:val="center"/>
                </w:tcPr>
                <w:p w14:paraId="102B10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355" w:type="pct"/>
                  <w:tcBorders>
                    <w:tl2br w:val="nil"/>
                    <w:tr2bl w:val="nil"/>
                  </w:tcBorders>
                  <w:noWrap/>
                  <w:vAlign w:val="center"/>
                </w:tcPr>
                <w:p w14:paraId="3A78E8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城南地表水厂取水口</w:t>
                  </w:r>
                </w:p>
              </w:tc>
              <w:tc>
                <w:tcPr>
                  <w:tcW w:w="1418" w:type="pct"/>
                  <w:vMerge w:val="continue"/>
                  <w:tcBorders>
                    <w:tl2br w:val="nil"/>
                    <w:tr2bl w:val="nil"/>
                  </w:tcBorders>
                  <w:noWrap/>
                  <w:vAlign w:val="center"/>
                </w:tcPr>
                <w:p w14:paraId="7C6CCC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5E38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ign w:val="center"/>
                </w:tcPr>
                <w:p w14:paraId="69F86D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W4</w:t>
                  </w:r>
                </w:p>
              </w:tc>
              <w:tc>
                <w:tcPr>
                  <w:tcW w:w="612" w:type="pct"/>
                  <w:vMerge w:val="continue"/>
                  <w:tcBorders>
                    <w:tl2br w:val="nil"/>
                    <w:tr2bl w:val="nil"/>
                  </w:tcBorders>
                  <w:noWrap w:val="0"/>
                  <w:vAlign w:val="center"/>
                </w:tcPr>
                <w:p w14:paraId="36B0BA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355" w:type="pct"/>
                  <w:tcBorders>
                    <w:tl2br w:val="nil"/>
                    <w:tr2bl w:val="nil"/>
                  </w:tcBorders>
                  <w:noWrap/>
                  <w:vAlign w:val="center"/>
                </w:tcPr>
                <w:p w14:paraId="071FA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黄盆窑断面</w:t>
                  </w:r>
                </w:p>
              </w:tc>
              <w:tc>
                <w:tcPr>
                  <w:tcW w:w="1418" w:type="pct"/>
                  <w:vMerge w:val="continue"/>
                  <w:tcBorders>
                    <w:tl2br w:val="nil"/>
                    <w:tr2bl w:val="nil"/>
                  </w:tcBorders>
                  <w:noWrap/>
                  <w:vAlign w:val="center"/>
                </w:tcPr>
                <w:p w14:paraId="5CF786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bl>
          <w:p w14:paraId="0994AF14">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both"/>
              <w:textAlignment w:val="auto"/>
              <w:rPr>
                <w:rFonts w:hint="default"/>
                <w:color w:val="auto"/>
                <w:sz w:val="24"/>
                <w:szCs w:val="24"/>
                <w:highlight w:val="none"/>
                <w:lang w:val="en-US"/>
              </w:rPr>
            </w:pPr>
            <w:r>
              <w:rPr>
                <w:rFonts w:hint="eastAsia"/>
                <w:color w:val="auto"/>
                <w:sz w:val="24"/>
                <w:szCs w:val="24"/>
                <w:highlight w:val="none"/>
                <w:lang w:val="en-US" w:eastAsia="zh-CN"/>
              </w:rPr>
              <w:t>具体监测结果见下表：</w:t>
            </w:r>
          </w:p>
          <w:p w14:paraId="3F67825A">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bCs/>
                <w:color w:val="auto"/>
                <w:szCs w:val="20"/>
                <w:highlight w:val="none"/>
              </w:rPr>
            </w:pPr>
            <w:r>
              <w:rPr>
                <w:rFonts w:hint="default" w:ascii="Times New Roman" w:hAnsi="Times New Roman" w:eastAsia="宋体" w:cs="Times New Roman"/>
                <w:b/>
                <w:bCs/>
                <w:color w:val="auto"/>
                <w:szCs w:val="20"/>
                <w:highlight w:val="none"/>
              </w:rPr>
              <w:t>表</w:t>
            </w:r>
            <w:r>
              <w:rPr>
                <w:rFonts w:hint="eastAsia" w:ascii="Times New Roman" w:hAnsi="Times New Roman" w:eastAsia="宋体" w:cs="Times New Roman"/>
                <w:b/>
                <w:bCs/>
                <w:color w:val="auto"/>
                <w:szCs w:val="22"/>
                <w:highlight w:val="none"/>
                <w:lang w:val="en-US" w:eastAsia="zh-CN"/>
              </w:rPr>
              <w:t>3-5</w:t>
            </w:r>
            <w:r>
              <w:rPr>
                <w:rFonts w:hint="default" w:ascii="Times New Roman" w:hAnsi="Times New Roman" w:eastAsia="宋体" w:cs="Times New Roman"/>
                <w:b/>
                <w:bCs/>
                <w:color w:val="auto"/>
                <w:szCs w:val="22"/>
                <w:highlight w:val="none"/>
                <w:lang w:val="en-US" w:eastAsia="zh-CN"/>
              </w:rPr>
              <w:t xml:space="preserve"> </w:t>
            </w:r>
            <w:r>
              <w:rPr>
                <w:rFonts w:hint="eastAsia" w:ascii="Times New Roman" w:hAnsi="Times New Roman" w:eastAsia="宋体" w:cs="Times New Roman"/>
                <w:b/>
                <w:bCs/>
                <w:color w:val="auto"/>
                <w:szCs w:val="22"/>
                <w:highlight w:val="none"/>
                <w:lang w:val="en-US" w:eastAsia="zh-CN"/>
              </w:rPr>
              <w:t xml:space="preserve"> </w:t>
            </w:r>
            <w:r>
              <w:rPr>
                <w:rFonts w:hint="default" w:ascii="Times New Roman" w:hAnsi="Times New Roman" w:eastAsia="宋体" w:cs="Times New Roman"/>
                <w:b/>
                <w:bCs/>
                <w:color w:val="auto"/>
                <w:szCs w:val="20"/>
                <w:highlight w:val="none"/>
              </w:rPr>
              <w:t>地表水环境现状监测结果</w:t>
            </w:r>
            <w:r>
              <w:rPr>
                <w:rFonts w:hint="default" w:ascii="Times New Roman" w:hAnsi="Times New Roman" w:eastAsia="宋体" w:cs="Times New Roman"/>
                <w:b/>
                <w:bCs/>
                <w:color w:val="auto"/>
                <w:szCs w:val="20"/>
                <w:highlight w:val="none"/>
                <w:lang w:val="en-US" w:eastAsia="zh-CN"/>
              </w:rPr>
              <w:t xml:space="preserve">    </w:t>
            </w:r>
            <w:r>
              <w:rPr>
                <w:rFonts w:hint="eastAsia" w:cs="Times New Roman"/>
                <w:b/>
                <w:bCs/>
                <w:color w:val="auto"/>
                <w:szCs w:val="20"/>
                <w:highlight w:val="none"/>
                <w:lang w:val="en-US" w:eastAsia="zh-CN"/>
              </w:rPr>
              <w:t>Ci</w:t>
            </w:r>
            <w:r>
              <w:rPr>
                <w:rFonts w:hint="default" w:ascii="Times New Roman" w:hAnsi="Times New Roman" w:eastAsia="宋体" w:cs="Times New Roman"/>
                <w:b/>
                <w:bCs/>
                <w:color w:val="auto"/>
                <w:szCs w:val="20"/>
                <w:highlight w:val="none"/>
              </w:rPr>
              <w:t>单位：mg/L</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1332"/>
              <w:gridCol w:w="802"/>
              <w:gridCol w:w="623"/>
              <w:gridCol w:w="859"/>
              <w:gridCol w:w="931"/>
              <w:gridCol w:w="802"/>
              <w:gridCol w:w="611"/>
              <w:gridCol w:w="567"/>
            </w:tblGrid>
            <w:tr w14:paraId="08A6E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 w:type="pct"/>
                  <w:tcBorders>
                    <w:tl2br w:val="nil"/>
                    <w:tr2bl w:val="nil"/>
                  </w:tcBorders>
                  <w:shd w:val="clear" w:color="auto" w:fill="auto"/>
                  <w:noWrap w:val="0"/>
                  <w:vAlign w:val="center"/>
                </w:tcPr>
                <w:p w14:paraId="0F8897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lang w:val="en-US" w:eastAsia="zh-CN"/>
                    </w:rPr>
                  </w:pPr>
                  <w:bookmarkStart w:id="9" w:name="_Toc4788"/>
                  <w:bookmarkStart w:id="10" w:name="_Toc557"/>
                  <w:r>
                    <w:rPr>
                      <w:rFonts w:hint="eastAsia" w:ascii="Times New Roman" w:hAnsi="Times New Roman" w:cs="Times New Roman"/>
                      <w:b/>
                      <w:bCs/>
                      <w:color w:val="auto"/>
                      <w:sz w:val="21"/>
                      <w:szCs w:val="21"/>
                      <w:highlight w:val="none"/>
                      <w:lang w:val="en-US" w:eastAsia="zh-CN"/>
                    </w:rPr>
                    <w:t>监测日期</w:t>
                  </w:r>
                </w:p>
              </w:tc>
              <w:tc>
                <w:tcPr>
                  <w:tcW w:w="847" w:type="pct"/>
                  <w:tcBorders>
                    <w:tl2br w:val="nil"/>
                    <w:tr2bl w:val="nil"/>
                  </w:tcBorders>
                  <w:shd w:val="clear" w:color="auto" w:fill="FFFFFF"/>
                  <w:noWrap w:val="0"/>
                  <w:vAlign w:val="center"/>
                </w:tcPr>
                <w:p w14:paraId="6D72A9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监测点位</w:t>
                  </w:r>
                </w:p>
              </w:tc>
              <w:tc>
                <w:tcPr>
                  <w:tcW w:w="510" w:type="pct"/>
                  <w:tcBorders>
                    <w:tl2br w:val="nil"/>
                    <w:tr2bl w:val="nil"/>
                  </w:tcBorders>
                  <w:shd w:val="clear" w:color="auto" w:fill="auto"/>
                  <w:noWrap w:val="0"/>
                  <w:vAlign w:val="center"/>
                </w:tcPr>
                <w:p w14:paraId="0C49FB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项目</w:t>
                  </w:r>
                </w:p>
              </w:tc>
              <w:tc>
                <w:tcPr>
                  <w:tcW w:w="396" w:type="pct"/>
                  <w:tcBorders>
                    <w:tl2br w:val="nil"/>
                    <w:tr2bl w:val="nil"/>
                  </w:tcBorders>
                  <w:shd w:val="clear" w:color="auto" w:fill="auto"/>
                  <w:noWrap w:val="0"/>
                  <w:vAlign w:val="center"/>
                </w:tcPr>
                <w:p w14:paraId="3B5D79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pH</w:t>
                  </w:r>
                </w:p>
              </w:tc>
              <w:tc>
                <w:tcPr>
                  <w:tcW w:w="546" w:type="pct"/>
                  <w:tcBorders>
                    <w:tl2br w:val="nil"/>
                    <w:tr2bl w:val="nil"/>
                  </w:tcBorders>
                  <w:shd w:val="clear" w:color="auto" w:fill="auto"/>
                  <w:noWrap w:val="0"/>
                  <w:vAlign w:val="center"/>
                </w:tcPr>
                <w:p w14:paraId="0E1E5F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COD</w:t>
                  </w:r>
                </w:p>
              </w:tc>
              <w:tc>
                <w:tcPr>
                  <w:tcW w:w="592" w:type="pct"/>
                  <w:tcBorders>
                    <w:tl2br w:val="nil"/>
                    <w:tr2bl w:val="nil"/>
                  </w:tcBorders>
                  <w:shd w:val="clear" w:color="auto" w:fill="auto"/>
                  <w:noWrap w:val="0"/>
                  <w:vAlign w:val="center"/>
                </w:tcPr>
                <w:p w14:paraId="4B826D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BOD</w:t>
                  </w:r>
                  <w:r>
                    <w:rPr>
                      <w:rFonts w:hint="eastAsia" w:ascii="Times New Roman" w:hAnsi="Times New Roman" w:cs="Times New Roman"/>
                      <w:b/>
                      <w:bCs/>
                      <w:color w:val="auto"/>
                      <w:sz w:val="21"/>
                      <w:szCs w:val="21"/>
                      <w:highlight w:val="none"/>
                      <w:vertAlign w:val="subscript"/>
                      <w:lang w:val="en-US" w:eastAsia="zh-CN"/>
                    </w:rPr>
                    <w:t>5</w:t>
                  </w:r>
                </w:p>
              </w:tc>
              <w:tc>
                <w:tcPr>
                  <w:tcW w:w="510" w:type="pct"/>
                  <w:tcBorders>
                    <w:tl2br w:val="nil"/>
                    <w:tr2bl w:val="nil"/>
                  </w:tcBorders>
                  <w:shd w:val="clear" w:color="auto" w:fill="auto"/>
                  <w:noWrap w:val="0"/>
                  <w:vAlign w:val="center"/>
                </w:tcPr>
                <w:p w14:paraId="1C43D0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氨氮</w:t>
                  </w:r>
                </w:p>
              </w:tc>
              <w:tc>
                <w:tcPr>
                  <w:tcW w:w="388" w:type="pct"/>
                  <w:tcBorders>
                    <w:tl2br w:val="nil"/>
                    <w:tr2bl w:val="nil"/>
                  </w:tcBorders>
                  <w:shd w:val="clear" w:color="auto" w:fill="auto"/>
                  <w:noWrap w:val="0"/>
                  <w:vAlign w:val="center"/>
                </w:tcPr>
                <w:p w14:paraId="44AED7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TP</w:t>
                  </w:r>
                </w:p>
              </w:tc>
              <w:tc>
                <w:tcPr>
                  <w:tcW w:w="360" w:type="pct"/>
                  <w:tcBorders>
                    <w:tl2br w:val="nil"/>
                    <w:tr2bl w:val="nil"/>
                  </w:tcBorders>
                  <w:shd w:val="clear" w:color="auto" w:fill="auto"/>
                  <w:noWrap w:val="0"/>
                  <w:vAlign w:val="center"/>
                </w:tcPr>
                <w:p w14:paraId="2A72C2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SS</w:t>
                  </w:r>
                </w:p>
              </w:tc>
            </w:tr>
            <w:tr w14:paraId="21EF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 w:type="pct"/>
                  <w:vMerge w:val="restart"/>
                  <w:tcBorders>
                    <w:tl2br w:val="nil"/>
                    <w:tr2bl w:val="nil"/>
                  </w:tcBorders>
                  <w:shd w:val="clear" w:color="auto" w:fill="auto"/>
                  <w:noWrap w:val="0"/>
                  <w:vAlign w:val="center"/>
                </w:tcPr>
                <w:p w14:paraId="3E6868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2023.5.14</w:t>
                  </w:r>
                </w:p>
              </w:tc>
              <w:tc>
                <w:tcPr>
                  <w:tcW w:w="847" w:type="pct"/>
                  <w:vMerge w:val="restart"/>
                  <w:tcBorders>
                    <w:tl2br w:val="nil"/>
                    <w:tr2bl w:val="nil"/>
                  </w:tcBorders>
                  <w:shd w:val="clear" w:color="auto" w:fill="FFFFFF"/>
                  <w:noWrap w:val="0"/>
                  <w:vAlign w:val="center"/>
                </w:tcPr>
                <w:p w14:paraId="60F48C82">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W1</w:t>
                  </w:r>
                </w:p>
              </w:tc>
              <w:tc>
                <w:tcPr>
                  <w:tcW w:w="510" w:type="pct"/>
                  <w:tcBorders>
                    <w:tl2br w:val="nil"/>
                    <w:tr2bl w:val="nil"/>
                  </w:tcBorders>
                  <w:shd w:val="clear" w:color="auto" w:fill="auto"/>
                  <w:noWrap w:val="0"/>
                  <w:vAlign w:val="center"/>
                </w:tcPr>
                <w:p w14:paraId="7D4C9A0E">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Ci</w:t>
                  </w:r>
                </w:p>
              </w:tc>
              <w:tc>
                <w:tcPr>
                  <w:tcW w:w="396" w:type="pct"/>
                  <w:tcBorders>
                    <w:tl2br w:val="nil"/>
                    <w:tr2bl w:val="nil"/>
                  </w:tcBorders>
                  <w:shd w:val="clear" w:color="auto" w:fill="auto"/>
                  <w:noWrap w:val="0"/>
                  <w:vAlign w:val="center"/>
                </w:tcPr>
                <w:p w14:paraId="3E80CE6E">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7.1</w:t>
                  </w:r>
                </w:p>
              </w:tc>
              <w:tc>
                <w:tcPr>
                  <w:tcW w:w="546" w:type="pct"/>
                  <w:tcBorders>
                    <w:tl2br w:val="nil"/>
                    <w:tr2bl w:val="nil"/>
                  </w:tcBorders>
                  <w:shd w:val="clear" w:color="auto" w:fill="auto"/>
                  <w:noWrap w:val="0"/>
                  <w:vAlign w:val="center"/>
                </w:tcPr>
                <w:p w14:paraId="4452C10E">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11</w:t>
                  </w:r>
                </w:p>
              </w:tc>
              <w:tc>
                <w:tcPr>
                  <w:tcW w:w="592" w:type="pct"/>
                  <w:tcBorders>
                    <w:tl2br w:val="nil"/>
                    <w:tr2bl w:val="nil"/>
                  </w:tcBorders>
                  <w:shd w:val="clear" w:color="auto" w:fill="auto"/>
                  <w:noWrap w:val="0"/>
                  <w:vAlign w:val="center"/>
                </w:tcPr>
                <w:p w14:paraId="2CA2982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2.55</w:t>
                  </w:r>
                </w:p>
              </w:tc>
              <w:tc>
                <w:tcPr>
                  <w:tcW w:w="510" w:type="pct"/>
                  <w:tcBorders>
                    <w:tl2br w:val="nil"/>
                    <w:tr2bl w:val="nil"/>
                  </w:tcBorders>
                  <w:shd w:val="clear" w:color="auto" w:fill="auto"/>
                  <w:noWrap w:val="0"/>
                  <w:vAlign w:val="center"/>
                </w:tcPr>
                <w:p w14:paraId="5238B667">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0.29</w:t>
                  </w:r>
                </w:p>
              </w:tc>
              <w:tc>
                <w:tcPr>
                  <w:tcW w:w="388" w:type="pct"/>
                  <w:tcBorders>
                    <w:tl2br w:val="nil"/>
                    <w:tr2bl w:val="nil"/>
                  </w:tcBorders>
                  <w:shd w:val="clear" w:color="auto" w:fill="auto"/>
                  <w:noWrap w:val="0"/>
                  <w:vAlign w:val="center"/>
                </w:tcPr>
                <w:p w14:paraId="29FDA1B4">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0.12</w:t>
                  </w:r>
                </w:p>
              </w:tc>
              <w:tc>
                <w:tcPr>
                  <w:tcW w:w="360" w:type="pct"/>
                  <w:tcBorders>
                    <w:tl2br w:val="nil"/>
                    <w:tr2bl w:val="nil"/>
                  </w:tcBorders>
                  <w:shd w:val="clear" w:color="auto" w:fill="auto"/>
                  <w:noWrap w:val="0"/>
                  <w:vAlign w:val="center"/>
                </w:tcPr>
                <w:p w14:paraId="4714C545">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9</w:t>
                  </w:r>
                </w:p>
              </w:tc>
            </w:tr>
            <w:tr w14:paraId="0A68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 w:type="pct"/>
                  <w:vMerge w:val="continue"/>
                  <w:tcBorders>
                    <w:tl2br w:val="nil"/>
                    <w:tr2bl w:val="nil"/>
                  </w:tcBorders>
                  <w:shd w:val="clear" w:color="auto" w:fill="FFFFFF"/>
                  <w:noWrap w:val="0"/>
                  <w:vAlign w:val="center"/>
                </w:tcPr>
                <w:p w14:paraId="484BE9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847" w:type="pct"/>
                  <w:vMerge w:val="continue"/>
                  <w:tcBorders>
                    <w:tl2br w:val="nil"/>
                    <w:tr2bl w:val="nil"/>
                  </w:tcBorders>
                  <w:shd w:val="clear" w:color="auto" w:fill="FFFFFF"/>
                  <w:noWrap w:val="0"/>
                  <w:vAlign w:val="center"/>
                </w:tcPr>
                <w:p w14:paraId="6FC5951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10" w:type="pct"/>
                  <w:tcBorders>
                    <w:tl2br w:val="nil"/>
                    <w:tr2bl w:val="nil"/>
                  </w:tcBorders>
                  <w:shd w:val="clear" w:color="auto" w:fill="FFFFFF"/>
                  <w:noWrap w:val="0"/>
                  <w:vAlign w:val="center"/>
                </w:tcPr>
                <w:p w14:paraId="2FBC6EE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Si</w:t>
                  </w:r>
                </w:p>
              </w:tc>
              <w:tc>
                <w:tcPr>
                  <w:tcW w:w="396" w:type="pct"/>
                  <w:tcBorders>
                    <w:tl2br w:val="nil"/>
                    <w:tr2bl w:val="nil"/>
                  </w:tcBorders>
                  <w:shd w:val="clear" w:color="auto" w:fill="FFFFFF"/>
                  <w:noWrap w:val="0"/>
                  <w:vAlign w:val="center"/>
                </w:tcPr>
                <w:p w14:paraId="617C0D2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0.05</w:t>
                  </w:r>
                </w:p>
              </w:tc>
              <w:tc>
                <w:tcPr>
                  <w:tcW w:w="546" w:type="pct"/>
                  <w:tcBorders>
                    <w:tl2br w:val="nil"/>
                    <w:tr2bl w:val="nil"/>
                  </w:tcBorders>
                  <w:shd w:val="clear" w:color="auto" w:fill="FFFFFF"/>
                  <w:noWrap w:val="0"/>
                  <w:vAlign w:val="center"/>
                </w:tcPr>
                <w:p w14:paraId="1801831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0.55</w:t>
                  </w:r>
                </w:p>
              </w:tc>
              <w:tc>
                <w:tcPr>
                  <w:tcW w:w="592" w:type="pct"/>
                  <w:tcBorders>
                    <w:tl2br w:val="nil"/>
                    <w:tr2bl w:val="nil"/>
                  </w:tcBorders>
                  <w:shd w:val="clear" w:color="auto" w:fill="FFFFFF"/>
                  <w:noWrap w:val="0"/>
                  <w:vAlign w:val="center"/>
                </w:tcPr>
                <w:p w14:paraId="07E93CB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0.638</w:t>
                  </w:r>
                </w:p>
              </w:tc>
              <w:tc>
                <w:tcPr>
                  <w:tcW w:w="510" w:type="pct"/>
                  <w:tcBorders>
                    <w:tl2br w:val="nil"/>
                    <w:tr2bl w:val="nil"/>
                  </w:tcBorders>
                  <w:shd w:val="clear" w:color="auto" w:fill="FFFFFF"/>
                  <w:noWrap w:val="0"/>
                  <w:vAlign w:val="center"/>
                </w:tcPr>
                <w:p w14:paraId="29AC659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0.29</w:t>
                  </w:r>
                </w:p>
              </w:tc>
              <w:tc>
                <w:tcPr>
                  <w:tcW w:w="388" w:type="pct"/>
                  <w:tcBorders>
                    <w:tl2br w:val="nil"/>
                    <w:tr2bl w:val="nil"/>
                  </w:tcBorders>
                  <w:shd w:val="clear" w:color="auto" w:fill="FFFFFF"/>
                  <w:noWrap w:val="0"/>
                  <w:vAlign w:val="center"/>
                </w:tcPr>
                <w:p w14:paraId="599FF10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0.6</w:t>
                  </w:r>
                </w:p>
              </w:tc>
              <w:tc>
                <w:tcPr>
                  <w:tcW w:w="360" w:type="pct"/>
                  <w:tcBorders>
                    <w:tl2br w:val="nil"/>
                    <w:tr2bl w:val="nil"/>
                  </w:tcBorders>
                  <w:shd w:val="clear" w:color="auto" w:fill="FFFFFF"/>
                  <w:noWrap w:val="0"/>
                  <w:vAlign w:val="center"/>
                </w:tcPr>
                <w:p w14:paraId="0319D46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4BB4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 w:type="pct"/>
                  <w:vMerge w:val="continue"/>
                  <w:tcBorders>
                    <w:tl2br w:val="nil"/>
                    <w:tr2bl w:val="nil"/>
                  </w:tcBorders>
                  <w:shd w:val="clear" w:color="auto" w:fill="auto"/>
                  <w:noWrap w:val="0"/>
                  <w:vAlign w:val="center"/>
                </w:tcPr>
                <w:p w14:paraId="233F2F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p>
              </w:tc>
              <w:tc>
                <w:tcPr>
                  <w:tcW w:w="847" w:type="pct"/>
                  <w:vMerge w:val="restart"/>
                  <w:tcBorders>
                    <w:tl2br w:val="nil"/>
                    <w:tr2bl w:val="nil"/>
                  </w:tcBorders>
                  <w:shd w:val="clear" w:color="auto" w:fill="FFFFFF"/>
                  <w:noWrap w:val="0"/>
                  <w:vAlign w:val="center"/>
                </w:tcPr>
                <w:p w14:paraId="1144FD3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W2</w:t>
                  </w:r>
                </w:p>
              </w:tc>
              <w:tc>
                <w:tcPr>
                  <w:tcW w:w="510" w:type="pct"/>
                  <w:tcBorders>
                    <w:tl2br w:val="nil"/>
                    <w:tr2bl w:val="nil"/>
                  </w:tcBorders>
                  <w:shd w:val="clear" w:color="auto" w:fill="auto"/>
                  <w:noWrap w:val="0"/>
                  <w:vAlign w:val="center"/>
                </w:tcPr>
                <w:p w14:paraId="55464CC3">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Ci</w:t>
                  </w:r>
                </w:p>
              </w:tc>
              <w:tc>
                <w:tcPr>
                  <w:tcW w:w="396" w:type="pct"/>
                  <w:tcBorders>
                    <w:tl2br w:val="nil"/>
                    <w:tr2bl w:val="nil"/>
                  </w:tcBorders>
                  <w:shd w:val="clear" w:color="auto" w:fill="auto"/>
                  <w:noWrap w:val="0"/>
                  <w:vAlign w:val="center"/>
                </w:tcPr>
                <w:p w14:paraId="1191F27D">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7.3</w:t>
                  </w:r>
                </w:p>
              </w:tc>
              <w:tc>
                <w:tcPr>
                  <w:tcW w:w="546" w:type="pct"/>
                  <w:tcBorders>
                    <w:tl2br w:val="nil"/>
                    <w:tr2bl w:val="nil"/>
                  </w:tcBorders>
                  <w:shd w:val="clear" w:color="auto" w:fill="auto"/>
                  <w:noWrap w:val="0"/>
                  <w:vAlign w:val="center"/>
                </w:tcPr>
                <w:p w14:paraId="44DDCF7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14</w:t>
                  </w:r>
                </w:p>
              </w:tc>
              <w:tc>
                <w:tcPr>
                  <w:tcW w:w="592" w:type="pct"/>
                  <w:tcBorders>
                    <w:tl2br w:val="nil"/>
                    <w:tr2bl w:val="nil"/>
                  </w:tcBorders>
                  <w:shd w:val="clear" w:color="auto" w:fill="auto"/>
                  <w:noWrap w:val="0"/>
                  <w:vAlign w:val="center"/>
                </w:tcPr>
                <w:p w14:paraId="16A9658D">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2.09</w:t>
                  </w:r>
                </w:p>
              </w:tc>
              <w:tc>
                <w:tcPr>
                  <w:tcW w:w="510" w:type="pct"/>
                  <w:tcBorders>
                    <w:tl2br w:val="nil"/>
                    <w:tr2bl w:val="nil"/>
                  </w:tcBorders>
                  <w:shd w:val="clear" w:color="auto" w:fill="auto"/>
                  <w:noWrap w:val="0"/>
                  <w:vAlign w:val="center"/>
                </w:tcPr>
                <w:p w14:paraId="6003B784">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0.214</w:t>
                  </w:r>
                </w:p>
              </w:tc>
              <w:tc>
                <w:tcPr>
                  <w:tcW w:w="388" w:type="pct"/>
                  <w:tcBorders>
                    <w:tl2br w:val="nil"/>
                    <w:tr2bl w:val="nil"/>
                  </w:tcBorders>
                  <w:shd w:val="clear" w:color="auto" w:fill="auto"/>
                  <w:noWrap w:val="0"/>
                  <w:vAlign w:val="center"/>
                </w:tcPr>
                <w:p w14:paraId="31CC72B7">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0.11</w:t>
                  </w:r>
                </w:p>
              </w:tc>
              <w:tc>
                <w:tcPr>
                  <w:tcW w:w="360" w:type="pct"/>
                  <w:tcBorders>
                    <w:tl2br w:val="nil"/>
                    <w:tr2bl w:val="nil"/>
                  </w:tcBorders>
                  <w:shd w:val="clear" w:color="auto" w:fill="auto"/>
                  <w:noWrap w:val="0"/>
                  <w:vAlign w:val="center"/>
                </w:tcPr>
                <w:p w14:paraId="7D72DEAB">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6</w:t>
                  </w:r>
                </w:p>
              </w:tc>
            </w:tr>
            <w:tr w14:paraId="331A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 w:type="pct"/>
                  <w:vMerge w:val="continue"/>
                  <w:tcBorders>
                    <w:tl2br w:val="nil"/>
                    <w:tr2bl w:val="nil"/>
                  </w:tcBorders>
                  <w:shd w:val="clear" w:color="auto" w:fill="auto"/>
                  <w:noWrap w:val="0"/>
                  <w:vAlign w:val="center"/>
                </w:tcPr>
                <w:p w14:paraId="1A5936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p>
              </w:tc>
              <w:tc>
                <w:tcPr>
                  <w:tcW w:w="847" w:type="pct"/>
                  <w:vMerge w:val="continue"/>
                  <w:tcBorders>
                    <w:tl2br w:val="nil"/>
                    <w:tr2bl w:val="nil"/>
                  </w:tcBorders>
                  <w:shd w:val="clear" w:color="auto" w:fill="FFFFFF"/>
                  <w:noWrap w:val="0"/>
                  <w:vAlign w:val="center"/>
                </w:tcPr>
                <w:p w14:paraId="189AF0B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10" w:type="pct"/>
                  <w:tcBorders>
                    <w:tl2br w:val="nil"/>
                    <w:tr2bl w:val="nil"/>
                  </w:tcBorders>
                  <w:shd w:val="clear" w:color="auto" w:fill="FFFFFF"/>
                  <w:noWrap w:val="0"/>
                  <w:vAlign w:val="center"/>
                </w:tcPr>
                <w:p w14:paraId="5777F59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Si</w:t>
                  </w:r>
                </w:p>
              </w:tc>
              <w:tc>
                <w:tcPr>
                  <w:tcW w:w="396" w:type="pct"/>
                  <w:tcBorders>
                    <w:tl2br w:val="nil"/>
                    <w:tr2bl w:val="nil"/>
                  </w:tcBorders>
                  <w:shd w:val="clear" w:color="auto" w:fill="auto"/>
                  <w:noWrap w:val="0"/>
                  <w:vAlign w:val="center"/>
                </w:tcPr>
                <w:p w14:paraId="7295A4A2">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0.15</w:t>
                  </w:r>
                </w:p>
              </w:tc>
              <w:tc>
                <w:tcPr>
                  <w:tcW w:w="546" w:type="pct"/>
                  <w:tcBorders>
                    <w:tl2br w:val="nil"/>
                    <w:tr2bl w:val="nil"/>
                  </w:tcBorders>
                  <w:shd w:val="clear" w:color="auto" w:fill="auto"/>
                  <w:noWrap w:val="0"/>
                  <w:vAlign w:val="center"/>
                </w:tcPr>
                <w:p w14:paraId="15022D5D">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0.7</w:t>
                  </w:r>
                </w:p>
              </w:tc>
              <w:tc>
                <w:tcPr>
                  <w:tcW w:w="592" w:type="pct"/>
                  <w:tcBorders>
                    <w:tl2br w:val="nil"/>
                    <w:tr2bl w:val="nil"/>
                  </w:tcBorders>
                  <w:shd w:val="clear" w:color="auto" w:fill="auto"/>
                  <w:noWrap w:val="0"/>
                  <w:vAlign w:val="center"/>
                </w:tcPr>
                <w:p w14:paraId="041AC104">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0.523</w:t>
                  </w:r>
                </w:p>
              </w:tc>
              <w:tc>
                <w:tcPr>
                  <w:tcW w:w="510" w:type="pct"/>
                  <w:tcBorders>
                    <w:tl2br w:val="nil"/>
                    <w:tr2bl w:val="nil"/>
                  </w:tcBorders>
                  <w:shd w:val="clear" w:color="auto" w:fill="auto"/>
                  <w:noWrap w:val="0"/>
                  <w:vAlign w:val="center"/>
                </w:tcPr>
                <w:p w14:paraId="4CF8E5F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0.21</w:t>
                  </w:r>
                </w:p>
              </w:tc>
              <w:tc>
                <w:tcPr>
                  <w:tcW w:w="388" w:type="pct"/>
                  <w:tcBorders>
                    <w:tl2br w:val="nil"/>
                    <w:tr2bl w:val="nil"/>
                  </w:tcBorders>
                  <w:shd w:val="clear" w:color="auto" w:fill="auto"/>
                  <w:noWrap w:val="0"/>
                  <w:vAlign w:val="center"/>
                </w:tcPr>
                <w:p w14:paraId="65352226">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0.55</w:t>
                  </w:r>
                </w:p>
              </w:tc>
              <w:tc>
                <w:tcPr>
                  <w:tcW w:w="360" w:type="pct"/>
                  <w:tcBorders>
                    <w:tl2br w:val="nil"/>
                    <w:tr2bl w:val="nil"/>
                  </w:tcBorders>
                  <w:shd w:val="clear" w:color="auto" w:fill="auto"/>
                  <w:noWrap w:val="0"/>
                  <w:vAlign w:val="center"/>
                </w:tcPr>
                <w:p w14:paraId="52D7AA51">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w:t>
                  </w:r>
                </w:p>
              </w:tc>
            </w:tr>
            <w:tr w14:paraId="3107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 w:type="pct"/>
                  <w:vMerge w:val="continue"/>
                  <w:tcBorders>
                    <w:tl2br w:val="nil"/>
                    <w:tr2bl w:val="nil"/>
                  </w:tcBorders>
                  <w:shd w:val="clear" w:color="auto" w:fill="FFFFFF"/>
                  <w:noWrap w:val="0"/>
                  <w:vAlign w:val="center"/>
                </w:tcPr>
                <w:p w14:paraId="09A387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847" w:type="pct"/>
                  <w:vMerge w:val="restart"/>
                  <w:tcBorders>
                    <w:tl2br w:val="nil"/>
                    <w:tr2bl w:val="nil"/>
                  </w:tcBorders>
                  <w:shd w:val="clear" w:color="auto" w:fill="FFFFFF"/>
                  <w:noWrap w:val="0"/>
                  <w:vAlign w:val="center"/>
                </w:tcPr>
                <w:p w14:paraId="02A67EF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W3</w:t>
                  </w:r>
                </w:p>
              </w:tc>
              <w:tc>
                <w:tcPr>
                  <w:tcW w:w="510" w:type="pct"/>
                  <w:tcBorders>
                    <w:tl2br w:val="nil"/>
                    <w:tr2bl w:val="nil"/>
                  </w:tcBorders>
                  <w:shd w:val="clear" w:color="auto" w:fill="auto"/>
                  <w:noWrap w:val="0"/>
                  <w:vAlign w:val="center"/>
                </w:tcPr>
                <w:p w14:paraId="3565D862">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Ci</w:t>
                  </w:r>
                </w:p>
              </w:tc>
              <w:tc>
                <w:tcPr>
                  <w:tcW w:w="396" w:type="pct"/>
                  <w:tcBorders>
                    <w:tl2br w:val="nil"/>
                    <w:tr2bl w:val="nil"/>
                  </w:tcBorders>
                  <w:shd w:val="clear" w:color="auto" w:fill="FFFFFF"/>
                  <w:noWrap w:val="0"/>
                  <w:vAlign w:val="center"/>
                </w:tcPr>
                <w:p w14:paraId="2C0DDA0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7.2</w:t>
                  </w:r>
                </w:p>
              </w:tc>
              <w:tc>
                <w:tcPr>
                  <w:tcW w:w="546" w:type="pct"/>
                  <w:tcBorders>
                    <w:tl2br w:val="nil"/>
                    <w:tr2bl w:val="nil"/>
                  </w:tcBorders>
                  <w:shd w:val="clear" w:color="auto" w:fill="FFFFFF"/>
                  <w:noWrap w:val="0"/>
                  <w:vAlign w:val="center"/>
                </w:tcPr>
                <w:p w14:paraId="1E90A93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w:t>
                  </w:r>
                </w:p>
              </w:tc>
              <w:tc>
                <w:tcPr>
                  <w:tcW w:w="592" w:type="pct"/>
                  <w:tcBorders>
                    <w:tl2br w:val="nil"/>
                    <w:tr2bl w:val="nil"/>
                  </w:tcBorders>
                  <w:shd w:val="clear" w:color="auto" w:fill="FFFFFF"/>
                  <w:noWrap w:val="0"/>
                  <w:vAlign w:val="center"/>
                </w:tcPr>
                <w:p w14:paraId="3704E103">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1.89</w:t>
                  </w:r>
                </w:p>
              </w:tc>
              <w:tc>
                <w:tcPr>
                  <w:tcW w:w="510" w:type="pct"/>
                  <w:tcBorders>
                    <w:tl2br w:val="nil"/>
                    <w:tr2bl w:val="nil"/>
                  </w:tcBorders>
                  <w:shd w:val="clear" w:color="auto" w:fill="FFFFFF"/>
                  <w:noWrap w:val="0"/>
                  <w:vAlign w:val="center"/>
                </w:tcPr>
                <w:p w14:paraId="001ABF3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0.365</w:t>
                  </w:r>
                </w:p>
              </w:tc>
              <w:tc>
                <w:tcPr>
                  <w:tcW w:w="388" w:type="pct"/>
                  <w:tcBorders>
                    <w:tl2br w:val="nil"/>
                    <w:tr2bl w:val="nil"/>
                  </w:tcBorders>
                  <w:shd w:val="clear" w:color="auto" w:fill="FFFFFF"/>
                  <w:noWrap w:val="0"/>
                  <w:vAlign w:val="center"/>
                </w:tcPr>
                <w:p w14:paraId="48016FD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0.07</w:t>
                  </w:r>
                </w:p>
              </w:tc>
              <w:tc>
                <w:tcPr>
                  <w:tcW w:w="360" w:type="pct"/>
                  <w:tcBorders>
                    <w:tl2br w:val="nil"/>
                    <w:tr2bl w:val="nil"/>
                  </w:tcBorders>
                  <w:shd w:val="clear" w:color="auto" w:fill="FFFFFF"/>
                  <w:noWrap w:val="0"/>
                  <w:vAlign w:val="center"/>
                </w:tcPr>
                <w:p w14:paraId="2B19A0F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w:t>
                  </w:r>
                </w:p>
              </w:tc>
            </w:tr>
            <w:tr w14:paraId="4A88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 w:type="pct"/>
                  <w:vMerge w:val="continue"/>
                  <w:tcBorders>
                    <w:tl2br w:val="nil"/>
                    <w:tr2bl w:val="nil"/>
                  </w:tcBorders>
                  <w:shd w:val="clear" w:color="auto" w:fill="auto"/>
                  <w:noWrap w:val="0"/>
                  <w:vAlign w:val="center"/>
                </w:tcPr>
                <w:p w14:paraId="49A41F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p>
              </w:tc>
              <w:tc>
                <w:tcPr>
                  <w:tcW w:w="847" w:type="pct"/>
                  <w:vMerge w:val="continue"/>
                  <w:tcBorders>
                    <w:tl2br w:val="nil"/>
                    <w:tr2bl w:val="nil"/>
                  </w:tcBorders>
                  <w:shd w:val="clear" w:color="auto" w:fill="auto"/>
                  <w:noWrap w:val="0"/>
                  <w:vAlign w:val="center"/>
                </w:tcPr>
                <w:p w14:paraId="25715662">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p>
              </w:tc>
              <w:tc>
                <w:tcPr>
                  <w:tcW w:w="510" w:type="pct"/>
                  <w:tcBorders>
                    <w:tl2br w:val="nil"/>
                    <w:tr2bl w:val="nil"/>
                  </w:tcBorders>
                  <w:shd w:val="clear" w:color="auto" w:fill="FFFFFF"/>
                  <w:noWrap w:val="0"/>
                  <w:vAlign w:val="center"/>
                </w:tcPr>
                <w:p w14:paraId="249F2DD2">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Si</w:t>
                  </w:r>
                </w:p>
              </w:tc>
              <w:tc>
                <w:tcPr>
                  <w:tcW w:w="396" w:type="pct"/>
                  <w:tcBorders>
                    <w:tl2br w:val="nil"/>
                    <w:tr2bl w:val="nil"/>
                  </w:tcBorders>
                  <w:shd w:val="clear" w:color="auto" w:fill="auto"/>
                  <w:noWrap w:val="0"/>
                  <w:vAlign w:val="center"/>
                </w:tcPr>
                <w:p w14:paraId="04781106">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0.1</w:t>
                  </w:r>
                </w:p>
              </w:tc>
              <w:tc>
                <w:tcPr>
                  <w:tcW w:w="546" w:type="pct"/>
                  <w:tcBorders>
                    <w:tl2br w:val="nil"/>
                    <w:tr2bl w:val="nil"/>
                  </w:tcBorders>
                  <w:shd w:val="clear" w:color="auto" w:fill="auto"/>
                  <w:noWrap w:val="0"/>
                  <w:vAlign w:val="center"/>
                </w:tcPr>
                <w:p w14:paraId="1F2EF3D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0.35</w:t>
                  </w:r>
                </w:p>
              </w:tc>
              <w:tc>
                <w:tcPr>
                  <w:tcW w:w="592" w:type="pct"/>
                  <w:tcBorders>
                    <w:tl2br w:val="nil"/>
                    <w:tr2bl w:val="nil"/>
                  </w:tcBorders>
                  <w:shd w:val="clear" w:color="auto" w:fill="auto"/>
                  <w:noWrap w:val="0"/>
                  <w:vAlign w:val="center"/>
                </w:tcPr>
                <w:p w14:paraId="3E8E6A5B">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0.473</w:t>
                  </w:r>
                </w:p>
              </w:tc>
              <w:tc>
                <w:tcPr>
                  <w:tcW w:w="510" w:type="pct"/>
                  <w:tcBorders>
                    <w:tl2br w:val="nil"/>
                    <w:tr2bl w:val="nil"/>
                  </w:tcBorders>
                  <w:shd w:val="clear" w:color="auto" w:fill="auto"/>
                  <w:noWrap w:val="0"/>
                  <w:vAlign w:val="center"/>
                </w:tcPr>
                <w:p w14:paraId="32370A1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0.37</w:t>
                  </w:r>
                </w:p>
              </w:tc>
              <w:tc>
                <w:tcPr>
                  <w:tcW w:w="388" w:type="pct"/>
                  <w:tcBorders>
                    <w:tl2br w:val="nil"/>
                    <w:tr2bl w:val="nil"/>
                  </w:tcBorders>
                  <w:shd w:val="clear" w:color="auto" w:fill="auto"/>
                  <w:noWrap w:val="0"/>
                  <w:vAlign w:val="center"/>
                </w:tcPr>
                <w:p w14:paraId="185A9D83">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0.35</w:t>
                  </w:r>
                </w:p>
              </w:tc>
              <w:tc>
                <w:tcPr>
                  <w:tcW w:w="360" w:type="pct"/>
                  <w:tcBorders>
                    <w:tl2br w:val="nil"/>
                    <w:tr2bl w:val="nil"/>
                  </w:tcBorders>
                  <w:shd w:val="clear" w:color="auto" w:fill="auto"/>
                  <w:noWrap w:val="0"/>
                  <w:vAlign w:val="center"/>
                </w:tcPr>
                <w:p w14:paraId="6116F074">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w:t>
                  </w:r>
                </w:p>
              </w:tc>
            </w:tr>
            <w:tr w14:paraId="3B0D8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 w:type="pct"/>
                  <w:vMerge w:val="continue"/>
                  <w:tcBorders>
                    <w:tl2br w:val="nil"/>
                    <w:tr2bl w:val="nil"/>
                  </w:tcBorders>
                  <w:shd w:val="clear" w:color="auto" w:fill="auto"/>
                  <w:noWrap w:val="0"/>
                  <w:vAlign w:val="center"/>
                </w:tcPr>
                <w:p w14:paraId="288536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p>
              </w:tc>
              <w:tc>
                <w:tcPr>
                  <w:tcW w:w="847" w:type="pct"/>
                  <w:vMerge w:val="restart"/>
                  <w:tcBorders>
                    <w:tl2br w:val="nil"/>
                    <w:tr2bl w:val="nil"/>
                  </w:tcBorders>
                  <w:shd w:val="clear" w:color="auto" w:fill="auto"/>
                  <w:noWrap w:val="0"/>
                  <w:vAlign w:val="center"/>
                </w:tcPr>
                <w:p w14:paraId="496176B6">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W4</w:t>
                  </w:r>
                </w:p>
              </w:tc>
              <w:tc>
                <w:tcPr>
                  <w:tcW w:w="510" w:type="pct"/>
                  <w:tcBorders>
                    <w:tl2br w:val="nil"/>
                    <w:tr2bl w:val="nil"/>
                  </w:tcBorders>
                  <w:shd w:val="clear" w:color="auto" w:fill="auto"/>
                  <w:noWrap w:val="0"/>
                  <w:vAlign w:val="center"/>
                </w:tcPr>
                <w:p w14:paraId="184CB773">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Ci</w:t>
                  </w:r>
                </w:p>
              </w:tc>
              <w:tc>
                <w:tcPr>
                  <w:tcW w:w="396" w:type="pct"/>
                  <w:tcBorders>
                    <w:tl2br w:val="nil"/>
                    <w:tr2bl w:val="nil"/>
                  </w:tcBorders>
                  <w:shd w:val="clear" w:color="auto" w:fill="auto"/>
                  <w:noWrap w:val="0"/>
                  <w:vAlign w:val="center"/>
                </w:tcPr>
                <w:p w14:paraId="45685647">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7.3</w:t>
                  </w:r>
                </w:p>
              </w:tc>
              <w:tc>
                <w:tcPr>
                  <w:tcW w:w="546" w:type="pct"/>
                  <w:tcBorders>
                    <w:tl2br w:val="nil"/>
                    <w:tr2bl w:val="nil"/>
                  </w:tcBorders>
                  <w:shd w:val="clear" w:color="auto" w:fill="auto"/>
                  <w:noWrap w:val="0"/>
                  <w:vAlign w:val="center"/>
                </w:tcPr>
                <w:p w14:paraId="52F0E209">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8</w:t>
                  </w:r>
                </w:p>
              </w:tc>
              <w:tc>
                <w:tcPr>
                  <w:tcW w:w="592" w:type="pct"/>
                  <w:tcBorders>
                    <w:tl2br w:val="nil"/>
                    <w:tr2bl w:val="nil"/>
                  </w:tcBorders>
                  <w:shd w:val="clear" w:color="auto" w:fill="auto"/>
                  <w:noWrap w:val="0"/>
                  <w:vAlign w:val="center"/>
                </w:tcPr>
                <w:p w14:paraId="0DA8A5E7">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2.13</w:t>
                  </w:r>
                </w:p>
              </w:tc>
              <w:tc>
                <w:tcPr>
                  <w:tcW w:w="510" w:type="pct"/>
                  <w:tcBorders>
                    <w:tl2br w:val="nil"/>
                    <w:tr2bl w:val="nil"/>
                  </w:tcBorders>
                  <w:shd w:val="clear" w:color="auto" w:fill="auto"/>
                  <w:noWrap w:val="0"/>
                  <w:vAlign w:val="center"/>
                </w:tcPr>
                <w:p w14:paraId="70CA1CD9">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0.455</w:t>
                  </w:r>
                </w:p>
              </w:tc>
              <w:tc>
                <w:tcPr>
                  <w:tcW w:w="388" w:type="pct"/>
                  <w:tcBorders>
                    <w:tl2br w:val="nil"/>
                    <w:tr2bl w:val="nil"/>
                  </w:tcBorders>
                  <w:shd w:val="clear" w:color="auto" w:fill="auto"/>
                  <w:noWrap w:val="0"/>
                  <w:vAlign w:val="center"/>
                </w:tcPr>
                <w:p w14:paraId="7C50C0C0">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0.08</w:t>
                  </w:r>
                </w:p>
              </w:tc>
              <w:tc>
                <w:tcPr>
                  <w:tcW w:w="360" w:type="pct"/>
                  <w:tcBorders>
                    <w:tl2br w:val="nil"/>
                    <w:tr2bl w:val="nil"/>
                  </w:tcBorders>
                  <w:shd w:val="clear" w:color="auto" w:fill="auto"/>
                  <w:noWrap w:val="0"/>
                  <w:vAlign w:val="center"/>
                </w:tcPr>
                <w:p w14:paraId="46969EFF">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5</w:t>
                  </w:r>
                </w:p>
              </w:tc>
            </w:tr>
            <w:tr w14:paraId="0E339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 w:type="pct"/>
                  <w:vMerge w:val="continue"/>
                  <w:tcBorders>
                    <w:tl2br w:val="nil"/>
                    <w:tr2bl w:val="nil"/>
                  </w:tcBorders>
                  <w:shd w:val="clear" w:color="auto" w:fill="FFFFFF"/>
                  <w:noWrap w:val="0"/>
                  <w:vAlign w:val="center"/>
                </w:tcPr>
                <w:p w14:paraId="021B16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847" w:type="pct"/>
                  <w:vMerge w:val="continue"/>
                  <w:tcBorders>
                    <w:tl2br w:val="nil"/>
                    <w:tr2bl w:val="nil"/>
                  </w:tcBorders>
                  <w:shd w:val="clear" w:color="auto" w:fill="FFFFFF"/>
                  <w:noWrap w:val="0"/>
                  <w:vAlign w:val="center"/>
                </w:tcPr>
                <w:p w14:paraId="52017FB2">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10" w:type="pct"/>
                  <w:tcBorders>
                    <w:tl2br w:val="nil"/>
                    <w:tr2bl w:val="nil"/>
                  </w:tcBorders>
                  <w:shd w:val="clear" w:color="auto" w:fill="FFFFFF"/>
                  <w:noWrap w:val="0"/>
                  <w:vAlign w:val="center"/>
                </w:tcPr>
                <w:p w14:paraId="3CDF780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Si</w:t>
                  </w:r>
                </w:p>
              </w:tc>
              <w:tc>
                <w:tcPr>
                  <w:tcW w:w="396" w:type="pct"/>
                  <w:tcBorders>
                    <w:tl2br w:val="nil"/>
                    <w:tr2bl w:val="nil"/>
                  </w:tcBorders>
                  <w:shd w:val="clear" w:color="auto" w:fill="FFFFFF"/>
                  <w:noWrap w:val="0"/>
                  <w:vAlign w:val="center"/>
                </w:tcPr>
                <w:p w14:paraId="492A5CC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0.15</w:t>
                  </w:r>
                </w:p>
              </w:tc>
              <w:tc>
                <w:tcPr>
                  <w:tcW w:w="546" w:type="pct"/>
                  <w:tcBorders>
                    <w:tl2br w:val="nil"/>
                    <w:tr2bl w:val="nil"/>
                  </w:tcBorders>
                  <w:shd w:val="clear" w:color="auto" w:fill="FFFFFF"/>
                  <w:noWrap w:val="0"/>
                  <w:vAlign w:val="center"/>
                </w:tcPr>
                <w:p w14:paraId="2DF5FDB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0.4</w:t>
                  </w:r>
                </w:p>
              </w:tc>
              <w:tc>
                <w:tcPr>
                  <w:tcW w:w="592" w:type="pct"/>
                  <w:tcBorders>
                    <w:tl2br w:val="nil"/>
                    <w:tr2bl w:val="nil"/>
                  </w:tcBorders>
                  <w:shd w:val="clear" w:color="auto" w:fill="FFFFFF"/>
                  <w:noWrap w:val="0"/>
                  <w:vAlign w:val="center"/>
                </w:tcPr>
                <w:p w14:paraId="1EA91774">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0.533</w:t>
                  </w:r>
                </w:p>
              </w:tc>
              <w:tc>
                <w:tcPr>
                  <w:tcW w:w="510" w:type="pct"/>
                  <w:tcBorders>
                    <w:tl2br w:val="nil"/>
                    <w:tr2bl w:val="nil"/>
                  </w:tcBorders>
                  <w:shd w:val="clear" w:color="auto" w:fill="FFFFFF"/>
                  <w:noWrap w:val="0"/>
                  <w:vAlign w:val="center"/>
                </w:tcPr>
                <w:p w14:paraId="12C98D5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0.46</w:t>
                  </w:r>
                </w:p>
              </w:tc>
              <w:tc>
                <w:tcPr>
                  <w:tcW w:w="388" w:type="pct"/>
                  <w:tcBorders>
                    <w:tl2br w:val="nil"/>
                    <w:tr2bl w:val="nil"/>
                  </w:tcBorders>
                  <w:shd w:val="clear" w:color="auto" w:fill="FFFFFF"/>
                  <w:noWrap w:val="0"/>
                  <w:vAlign w:val="center"/>
                </w:tcPr>
                <w:p w14:paraId="4052870B">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0.4</w:t>
                  </w:r>
                </w:p>
              </w:tc>
              <w:tc>
                <w:tcPr>
                  <w:tcW w:w="360" w:type="pct"/>
                  <w:tcBorders>
                    <w:tl2br w:val="nil"/>
                    <w:tr2bl w:val="nil"/>
                  </w:tcBorders>
                  <w:shd w:val="clear" w:color="auto" w:fill="FFFFFF"/>
                  <w:noWrap w:val="0"/>
                  <w:vAlign w:val="center"/>
                </w:tcPr>
                <w:p w14:paraId="457687CF">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0B9E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 w:type="pct"/>
                  <w:vMerge w:val="restart"/>
                  <w:tcBorders>
                    <w:tl2br w:val="nil"/>
                    <w:tr2bl w:val="nil"/>
                  </w:tcBorders>
                  <w:shd w:val="clear" w:color="auto" w:fill="auto"/>
                  <w:noWrap w:val="0"/>
                  <w:vAlign w:val="center"/>
                </w:tcPr>
                <w:p w14:paraId="69EDCE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2023.5.15</w:t>
                  </w:r>
                </w:p>
              </w:tc>
              <w:tc>
                <w:tcPr>
                  <w:tcW w:w="847" w:type="pct"/>
                  <w:vMerge w:val="restart"/>
                  <w:tcBorders>
                    <w:tl2br w:val="nil"/>
                    <w:tr2bl w:val="nil"/>
                  </w:tcBorders>
                  <w:shd w:val="clear" w:color="auto" w:fill="auto"/>
                  <w:noWrap w:val="0"/>
                  <w:vAlign w:val="center"/>
                </w:tcPr>
                <w:p w14:paraId="3DFC198C">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W1</w:t>
                  </w:r>
                </w:p>
              </w:tc>
              <w:tc>
                <w:tcPr>
                  <w:tcW w:w="510" w:type="pct"/>
                  <w:tcBorders>
                    <w:tl2br w:val="nil"/>
                    <w:tr2bl w:val="nil"/>
                  </w:tcBorders>
                  <w:shd w:val="clear" w:color="auto" w:fill="auto"/>
                  <w:noWrap w:val="0"/>
                  <w:vAlign w:val="center"/>
                </w:tcPr>
                <w:p w14:paraId="509E2A79">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Ci</w:t>
                  </w:r>
                </w:p>
              </w:tc>
              <w:tc>
                <w:tcPr>
                  <w:tcW w:w="396" w:type="pct"/>
                  <w:tcBorders>
                    <w:tl2br w:val="nil"/>
                    <w:tr2bl w:val="nil"/>
                  </w:tcBorders>
                  <w:shd w:val="clear" w:color="auto" w:fill="auto"/>
                  <w:noWrap w:val="0"/>
                  <w:vAlign w:val="center"/>
                </w:tcPr>
                <w:p w14:paraId="0E133F2D">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7.2</w:t>
                  </w:r>
                </w:p>
              </w:tc>
              <w:tc>
                <w:tcPr>
                  <w:tcW w:w="546" w:type="pct"/>
                  <w:tcBorders>
                    <w:tl2br w:val="nil"/>
                    <w:tr2bl w:val="nil"/>
                  </w:tcBorders>
                  <w:shd w:val="clear" w:color="auto" w:fill="auto"/>
                  <w:noWrap w:val="0"/>
                  <w:vAlign w:val="center"/>
                </w:tcPr>
                <w:p w14:paraId="2F690FE9">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13</w:t>
                  </w:r>
                </w:p>
              </w:tc>
              <w:tc>
                <w:tcPr>
                  <w:tcW w:w="592" w:type="pct"/>
                  <w:tcBorders>
                    <w:tl2br w:val="nil"/>
                    <w:tr2bl w:val="nil"/>
                  </w:tcBorders>
                  <w:shd w:val="clear" w:color="auto" w:fill="auto"/>
                  <w:noWrap w:val="0"/>
                  <w:vAlign w:val="center"/>
                </w:tcPr>
                <w:p w14:paraId="09A89F0E">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2.63</w:t>
                  </w:r>
                </w:p>
              </w:tc>
              <w:tc>
                <w:tcPr>
                  <w:tcW w:w="510" w:type="pct"/>
                  <w:tcBorders>
                    <w:tl2br w:val="nil"/>
                    <w:tr2bl w:val="nil"/>
                  </w:tcBorders>
                  <w:shd w:val="clear" w:color="auto" w:fill="auto"/>
                  <w:noWrap w:val="0"/>
                  <w:vAlign w:val="center"/>
                </w:tcPr>
                <w:p w14:paraId="1F33E8EA">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0.266</w:t>
                  </w:r>
                </w:p>
              </w:tc>
              <w:tc>
                <w:tcPr>
                  <w:tcW w:w="388" w:type="pct"/>
                  <w:tcBorders>
                    <w:tl2br w:val="nil"/>
                    <w:tr2bl w:val="nil"/>
                  </w:tcBorders>
                  <w:shd w:val="clear" w:color="auto" w:fill="auto"/>
                  <w:noWrap w:val="0"/>
                  <w:vAlign w:val="center"/>
                </w:tcPr>
                <w:p w14:paraId="081C9AA9">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0.13</w:t>
                  </w:r>
                </w:p>
              </w:tc>
              <w:tc>
                <w:tcPr>
                  <w:tcW w:w="360" w:type="pct"/>
                  <w:tcBorders>
                    <w:tl2br w:val="nil"/>
                    <w:tr2bl w:val="nil"/>
                  </w:tcBorders>
                  <w:shd w:val="clear" w:color="auto" w:fill="auto"/>
                  <w:noWrap w:val="0"/>
                  <w:vAlign w:val="center"/>
                </w:tcPr>
                <w:p w14:paraId="6513201D">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8</w:t>
                  </w:r>
                </w:p>
              </w:tc>
            </w:tr>
            <w:tr w14:paraId="24601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 w:type="pct"/>
                  <w:vMerge w:val="continue"/>
                  <w:tcBorders>
                    <w:tl2br w:val="nil"/>
                    <w:tr2bl w:val="nil"/>
                  </w:tcBorders>
                  <w:shd w:val="clear" w:color="auto" w:fill="auto"/>
                  <w:noWrap w:val="0"/>
                  <w:vAlign w:val="center"/>
                </w:tcPr>
                <w:p w14:paraId="740D4A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p>
              </w:tc>
              <w:tc>
                <w:tcPr>
                  <w:tcW w:w="847" w:type="pct"/>
                  <w:vMerge w:val="continue"/>
                  <w:tcBorders>
                    <w:tl2br w:val="nil"/>
                    <w:tr2bl w:val="nil"/>
                  </w:tcBorders>
                  <w:shd w:val="clear" w:color="auto" w:fill="auto"/>
                  <w:noWrap w:val="0"/>
                  <w:vAlign w:val="center"/>
                </w:tcPr>
                <w:p w14:paraId="5D1CE6CC">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p>
              </w:tc>
              <w:tc>
                <w:tcPr>
                  <w:tcW w:w="510" w:type="pct"/>
                  <w:tcBorders>
                    <w:tl2br w:val="nil"/>
                    <w:tr2bl w:val="nil"/>
                  </w:tcBorders>
                  <w:shd w:val="clear" w:color="auto" w:fill="FFFFFF"/>
                  <w:noWrap w:val="0"/>
                  <w:vAlign w:val="center"/>
                </w:tcPr>
                <w:p w14:paraId="6E1BDDCF">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Si</w:t>
                  </w:r>
                </w:p>
              </w:tc>
              <w:tc>
                <w:tcPr>
                  <w:tcW w:w="396" w:type="pct"/>
                  <w:tcBorders>
                    <w:tl2br w:val="nil"/>
                    <w:tr2bl w:val="nil"/>
                  </w:tcBorders>
                  <w:shd w:val="clear" w:color="auto" w:fill="auto"/>
                  <w:noWrap w:val="0"/>
                  <w:vAlign w:val="center"/>
                </w:tcPr>
                <w:p w14:paraId="1EB8120A">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0.1</w:t>
                  </w:r>
                </w:p>
              </w:tc>
              <w:tc>
                <w:tcPr>
                  <w:tcW w:w="546" w:type="pct"/>
                  <w:tcBorders>
                    <w:tl2br w:val="nil"/>
                    <w:tr2bl w:val="nil"/>
                  </w:tcBorders>
                  <w:shd w:val="clear" w:color="auto" w:fill="auto"/>
                  <w:noWrap w:val="0"/>
                  <w:vAlign w:val="center"/>
                </w:tcPr>
                <w:p w14:paraId="3A8B9CC7">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0.65</w:t>
                  </w:r>
                </w:p>
              </w:tc>
              <w:tc>
                <w:tcPr>
                  <w:tcW w:w="592" w:type="pct"/>
                  <w:tcBorders>
                    <w:tl2br w:val="nil"/>
                    <w:tr2bl w:val="nil"/>
                  </w:tcBorders>
                  <w:shd w:val="clear" w:color="auto" w:fill="auto"/>
                  <w:noWrap w:val="0"/>
                  <w:vAlign w:val="center"/>
                </w:tcPr>
                <w:p w14:paraId="173652DF">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0.658</w:t>
                  </w:r>
                </w:p>
              </w:tc>
              <w:tc>
                <w:tcPr>
                  <w:tcW w:w="510" w:type="pct"/>
                  <w:tcBorders>
                    <w:tl2br w:val="nil"/>
                    <w:tr2bl w:val="nil"/>
                  </w:tcBorders>
                  <w:shd w:val="clear" w:color="auto" w:fill="auto"/>
                  <w:noWrap w:val="0"/>
                  <w:vAlign w:val="center"/>
                </w:tcPr>
                <w:p w14:paraId="7FFAA3B3">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0.27</w:t>
                  </w:r>
                </w:p>
              </w:tc>
              <w:tc>
                <w:tcPr>
                  <w:tcW w:w="388" w:type="pct"/>
                  <w:tcBorders>
                    <w:tl2br w:val="nil"/>
                    <w:tr2bl w:val="nil"/>
                  </w:tcBorders>
                  <w:shd w:val="clear" w:color="auto" w:fill="auto"/>
                  <w:noWrap w:val="0"/>
                  <w:vAlign w:val="center"/>
                </w:tcPr>
                <w:p w14:paraId="6FA29EDE">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0.65</w:t>
                  </w:r>
                </w:p>
              </w:tc>
              <w:tc>
                <w:tcPr>
                  <w:tcW w:w="360" w:type="pct"/>
                  <w:tcBorders>
                    <w:tl2br w:val="nil"/>
                    <w:tr2bl w:val="nil"/>
                  </w:tcBorders>
                  <w:shd w:val="clear" w:color="auto" w:fill="auto"/>
                  <w:noWrap w:val="0"/>
                  <w:vAlign w:val="center"/>
                </w:tcPr>
                <w:p w14:paraId="426CEADF">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w:t>
                  </w:r>
                </w:p>
              </w:tc>
            </w:tr>
            <w:tr w14:paraId="2CFA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 w:type="pct"/>
                  <w:vMerge w:val="continue"/>
                  <w:tcBorders>
                    <w:tl2br w:val="nil"/>
                    <w:tr2bl w:val="nil"/>
                  </w:tcBorders>
                  <w:shd w:val="clear" w:color="auto" w:fill="FFFFFF"/>
                  <w:noWrap w:val="0"/>
                  <w:vAlign w:val="center"/>
                </w:tcPr>
                <w:p w14:paraId="35CF63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847" w:type="pct"/>
                  <w:vMerge w:val="restart"/>
                  <w:tcBorders>
                    <w:tl2br w:val="nil"/>
                    <w:tr2bl w:val="nil"/>
                  </w:tcBorders>
                  <w:shd w:val="clear" w:color="auto" w:fill="FFFFFF"/>
                  <w:noWrap w:val="0"/>
                  <w:vAlign w:val="center"/>
                </w:tcPr>
                <w:p w14:paraId="57398402">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W2</w:t>
                  </w:r>
                </w:p>
              </w:tc>
              <w:tc>
                <w:tcPr>
                  <w:tcW w:w="510" w:type="pct"/>
                  <w:tcBorders>
                    <w:tl2br w:val="nil"/>
                    <w:tr2bl w:val="nil"/>
                  </w:tcBorders>
                  <w:shd w:val="clear" w:color="auto" w:fill="auto"/>
                  <w:noWrap w:val="0"/>
                  <w:vAlign w:val="center"/>
                </w:tcPr>
                <w:p w14:paraId="50AEDC38">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Ci</w:t>
                  </w:r>
                </w:p>
              </w:tc>
              <w:tc>
                <w:tcPr>
                  <w:tcW w:w="396" w:type="pct"/>
                  <w:tcBorders>
                    <w:tl2br w:val="nil"/>
                    <w:tr2bl w:val="nil"/>
                  </w:tcBorders>
                  <w:shd w:val="clear" w:color="auto" w:fill="FFFFFF"/>
                  <w:noWrap w:val="0"/>
                  <w:vAlign w:val="center"/>
                </w:tcPr>
                <w:p w14:paraId="429AE60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7.2</w:t>
                  </w:r>
                </w:p>
              </w:tc>
              <w:tc>
                <w:tcPr>
                  <w:tcW w:w="546" w:type="pct"/>
                  <w:tcBorders>
                    <w:tl2br w:val="nil"/>
                    <w:tr2bl w:val="nil"/>
                  </w:tcBorders>
                  <w:shd w:val="clear" w:color="auto" w:fill="FFFFFF"/>
                  <w:noWrap w:val="0"/>
                  <w:vAlign w:val="center"/>
                </w:tcPr>
                <w:p w14:paraId="7276F19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w:t>
                  </w:r>
                </w:p>
              </w:tc>
              <w:tc>
                <w:tcPr>
                  <w:tcW w:w="592" w:type="pct"/>
                  <w:tcBorders>
                    <w:tl2br w:val="nil"/>
                    <w:tr2bl w:val="nil"/>
                  </w:tcBorders>
                  <w:shd w:val="clear" w:color="auto" w:fill="FFFFFF"/>
                  <w:noWrap w:val="0"/>
                  <w:vAlign w:val="center"/>
                </w:tcPr>
                <w:p w14:paraId="0022C7C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2.01</w:t>
                  </w:r>
                </w:p>
              </w:tc>
              <w:tc>
                <w:tcPr>
                  <w:tcW w:w="510" w:type="pct"/>
                  <w:tcBorders>
                    <w:tl2br w:val="nil"/>
                    <w:tr2bl w:val="nil"/>
                  </w:tcBorders>
                  <w:shd w:val="clear" w:color="auto" w:fill="FFFFFF"/>
                  <w:noWrap w:val="0"/>
                  <w:vAlign w:val="center"/>
                </w:tcPr>
                <w:p w14:paraId="293085E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2.92</w:t>
                  </w:r>
                </w:p>
              </w:tc>
              <w:tc>
                <w:tcPr>
                  <w:tcW w:w="388" w:type="pct"/>
                  <w:tcBorders>
                    <w:tl2br w:val="nil"/>
                    <w:tr2bl w:val="nil"/>
                  </w:tcBorders>
                  <w:shd w:val="clear" w:color="auto" w:fill="FFFFFF"/>
                  <w:noWrap w:val="0"/>
                  <w:vAlign w:val="center"/>
                </w:tcPr>
                <w:p w14:paraId="27A559DF">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w:t>
                  </w:r>
                </w:p>
              </w:tc>
              <w:tc>
                <w:tcPr>
                  <w:tcW w:w="360" w:type="pct"/>
                  <w:tcBorders>
                    <w:tl2br w:val="nil"/>
                    <w:tr2bl w:val="nil"/>
                  </w:tcBorders>
                  <w:shd w:val="clear" w:color="auto" w:fill="FFFFFF"/>
                  <w:noWrap w:val="0"/>
                  <w:vAlign w:val="center"/>
                </w:tcPr>
                <w:p w14:paraId="07DE213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w:t>
                  </w:r>
                </w:p>
              </w:tc>
            </w:tr>
            <w:tr w14:paraId="6496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 w:type="pct"/>
                  <w:vMerge w:val="continue"/>
                  <w:tcBorders>
                    <w:tl2br w:val="nil"/>
                    <w:tr2bl w:val="nil"/>
                  </w:tcBorders>
                  <w:shd w:val="clear" w:color="auto" w:fill="auto"/>
                  <w:noWrap w:val="0"/>
                  <w:vAlign w:val="center"/>
                </w:tcPr>
                <w:p w14:paraId="0C29BD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p>
              </w:tc>
              <w:tc>
                <w:tcPr>
                  <w:tcW w:w="847" w:type="pct"/>
                  <w:vMerge w:val="continue"/>
                  <w:tcBorders>
                    <w:tl2br w:val="nil"/>
                    <w:tr2bl w:val="nil"/>
                  </w:tcBorders>
                  <w:shd w:val="clear" w:color="auto" w:fill="auto"/>
                  <w:noWrap w:val="0"/>
                  <w:vAlign w:val="center"/>
                </w:tcPr>
                <w:p w14:paraId="0C7D413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p>
              </w:tc>
              <w:tc>
                <w:tcPr>
                  <w:tcW w:w="510" w:type="pct"/>
                  <w:tcBorders>
                    <w:tl2br w:val="nil"/>
                    <w:tr2bl w:val="nil"/>
                  </w:tcBorders>
                  <w:shd w:val="clear" w:color="auto" w:fill="FFFFFF"/>
                  <w:noWrap w:val="0"/>
                  <w:vAlign w:val="center"/>
                </w:tcPr>
                <w:p w14:paraId="02C9E4E2">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Si</w:t>
                  </w:r>
                </w:p>
              </w:tc>
              <w:tc>
                <w:tcPr>
                  <w:tcW w:w="396" w:type="pct"/>
                  <w:tcBorders>
                    <w:tl2br w:val="nil"/>
                    <w:tr2bl w:val="nil"/>
                  </w:tcBorders>
                  <w:shd w:val="clear" w:color="auto" w:fill="auto"/>
                  <w:noWrap w:val="0"/>
                  <w:vAlign w:val="center"/>
                </w:tcPr>
                <w:p w14:paraId="2A1656DF">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0.1</w:t>
                  </w:r>
                </w:p>
              </w:tc>
              <w:tc>
                <w:tcPr>
                  <w:tcW w:w="546" w:type="pct"/>
                  <w:tcBorders>
                    <w:tl2br w:val="nil"/>
                    <w:tr2bl w:val="nil"/>
                  </w:tcBorders>
                  <w:shd w:val="clear" w:color="auto" w:fill="auto"/>
                  <w:noWrap w:val="0"/>
                  <w:vAlign w:val="center"/>
                </w:tcPr>
                <w:p w14:paraId="68B208C7">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0.45</w:t>
                  </w:r>
                </w:p>
              </w:tc>
              <w:tc>
                <w:tcPr>
                  <w:tcW w:w="592" w:type="pct"/>
                  <w:tcBorders>
                    <w:tl2br w:val="nil"/>
                    <w:tr2bl w:val="nil"/>
                  </w:tcBorders>
                  <w:shd w:val="clear" w:color="auto" w:fill="auto"/>
                  <w:noWrap w:val="0"/>
                  <w:vAlign w:val="center"/>
                </w:tcPr>
                <w:p w14:paraId="0CB723E3">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0.503</w:t>
                  </w:r>
                </w:p>
              </w:tc>
              <w:tc>
                <w:tcPr>
                  <w:tcW w:w="510" w:type="pct"/>
                  <w:tcBorders>
                    <w:tl2br w:val="nil"/>
                    <w:tr2bl w:val="nil"/>
                  </w:tcBorders>
                  <w:shd w:val="clear" w:color="auto" w:fill="auto"/>
                  <w:noWrap w:val="0"/>
                  <w:vAlign w:val="center"/>
                </w:tcPr>
                <w:p w14:paraId="4E20EC4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0.29</w:t>
                  </w:r>
                </w:p>
              </w:tc>
              <w:tc>
                <w:tcPr>
                  <w:tcW w:w="388" w:type="pct"/>
                  <w:tcBorders>
                    <w:tl2br w:val="nil"/>
                    <w:tr2bl w:val="nil"/>
                  </w:tcBorders>
                  <w:shd w:val="clear" w:color="auto" w:fill="auto"/>
                  <w:noWrap w:val="0"/>
                  <w:vAlign w:val="center"/>
                </w:tcPr>
                <w:p w14:paraId="73F93536">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0.5</w:t>
                  </w:r>
                </w:p>
              </w:tc>
              <w:tc>
                <w:tcPr>
                  <w:tcW w:w="360" w:type="pct"/>
                  <w:tcBorders>
                    <w:tl2br w:val="nil"/>
                    <w:tr2bl w:val="nil"/>
                  </w:tcBorders>
                  <w:shd w:val="clear" w:color="auto" w:fill="auto"/>
                  <w:noWrap w:val="0"/>
                  <w:vAlign w:val="center"/>
                </w:tcPr>
                <w:p w14:paraId="56C441E6">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w:t>
                  </w:r>
                </w:p>
              </w:tc>
            </w:tr>
            <w:tr w14:paraId="08A4B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 w:type="pct"/>
                  <w:vMerge w:val="continue"/>
                  <w:tcBorders>
                    <w:tl2br w:val="nil"/>
                    <w:tr2bl w:val="nil"/>
                  </w:tcBorders>
                  <w:shd w:val="clear" w:color="auto" w:fill="auto"/>
                  <w:noWrap w:val="0"/>
                  <w:vAlign w:val="center"/>
                </w:tcPr>
                <w:p w14:paraId="265647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p>
              </w:tc>
              <w:tc>
                <w:tcPr>
                  <w:tcW w:w="847" w:type="pct"/>
                  <w:vMerge w:val="restart"/>
                  <w:tcBorders>
                    <w:tl2br w:val="nil"/>
                    <w:tr2bl w:val="nil"/>
                  </w:tcBorders>
                  <w:shd w:val="clear" w:color="auto" w:fill="auto"/>
                  <w:noWrap w:val="0"/>
                  <w:vAlign w:val="center"/>
                </w:tcPr>
                <w:p w14:paraId="6CD27629">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W3</w:t>
                  </w:r>
                </w:p>
              </w:tc>
              <w:tc>
                <w:tcPr>
                  <w:tcW w:w="510" w:type="pct"/>
                  <w:tcBorders>
                    <w:tl2br w:val="nil"/>
                    <w:tr2bl w:val="nil"/>
                  </w:tcBorders>
                  <w:shd w:val="clear" w:color="auto" w:fill="auto"/>
                  <w:noWrap w:val="0"/>
                  <w:vAlign w:val="center"/>
                </w:tcPr>
                <w:p w14:paraId="69C2C0E6">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Ci</w:t>
                  </w:r>
                </w:p>
              </w:tc>
              <w:tc>
                <w:tcPr>
                  <w:tcW w:w="396" w:type="pct"/>
                  <w:tcBorders>
                    <w:tl2br w:val="nil"/>
                    <w:tr2bl w:val="nil"/>
                  </w:tcBorders>
                  <w:shd w:val="clear" w:color="auto" w:fill="auto"/>
                  <w:noWrap w:val="0"/>
                  <w:vAlign w:val="center"/>
                </w:tcPr>
                <w:p w14:paraId="60C3B2A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7.3</w:t>
                  </w:r>
                </w:p>
              </w:tc>
              <w:tc>
                <w:tcPr>
                  <w:tcW w:w="546" w:type="pct"/>
                  <w:tcBorders>
                    <w:tl2br w:val="nil"/>
                    <w:tr2bl w:val="nil"/>
                  </w:tcBorders>
                  <w:shd w:val="clear" w:color="auto" w:fill="auto"/>
                  <w:noWrap w:val="0"/>
                  <w:vAlign w:val="center"/>
                </w:tcPr>
                <w:p w14:paraId="7B2BA371">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8</w:t>
                  </w:r>
                </w:p>
              </w:tc>
              <w:tc>
                <w:tcPr>
                  <w:tcW w:w="592" w:type="pct"/>
                  <w:tcBorders>
                    <w:tl2br w:val="nil"/>
                    <w:tr2bl w:val="nil"/>
                  </w:tcBorders>
                  <w:shd w:val="clear" w:color="auto" w:fill="auto"/>
                  <w:noWrap w:val="0"/>
                  <w:vAlign w:val="center"/>
                </w:tcPr>
                <w:p w14:paraId="76DF9AA5">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2.46</w:t>
                  </w:r>
                </w:p>
              </w:tc>
              <w:tc>
                <w:tcPr>
                  <w:tcW w:w="510" w:type="pct"/>
                  <w:tcBorders>
                    <w:tl2br w:val="nil"/>
                    <w:tr2bl w:val="nil"/>
                  </w:tcBorders>
                  <w:shd w:val="clear" w:color="auto" w:fill="auto"/>
                  <w:noWrap w:val="0"/>
                  <w:vAlign w:val="center"/>
                </w:tcPr>
                <w:p w14:paraId="4A267BE2">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0.345</w:t>
                  </w:r>
                </w:p>
              </w:tc>
              <w:tc>
                <w:tcPr>
                  <w:tcW w:w="388" w:type="pct"/>
                  <w:tcBorders>
                    <w:tl2br w:val="nil"/>
                    <w:tr2bl w:val="nil"/>
                  </w:tcBorders>
                  <w:shd w:val="clear" w:color="auto" w:fill="auto"/>
                  <w:noWrap w:val="0"/>
                  <w:vAlign w:val="center"/>
                </w:tcPr>
                <w:p w14:paraId="6CE50A70">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0.12</w:t>
                  </w:r>
                </w:p>
              </w:tc>
              <w:tc>
                <w:tcPr>
                  <w:tcW w:w="360" w:type="pct"/>
                  <w:tcBorders>
                    <w:tl2br w:val="nil"/>
                    <w:tr2bl w:val="nil"/>
                  </w:tcBorders>
                  <w:shd w:val="clear" w:color="auto" w:fill="auto"/>
                  <w:noWrap w:val="0"/>
                  <w:vAlign w:val="center"/>
                </w:tcPr>
                <w:p w14:paraId="2EF85B1C">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5</w:t>
                  </w:r>
                </w:p>
              </w:tc>
            </w:tr>
            <w:tr w14:paraId="5261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 w:type="pct"/>
                  <w:vMerge w:val="continue"/>
                  <w:tcBorders>
                    <w:tl2br w:val="nil"/>
                    <w:tr2bl w:val="nil"/>
                  </w:tcBorders>
                  <w:shd w:val="clear" w:color="auto" w:fill="FFFFFF"/>
                  <w:noWrap w:val="0"/>
                  <w:vAlign w:val="center"/>
                </w:tcPr>
                <w:p w14:paraId="0191A6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847" w:type="pct"/>
                  <w:vMerge w:val="continue"/>
                  <w:tcBorders>
                    <w:tl2br w:val="nil"/>
                    <w:tr2bl w:val="nil"/>
                  </w:tcBorders>
                  <w:shd w:val="clear" w:color="auto" w:fill="FFFFFF"/>
                  <w:noWrap w:val="0"/>
                  <w:vAlign w:val="center"/>
                </w:tcPr>
                <w:p w14:paraId="4E7BB98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10" w:type="pct"/>
                  <w:tcBorders>
                    <w:tl2br w:val="nil"/>
                    <w:tr2bl w:val="nil"/>
                  </w:tcBorders>
                  <w:shd w:val="clear" w:color="auto" w:fill="FFFFFF"/>
                  <w:noWrap w:val="0"/>
                  <w:vAlign w:val="center"/>
                </w:tcPr>
                <w:p w14:paraId="1B2A977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Si</w:t>
                  </w:r>
                </w:p>
              </w:tc>
              <w:tc>
                <w:tcPr>
                  <w:tcW w:w="396" w:type="pct"/>
                  <w:tcBorders>
                    <w:tl2br w:val="nil"/>
                    <w:tr2bl w:val="nil"/>
                  </w:tcBorders>
                  <w:shd w:val="clear" w:color="auto" w:fill="FFFFFF"/>
                  <w:noWrap w:val="0"/>
                  <w:vAlign w:val="center"/>
                </w:tcPr>
                <w:p w14:paraId="4CB3446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0.15</w:t>
                  </w:r>
                </w:p>
              </w:tc>
              <w:tc>
                <w:tcPr>
                  <w:tcW w:w="546" w:type="pct"/>
                  <w:tcBorders>
                    <w:tl2br w:val="nil"/>
                    <w:tr2bl w:val="nil"/>
                  </w:tcBorders>
                  <w:shd w:val="clear" w:color="auto" w:fill="FFFFFF"/>
                  <w:noWrap w:val="0"/>
                  <w:vAlign w:val="center"/>
                </w:tcPr>
                <w:p w14:paraId="725B9E9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0.4</w:t>
                  </w:r>
                </w:p>
              </w:tc>
              <w:tc>
                <w:tcPr>
                  <w:tcW w:w="592" w:type="pct"/>
                  <w:tcBorders>
                    <w:tl2br w:val="nil"/>
                    <w:tr2bl w:val="nil"/>
                  </w:tcBorders>
                  <w:shd w:val="clear" w:color="auto" w:fill="FFFFFF"/>
                  <w:noWrap w:val="0"/>
                  <w:vAlign w:val="center"/>
                </w:tcPr>
                <w:p w14:paraId="1F6A07CB">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0.615</w:t>
                  </w:r>
                </w:p>
              </w:tc>
              <w:tc>
                <w:tcPr>
                  <w:tcW w:w="510" w:type="pct"/>
                  <w:tcBorders>
                    <w:tl2br w:val="nil"/>
                    <w:tr2bl w:val="nil"/>
                  </w:tcBorders>
                  <w:shd w:val="clear" w:color="auto" w:fill="FFFFFF"/>
                  <w:noWrap w:val="0"/>
                  <w:vAlign w:val="center"/>
                </w:tcPr>
                <w:p w14:paraId="0339451B">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0.35</w:t>
                  </w:r>
                </w:p>
              </w:tc>
              <w:tc>
                <w:tcPr>
                  <w:tcW w:w="388" w:type="pct"/>
                  <w:tcBorders>
                    <w:tl2br w:val="nil"/>
                    <w:tr2bl w:val="nil"/>
                  </w:tcBorders>
                  <w:shd w:val="clear" w:color="auto" w:fill="FFFFFF"/>
                  <w:noWrap w:val="0"/>
                  <w:vAlign w:val="center"/>
                </w:tcPr>
                <w:p w14:paraId="22E32B3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0.6</w:t>
                  </w:r>
                </w:p>
              </w:tc>
              <w:tc>
                <w:tcPr>
                  <w:tcW w:w="360" w:type="pct"/>
                  <w:tcBorders>
                    <w:tl2br w:val="nil"/>
                    <w:tr2bl w:val="nil"/>
                  </w:tcBorders>
                  <w:shd w:val="clear" w:color="auto" w:fill="FFFFFF"/>
                  <w:noWrap w:val="0"/>
                  <w:vAlign w:val="center"/>
                </w:tcPr>
                <w:p w14:paraId="14A18AD3">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409C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 w:type="pct"/>
                  <w:vMerge w:val="continue"/>
                  <w:tcBorders>
                    <w:tl2br w:val="nil"/>
                    <w:tr2bl w:val="nil"/>
                  </w:tcBorders>
                  <w:shd w:val="clear" w:color="auto" w:fill="auto"/>
                  <w:noWrap w:val="0"/>
                  <w:vAlign w:val="center"/>
                </w:tcPr>
                <w:p w14:paraId="73409A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p>
              </w:tc>
              <w:tc>
                <w:tcPr>
                  <w:tcW w:w="847" w:type="pct"/>
                  <w:vMerge w:val="restart"/>
                  <w:tcBorders>
                    <w:tl2br w:val="nil"/>
                    <w:tr2bl w:val="nil"/>
                  </w:tcBorders>
                  <w:shd w:val="clear" w:color="auto" w:fill="auto"/>
                  <w:noWrap w:val="0"/>
                  <w:vAlign w:val="center"/>
                </w:tcPr>
                <w:p w14:paraId="7BBFD67F">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W4</w:t>
                  </w:r>
                </w:p>
              </w:tc>
              <w:tc>
                <w:tcPr>
                  <w:tcW w:w="510" w:type="pct"/>
                  <w:tcBorders>
                    <w:tl2br w:val="nil"/>
                    <w:tr2bl w:val="nil"/>
                  </w:tcBorders>
                  <w:shd w:val="clear" w:color="auto" w:fill="auto"/>
                  <w:noWrap w:val="0"/>
                  <w:vAlign w:val="center"/>
                </w:tcPr>
                <w:p w14:paraId="79EEAE25">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Ci</w:t>
                  </w:r>
                </w:p>
              </w:tc>
              <w:tc>
                <w:tcPr>
                  <w:tcW w:w="396" w:type="pct"/>
                  <w:tcBorders>
                    <w:tl2br w:val="nil"/>
                    <w:tr2bl w:val="nil"/>
                  </w:tcBorders>
                  <w:shd w:val="clear" w:color="auto" w:fill="auto"/>
                  <w:noWrap w:val="0"/>
                  <w:vAlign w:val="center"/>
                </w:tcPr>
                <w:p w14:paraId="6C2BEE85">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7.3</w:t>
                  </w:r>
                </w:p>
              </w:tc>
              <w:tc>
                <w:tcPr>
                  <w:tcW w:w="546" w:type="pct"/>
                  <w:tcBorders>
                    <w:tl2br w:val="nil"/>
                    <w:tr2bl w:val="nil"/>
                  </w:tcBorders>
                  <w:shd w:val="clear" w:color="auto" w:fill="auto"/>
                  <w:noWrap w:val="0"/>
                  <w:vAlign w:val="center"/>
                </w:tcPr>
                <w:p w14:paraId="5740FDF9">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6</w:t>
                  </w:r>
                </w:p>
              </w:tc>
              <w:tc>
                <w:tcPr>
                  <w:tcW w:w="592" w:type="pct"/>
                  <w:tcBorders>
                    <w:tl2br w:val="nil"/>
                    <w:tr2bl w:val="nil"/>
                  </w:tcBorders>
                  <w:shd w:val="clear" w:color="auto" w:fill="auto"/>
                  <w:noWrap w:val="0"/>
                  <w:vAlign w:val="center"/>
                </w:tcPr>
                <w:p w14:paraId="7CC03119">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2.33</w:t>
                  </w:r>
                </w:p>
              </w:tc>
              <w:tc>
                <w:tcPr>
                  <w:tcW w:w="510" w:type="pct"/>
                  <w:tcBorders>
                    <w:tl2br w:val="nil"/>
                    <w:tr2bl w:val="nil"/>
                  </w:tcBorders>
                  <w:shd w:val="clear" w:color="auto" w:fill="auto"/>
                  <w:noWrap w:val="0"/>
                  <w:vAlign w:val="center"/>
                </w:tcPr>
                <w:p w14:paraId="74BFA6E5">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0.478</w:t>
                  </w:r>
                </w:p>
              </w:tc>
              <w:tc>
                <w:tcPr>
                  <w:tcW w:w="388" w:type="pct"/>
                  <w:tcBorders>
                    <w:tl2br w:val="nil"/>
                    <w:tr2bl w:val="nil"/>
                  </w:tcBorders>
                  <w:shd w:val="clear" w:color="auto" w:fill="auto"/>
                  <w:noWrap w:val="0"/>
                  <w:vAlign w:val="center"/>
                </w:tcPr>
                <w:p w14:paraId="6897D9EE">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0.09</w:t>
                  </w:r>
                </w:p>
              </w:tc>
              <w:tc>
                <w:tcPr>
                  <w:tcW w:w="360" w:type="pct"/>
                  <w:tcBorders>
                    <w:tl2br w:val="nil"/>
                    <w:tr2bl w:val="nil"/>
                  </w:tcBorders>
                  <w:shd w:val="clear" w:color="auto" w:fill="auto"/>
                  <w:noWrap w:val="0"/>
                  <w:vAlign w:val="center"/>
                </w:tcPr>
                <w:p w14:paraId="7C0B351C">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7</w:t>
                  </w:r>
                </w:p>
              </w:tc>
            </w:tr>
            <w:tr w14:paraId="6CD08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 w:type="pct"/>
                  <w:vMerge w:val="continue"/>
                  <w:tcBorders>
                    <w:tl2br w:val="nil"/>
                    <w:tr2bl w:val="nil"/>
                  </w:tcBorders>
                  <w:shd w:val="clear" w:color="auto" w:fill="auto"/>
                  <w:noWrap w:val="0"/>
                  <w:vAlign w:val="center"/>
                </w:tcPr>
                <w:p w14:paraId="361193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p>
              </w:tc>
              <w:tc>
                <w:tcPr>
                  <w:tcW w:w="847" w:type="pct"/>
                  <w:vMerge w:val="continue"/>
                  <w:tcBorders>
                    <w:tl2br w:val="nil"/>
                    <w:tr2bl w:val="nil"/>
                  </w:tcBorders>
                  <w:shd w:val="clear" w:color="auto" w:fill="auto"/>
                  <w:noWrap w:val="0"/>
                  <w:vAlign w:val="center"/>
                </w:tcPr>
                <w:p w14:paraId="53B76C0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p>
              </w:tc>
              <w:tc>
                <w:tcPr>
                  <w:tcW w:w="510" w:type="pct"/>
                  <w:tcBorders>
                    <w:tl2br w:val="nil"/>
                    <w:tr2bl w:val="nil"/>
                  </w:tcBorders>
                  <w:shd w:val="clear" w:color="auto" w:fill="FFFFFF"/>
                  <w:noWrap w:val="0"/>
                  <w:vAlign w:val="center"/>
                </w:tcPr>
                <w:p w14:paraId="1B6CF95B">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Si</w:t>
                  </w:r>
                </w:p>
              </w:tc>
              <w:tc>
                <w:tcPr>
                  <w:tcW w:w="396" w:type="pct"/>
                  <w:tcBorders>
                    <w:tl2br w:val="nil"/>
                    <w:tr2bl w:val="nil"/>
                  </w:tcBorders>
                  <w:shd w:val="clear" w:color="auto" w:fill="auto"/>
                  <w:noWrap w:val="0"/>
                  <w:vAlign w:val="center"/>
                </w:tcPr>
                <w:p w14:paraId="2F09EB3E">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0.15</w:t>
                  </w:r>
                </w:p>
              </w:tc>
              <w:tc>
                <w:tcPr>
                  <w:tcW w:w="546" w:type="pct"/>
                  <w:tcBorders>
                    <w:tl2br w:val="nil"/>
                    <w:tr2bl w:val="nil"/>
                  </w:tcBorders>
                  <w:shd w:val="clear" w:color="auto" w:fill="auto"/>
                  <w:noWrap w:val="0"/>
                  <w:vAlign w:val="center"/>
                </w:tcPr>
                <w:p w14:paraId="5821C11A">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0.3</w:t>
                  </w:r>
                </w:p>
              </w:tc>
              <w:tc>
                <w:tcPr>
                  <w:tcW w:w="592" w:type="pct"/>
                  <w:tcBorders>
                    <w:tl2br w:val="nil"/>
                    <w:tr2bl w:val="nil"/>
                  </w:tcBorders>
                  <w:shd w:val="clear" w:color="auto" w:fill="auto"/>
                  <w:noWrap w:val="0"/>
                  <w:vAlign w:val="center"/>
                </w:tcPr>
                <w:p w14:paraId="3CE75DFC">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0.583</w:t>
                  </w:r>
                </w:p>
              </w:tc>
              <w:tc>
                <w:tcPr>
                  <w:tcW w:w="510" w:type="pct"/>
                  <w:tcBorders>
                    <w:tl2br w:val="nil"/>
                    <w:tr2bl w:val="nil"/>
                  </w:tcBorders>
                  <w:shd w:val="clear" w:color="auto" w:fill="auto"/>
                  <w:noWrap w:val="0"/>
                  <w:vAlign w:val="center"/>
                </w:tcPr>
                <w:p w14:paraId="4ED407FD">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0.48</w:t>
                  </w:r>
                </w:p>
              </w:tc>
              <w:tc>
                <w:tcPr>
                  <w:tcW w:w="388" w:type="pct"/>
                  <w:tcBorders>
                    <w:tl2br w:val="nil"/>
                    <w:tr2bl w:val="nil"/>
                  </w:tcBorders>
                  <w:shd w:val="clear" w:color="auto" w:fill="auto"/>
                  <w:noWrap w:val="0"/>
                  <w:vAlign w:val="center"/>
                </w:tcPr>
                <w:p w14:paraId="20040107">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bidi="ar-SA"/>
                    </w:rPr>
                    <w:t>0.45</w:t>
                  </w:r>
                </w:p>
              </w:tc>
              <w:tc>
                <w:tcPr>
                  <w:tcW w:w="360" w:type="pct"/>
                  <w:tcBorders>
                    <w:tl2br w:val="nil"/>
                    <w:tr2bl w:val="nil"/>
                  </w:tcBorders>
                  <w:shd w:val="clear" w:color="auto" w:fill="auto"/>
                  <w:noWrap w:val="0"/>
                  <w:vAlign w:val="center"/>
                </w:tcPr>
                <w:p w14:paraId="345FAC42">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r>
            <w:bookmarkEnd w:id="9"/>
            <w:bookmarkEnd w:id="10"/>
          </w:tbl>
          <w:p w14:paraId="4C91397F">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eastAsia"/>
                <w:color w:val="auto"/>
                <w:sz w:val="24"/>
                <w:szCs w:val="24"/>
                <w:highlight w:val="none"/>
                <w:lang w:val="zh-CN" w:eastAsia="zh-CN"/>
              </w:rPr>
            </w:pPr>
            <w:r>
              <w:rPr>
                <w:rFonts w:hint="eastAsia"/>
                <w:color w:val="auto"/>
                <w:sz w:val="24"/>
                <w:szCs w:val="24"/>
                <w:highlight w:val="none"/>
              </w:rPr>
              <w:t>由上表监测数据表明，</w:t>
            </w:r>
            <w:r>
              <w:rPr>
                <w:rFonts w:hint="eastAsia"/>
                <w:color w:val="auto"/>
                <w:sz w:val="24"/>
                <w:szCs w:val="24"/>
                <w:highlight w:val="none"/>
                <w:lang w:val="en-US" w:eastAsia="zh-CN"/>
              </w:rPr>
              <w:t>在采样监测期间淮河水质均能满足《地表水环境质量标准》（GB3838-2002）中</w:t>
            </w:r>
            <w:r>
              <w:rPr>
                <w:rFonts w:hint="default" w:ascii="Times New Roman" w:hAnsi="Times New Roman" w:cs="Times New Roman"/>
                <w:color w:val="auto"/>
                <w:sz w:val="24"/>
                <w:szCs w:val="24"/>
                <w:highlight w:val="none"/>
                <w:lang w:val="en-US" w:eastAsia="zh-CN"/>
              </w:rPr>
              <w:t>Ⅲ</w:t>
            </w:r>
            <w:r>
              <w:rPr>
                <w:rFonts w:hint="eastAsia"/>
                <w:color w:val="auto"/>
                <w:sz w:val="24"/>
                <w:szCs w:val="24"/>
                <w:highlight w:val="none"/>
                <w:lang w:val="en-US" w:eastAsia="zh-CN"/>
              </w:rPr>
              <w:t>类水体功能。</w:t>
            </w:r>
          </w:p>
          <w:p w14:paraId="042F4A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lang w:val="en-US" w:eastAsia="zh-CN"/>
              </w:rPr>
              <w:t>3</w:t>
            </w:r>
            <w:r>
              <w:rPr>
                <w:rFonts w:hint="default" w:ascii="Times New Roman" w:hAnsi="Times New Roman" w:eastAsia="宋体" w:cs="Times New Roman"/>
                <w:b/>
                <w:bCs/>
                <w:color w:val="auto"/>
                <w:sz w:val="24"/>
                <w:szCs w:val="32"/>
                <w:highlight w:val="none"/>
              </w:rPr>
              <w:t>、声环境</w:t>
            </w:r>
          </w:p>
          <w:p w14:paraId="6AF42B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olor w:val="auto"/>
                <w:sz w:val="24"/>
                <w:szCs w:val="24"/>
                <w:highlight w:val="none"/>
              </w:rPr>
            </w:pPr>
            <w:r>
              <w:rPr>
                <w:rFonts w:hint="eastAsia"/>
                <w:color w:val="auto"/>
                <w:sz w:val="24"/>
                <w:szCs w:val="24"/>
                <w:highlight w:val="none"/>
                <w:lang w:val="en-US" w:eastAsia="zh-CN"/>
              </w:rPr>
              <w:t>本</w:t>
            </w:r>
            <w:r>
              <w:rPr>
                <w:rFonts w:hint="eastAsia" w:ascii="Times New Roman" w:hAnsi="Times New Roman"/>
                <w:color w:val="auto"/>
                <w:sz w:val="24"/>
                <w:szCs w:val="24"/>
                <w:highlight w:val="none"/>
              </w:rPr>
              <w:t>项目位于</w:t>
            </w:r>
            <w:r>
              <w:rPr>
                <w:rFonts w:hint="eastAsia"/>
                <w:color w:val="auto"/>
                <w:sz w:val="24"/>
                <w:szCs w:val="24"/>
                <w:highlight w:val="none"/>
                <w:lang w:val="en-US" w:eastAsia="zh-CN"/>
              </w:rPr>
              <w:t>五河县城南工业园区工业五路中段南侧</w:t>
            </w:r>
            <w:r>
              <w:rPr>
                <w:rFonts w:hint="eastAsia" w:ascii="Times New Roman" w:hAnsi="Times New Roman"/>
                <w:color w:val="auto"/>
                <w:sz w:val="24"/>
                <w:szCs w:val="24"/>
                <w:highlight w:val="none"/>
              </w:rPr>
              <w:t>，根据现场勘查和调查，厂区周边50m范围内无声环境保护目标。根据生态环境部办公厅2020年12月24日印发的“关于《建设项目环境影响报告表》内容、格式及编制技术指南的通知”，厂界外50m范围内不存在声环境保护目标的建设项目，可不进行现场噪声监测。</w:t>
            </w:r>
          </w:p>
          <w:p w14:paraId="008F0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Style w:val="331"/>
                <w:rFonts w:hint="default" w:ascii="Times New Roman" w:hAnsi="Times New Roman"/>
                <w:b/>
                <w:color w:val="auto"/>
                <w:highlight w:val="none"/>
              </w:rPr>
            </w:pPr>
            <w:r>
              <w:rPr>
                <w:rStyle w:val="347"/>
                <w:rFonts w:ascii="Times New Roman" w:hAnsi="Times New Roman"/>
                <w:b/>
                <w:color w:val="auto"/>
                <w:highlight w:val="none"/>
              </w:rPr>
              <w:t>4</w:t>
            </w:r>
            <w:r>
              <w:rPr>
                <w:rStyle w:val="331"/>
                <w:rFonts w:hint="default" w:ascii="Times New Roman" w:hAnsi="Times New Roman"/>
                <w:b/>
                <w:color w:val="auto"/>
                <w:highlight w:val="none"/>
              </w:rPr>
              <w:t>、生态环境</w:t>
            </w:r>
          </w:p>
          <w:p w14:paraId="6B088BB3">
            <w:pPr>
              <w:keepNext w:val="0"/>
              <w:keepLines w:val="0"/>
              <w:suppressLineNumbers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pacing w:val="0"/>
                <w:w w:val="100"/>
                <w:kern w:val="2"/>
                <w:sz w:val="24"/>
                <w:szCs w:val="24"/>
                <w:highlight w:val="none"/>
                <w:lang w:val="en-US" w:eastAsia="zh-CN" w:bidi="ar-SA"/>
              </w:rPr>
            </w:pPr>
            <w:r>
              <w:rPr>
                <w:rFonts w:hint="default" w:ascii="Times New Roman" w:hAnsi="Times New Roman" w:eastAsia="宋体" w:cs="Times New Roman"/>
                <w:color w:val="auto"/>
                <w:spacing w:val="0"/>
                <w:w w:val="100"/>
                <w:kern w:val="2"/>
                <w:sz w:val="24"/>
                <w:szCs w:val="24"/>
                <w:highlight w:val="none"/>
                <w:lang w:val="en-US" w:eastAsia="zh-CN" w:bidi="ar-SA"/>
              </w:rPr>
              <w:t>根据《建设项目环境影响报告表编制技术指南（污染影响类）（试行）》</w:t>
            </w:r>
            <w:r>
              <w:rPr>
                <w:rFonts w:hint="eastAsia" w:ascii="Times New Roman" w:hAnsi="Times New Roman" w:eastAsia="宋体" w:cs="Times New Roman"/>
                <w:color w:val="auto"/>
                <w:spacing w:val="0"/>
                <w:w w:val="100"/>
                <w:kern w:val="2"/>
                <w:sz w:val="24"/>
                <w:szCs w:val="24"/>
                <w:highlight w:val="none"/>
                <w:lang w:val="en-US" w:eastAsia="zh-CN" w:bidi="ar-SA"/>
              </w:rPr>
              <w:t>：“</w:t>
            </w:r>
            <w:r>
              <w:rPr>
                <w:rFonts w:hint="default" w:ascii="Times New Roman" w:hAnsi="Times New Roman" w:eastAsia="宋体" w:cs="Times New Roman"/>
                <w:color w:val="auto"/>
                <w:spacing w:val="0"/>
                <w:w w:val="100"/>
                <w:kern w:val="2"/>
                <w:sz w:val="24"/>
                <w:szCs w:val="24"/>
                <w:highlight w:val="none"/>
                <w:lang w:val="en-US" w:eastAsia="zh-CN" w:bidi="ar-SA"/>
              </w:rPr>
              <w:t>产业园区外建设项目新增用地且用地范围内含有生态环境保护目标时，应进行生态现状调查</w:t>
            </w:r>
            <w:r>
              <w:rPr>
                <w:rFonts w:hint="eastAsia" w:ascii="Times New Roman" w:hAnsi="Times New Roman" w:eastAsia="宋体" w:cs="Times New Roman"/>
                <w:color w:val="auto"/>
                <w:spacing w:val="0"/>
                <w:w w:val="100"/>
                <w:kern w:val="2"/>
                <w:sz w:val="24"/>
                <w:szCs w:val="24"/>
                <w:highlight w:val="none"/>
                <w:lang w:val="en-US" w:eastAsia="zh-CN" w:bidi="ar-SA"/>
              </w:rPr>
              <w:t>”。本</w:t>
            </w:r>
            <w:r>
              <w:rPr>
                <w:rFonts w:hint="default" w:ascii="Times New Roman" w:hAnsi="Times New Roman" w:eastAsia="宋体" w:cs="Times New Roman"/>
                <w:color w:val="auto"/>
                <w:spacing w:val="0"/>
                <w:w w:val="100"/>
                <w:kern w:val="2"/>
                <w:sz w:val="24"/>
                <w:szCs w:val="24"/>
                <w:highlight w:val="none"/>
                <w:lang w:val="en-US" w:eastAsia="zh-CN" w:bidi="ar-SA"/>
              </w:rPr>
              <w:t>项目位于</w:t>
            </w:r>
            <w:r>
              <w:rPr>
                <w:rFonts w:hint="eastAsia"/>
                <w:color w:val="auto"/>
                <w:sz w:val="24"/>
                <w:szCs w:val="24"/>
                <w:highlight w:val="none"/>
                <w:lang w:val="en-US" w:eastAsia="zh-CN"/>
              </w:rPr>
              <w:t>五河县城南工业园区工业五路中段南侧</w:t>
            </w:r>
            <w:r>
              <w:rPr>
                <w:rFonts w:hint="eastAsia" w:ascii="Times New Roman" w:hAnsi="Times New Roman" w:eastAsia="宋体" w:cs="Times New Roman"/>
                <w:color w:val="auto"/>
                <w:spacing w:val="0"/>
                <w:w w:val="100"/>
                <w:kern w:val="2"/>
                <w:sz w:val="24"/>
                <w:szCs w:val="24"/>
                <w:highlight w:val="none"/>
                <w:lang w:val="en-US" w:eastAsia="zh-CN" w:bidi="ar-SA"/>
              </w:rPr>
              <w:t>，</w:t>
            </w:r>
            <w:r>
              <w:rPr>
                <w:rFonts w:hint="eastAsia" w:cs="Times New Roman"/>
                <w:color w:val="auto"/>
                <w:spacing w:val="0"/>
                <w:w w:val="100"/>
                <w:kern w:val="2"/>
                <w:sz w:val="24"/>
                <w:szCs w:val="24"/>
                <w:highlight w:val="none"/>
                <w:lang w:val="en-US" w:eastAsia="zh-CN" w:bidi="ar-SA"/>
              </w:rPr>
              <w:t>不新增用地且</w:t>
            </w:r>
            <w:r>
              <w:rPr>
                <w:rFonts w:hint="eastAsia" w:ascii="Times New Roman" w:hAnsi="Times New Roman" w:eastAsia="宋体" w:cs="Times New Roman"/>
                <w:color w:val="auto"/>
                <w:spacing w:val="0"/>
                <w:w w:val="100"/>
                <w:kern w:val="2"/>
                <w:sz w:val="24"/>
                <w:szCs w:val="24"/>
                <w:highlight w:val="none"/>
                <w:lang w:val="en-US" w:eastAsia="zh-CN" w:bidi="ar-SA"/>
              </w:rPr>
              <w:t>厂区占地及</w:t>
            </w:r>
            <w:r>
              <w:rPr>
                <w:rFonts w:hint="default" w:ascii="Times New Roman" w:hAnsi="Times New Roman" w:eastAsia="宋体" w:cs="Times New Roman"/>
                <w:color w:val="auto"/>
                <w:spacing w:val="0"/>
                <w:w w:val="100"/>
                <w:kern w:val="2"/>
                <w:sz w:val="24"/>
                <w:szCs w:val="24"/>
                <w:highlight w:val="none"/>
                <w:lang w:val="en-US" w:eastAsia="zh-CN" w:bidi="ar-SA"/>
              </w:rPr>
              <w:t>周边无生态环境保护目标，无需进行生态现状调查。</w:t>
            </w:r>
          </w:p>
          <w:p w14:paraId="03940EB3">
            <w:pPr>
              <w:keepNext w:val="0"/>
              <w:keepLines w:val="0"/>
              <w:widowControl/>
              <w:suppressLineNumbers w:val="0"/>
              <w:spacing w:before="0" w:beforeAutospacing="0" w:after="0" w:afterAutospacing="0" w:line="360" w:lineRule="auto"/>
              <w:ind w:left="0" w:right="0" w:firstLine="482" w:firstLineChars="200"/>
              <w:jc w:val="left"/>
              <w:rPr>
                <w:rStyle w:val="331"/>
                <w:rFonts w:hint="default" w:ascii="Times New Roman" w:hAnsi="Times New Roman"/>
                <w:b/>
                <w:color w:val="auto"/>
                <w:highlight w:val="none"/>
              </w:rPr>
            </w:pPr>
            <w:r>
              <w:rPr>
                <w:rStyle w:val="347"/>
                <w:rFonts w:ascii="Times New Roman" w:hAnsi="Times New Roman"/>
                <w:b/>
                <w:color w:val="auto"/>
                <w:highlight w:val="none"/>
              </w:rPr>
              <w:t>5</w:t>
            </w:r>
            <w:r>
              <w:rPr>
                <w:rStyle w:val="331"/>
                <w:rFonts w:hint="default" w:ascii="Times New Roman" w:hAnsi="Times New Roman"/>
                <w:b/>
                <w:color w:val="auto"/>
                <w:highlight w:val="none"/>
              </w:rPr>
              <w:t>、电磁辐射</w:t>
            </w:r>
          </w:p>
          <w:p w14:paraId="273E951C">
            <w:pPr>
              <w:keepNext w:val="0"/>
              <w:keepLines w:val="0"/>
              <w:widowControl/>
              <w:suppressLineNumbers w:val="0"/>
              <w:spacing w:before="0" w:beforeAutospacing="0" w:after="0" w:afterAutospacing="0" w:line="360" w:lineRule="auto"/>
              <w:ind w:left="0" w:right="0" w:firstLine="480" w:firstLineChars="200"/>
              <w:jc w:val="left"/>
              <w:rPr>
                <w:rStyle w:val="331"/>
                <w:rFonts w:hint="default" w:ascii="Times New Roman" w:hAnsi="Times New Roman"/>
                <w:color w:val="auto"/>
                <w:highlight w:val="none"/>
              </w:rPr>
            </w:pPr>
            <w:r>
              <w:rPr>
                <w:rStyle w:val="331"/>
                <w:rFonts w:hint="default" w:ascii="Times New Roman" w:hAnsi="Times New Roman"/>
                <w:color w:val="auto"/>
                <w:highlight w:val="none"/>
              </w:rPr>
              <w:t>无电磁辐射影响。</w:t>
            </w:r>
          </w:p>
          <w:p w14:paraId="0494C628">
            <w:pPr>
              <w:keepNext w:val="0"/>
              <w:keepLines w:val="0"/>
              <w:widowControl/>
              <w:numPr>
                <w:ilvl w:val="0"/>
                <w:numId w:val="7"/>
              </w:numPr>
              <w:suppressLineNumbers w:val="0"/>
              <w:spacing w:before="0" w:beforeAutospacing="0" w:after="0" w:afterAutospacing="0" w:line="360" w:lineRule="auto"/>
              <w:ind w:left="0" w:right="0" w:firstLine="482" w:firstLineChars="200"/>
              <w:jc w:val="left"/>
              <w:rPr>
                <w:rStyle w:val="331"/>
                <w:rFonts w:hint="default" w:ascii="Times New Roman" w:hAnsi="Times New Roman"/>
                <w:b/>
                <w:color w:val="auto"/>
                <w:highlight w:val="none"/>
              </w:rPr>
            </w:pPr>
            <w:r>
              <w:rPr>
                <w:rStyle w:val="331"/>
                <w:rFonts w:hint="eastAsia" w:ascii="Times New Roman" w:hAnsi="Times New Roman" w:eastAsia="宋体" w:cs="Times New Roman"/>
                <w:b/>
                <w:color w:val="auto"/>
                <w:highlight w:val="none"/>
              </w:rPr>
              <w:t>地下水、</w:t>
            </w:r>
            <w:r>
              <w:rPr>
                <w:rStyle w:val="331"/>
                <w:rFonts w:hint="default" w:ascii="Times New Roman" w:hAnsi="Times New Roman" w:eastAsia="宋体" w:cs="Times New Roman"/>
                <w:b/>
                <w:color w:val="auto"/>
                <w:highlight w:val="none"/>
              </w:rPr>
              <w:t>土</w:t>
            </w:r>
            <w:r>
              <w:rPr>
                <w:rStyle w:val="331"/>
                <w:rFonts w:hint="default" w:ascii="Times New Roman" w:hAnsi="Times New Roman"/>
                <w:b/>
                <w:color w:val="auto"/>
                <w:highlight w:val="none"/>
              </w:rPr>
              <w:t>壤环境质量现状</w:t>
            </w:r>
          </w:p>
          <w:p w14:paraId="7C0739AE">
            <w:pPr>
              <w:pStyle w:val="16"/>
              <w:keepNext w:val="0"/>
              <w:keepLines w:val="0"/>
              <w:suppressLineNumbers w:val="0"/>
              <w:spacing w:before="0" w:beforeAutospacing="0" w:after="0" w:afterAutospacing="0" w:line="360" w:lineRule="auto"/>
              <w:ind w:left="0" w:leftChars="0" w:right="0" w:firstLine="480"/>
              <w:rPr>
                <w:rFonts w:hint="default" w:ascii="Times New Roman" w:hAnsi="Times New Roman" w:eastAsia="宋体" w:cs="Times New Roman"/>
                <w:color w:val="auto"/>
                <w:sz w:val="24"/>
                <w:szCs w:val="24"/>
                <w:highlight w:val="none"/>
              </w:rPr>
            </w:pPr>
            <w:r>
              <w:rPr>
                <w:rStyle w:val="331"/>
                <w:rFonts w:hint="default" w:ascii="Times New Roman" w:hAnsi="Times New Roman"/>
                <w:color w:val="auto"/>
                <w:highlight w:val="none"/>
              </w:rPr>
              <w:t>根据《建设项目环境影响报告表编制技术指南（污染影响类）》要求，污染影响类建设项目原则上不开展地下水和土壤环境的环境质量现状调查。项目不涉及有毒有害和重金属化学品，运营期大气污染源主要为</w:t>
            </w:r>
            <w:r>
              <w:rPr>
                <w:rStyle w:val="331"/>
                <w:rFonts w:hint="eastAsia"/>
                <w:color w:val="auto"/>
                <w:highlight w:val="none"/>
                <w:lang w:val="en-US" w:eastAsia="zh-CN"/>
              </w:rPr>
              <w:t>投料粉尘、注塑浇注废气、脱模剂</w:t>
            </w:r>
            <w:r>
              <w:rPr>
                <w:rStyle w:val="331"/>
                <w:rFonts w:hint="default"/>
                <w:color w:val="auto"/>
                <w:highlight w:val="none"/>
              </w:rPr>
              <w:t>废气</w:t>
            </w:r>
            <w:r>
              <w:rPr>
                <w:rStyle w:val="331"/>
                <w:rFonts w:hint="eastAsia"/>
                <w:color w:val="auto"/>
                <w:highlight w:val="none"/>
                <w:lang w:val="en-US" w:eastAsia="zh-CN"/>
              </w:rPr>
              <w:t>等</w:t>
            </w:r>
            <w:r>
              <w:rPr>
                <w:rStyle w:val="331"/>
                <w:rFonts w:hint="default" w:ascii="Times New Roman" w:hAnsi="Times New Roman"/>
                <w:color w:val="auto"/>
                <w:highlight w:val="none"/>
              </w:rPr>
              <w:t>，不排放《有毒有害大气污染物名录》中的有毒有害污染物和易在土壤中沉积的重金属等大气污染物。</w:t>
            </w:r>
            <w:r>
              <w:rPr>
                <w:rStyle w:val="331"/>
                <w:rFonts w:hint="default"/>
                <w:color w:val="auto"/>
                <w:highlight w:val="none"/>
              </w:rPr>
              <w:t>本</w:t>
            </w:r>
            <w:r>
              <w:rPr>
                <w:rStyle w:val="331"/>
                <w:rFonts w:hint="eastAsia"/>
                <w:color w:val="auto"/>
                <w:highlight w:val="none"/>
                <w:lang w:val="en-US" w:eastAsia="zh-CN"/>
              </w:rPr>
              <w:t>项目食堂废水经化粪池、</w:t>
            </w:r>
            <w:r>
              <w:rPr>
                <w:rStyle w:val="331"/>
                <w:rFonts w:hint="eastAsia" w:eastAsia="宋体"/>
                <w:color w:val="auto"/>
                <w:highlight w:val="none"/>
                <w:lang w:eastAsia="zh-CN"/>
              </w:rPr>
              <w:t>生活污水经化粪池</w:t>
            </w:r>
            <w:r>
              <w:rPr>
                <w:rStyle w:val="331"/>
                <w:rFonts w:hint="eastAsia"/>
                <w:color w:val="auto"/>
                <w:highlight w:val="none"/>
                <w:lang w:val="en-US" w:eastAsia="zh-CN"/>
              </w:rPr>
              <w:t>预处理后和地坪保洁废水一并</w:t>
            </w:r>
            <w:r>
              <w:rPr>
                <w:rStyle w:val="331"/>
                <w:rFonts w:hint="eastAsia" w:eastAsia="宋体"/>
                <w:color w:val="auto"/>
                <w:highlight w:val="none"/>
                <w:lang w:eastAsia="zh-CN"/>
              </w:rPr>
              <w:t>接管</w:t>
            </w:r>
            <w:r>
              <w:rPr>
                <w:rFonts w:hint="eastAsia" w:cs="Times New Roman"/>
                <w:color w:val="auto"/>
                <w:sz w:val="24"/>
                <w:szCs w:val="24"/>
                <w:highlight w:val="none"/>
                <w:lang w:val="en-US" w:eastAsia="zh-CN"/>
              </w:rPr>
              <w:t>五河县城南</w:t>
            </w:r>
            <w:r>
              <w:rPr>
                <w:rFonts w:hint="default" w:ascii="Times New Roman" w:hAnsi="Times New Roman" w:eastAsia="宋体" w:cs="Times New Roman"/>
                <w:color w:val="auto"/>
                <w:sz w:val="24"/>
                <w:szCs w:val="24"/>
                <w:highlight w:val="none"/>
              </w:rPr>
              <w:t>污水处理厂</w:t>
            </w:r>
            <w:r>
              <w:rPr>
                <w:rFonts w:hint="eastAsia" w:ascii="Times New Roman" w:hAnsi="Times New Roman" w:eastAsia="宋体" w:cs="Times New Roman"/>
                <w:color w:val="auto"/>
                <w:sz w:val="24"/>
                <w:highlight w:val="none"/>
                <w:lang w:val="en-US" w:eastAsia="zh-CN"/>
              </w:rPr>
              <w:t>深度处理</w:t>
            </w:r>
            <w:r>
              <w:rPr>
                <w:rStyle w:val="331"/>
                <w:rFonts w:hint="default" w:ascii="Times New Roman" w:hAnsi="Times New Roman"/>
                <w:color w:val="auto"/>
                <w:highlight w:val="none"/>
              </w:rPr>
              <w:t>。通过维护项目废气处理设施的正常运行，</w:t>
            </w:r>
            <w:r>
              <w:rPr>
                <w:rStyle w:val="331"/>
                <w:rFonts w:hint="eastAsia" w:ascii="Times New Roman" w:hAnsi="Times New Roman" w:eastAsia="宋体"/>
                <w:color w:val="auto"/>
                <w:highlight w:val="none"/>
                <w:lang w:eastAsia="zh-CN"/>
              </w:rPr>
              <w:t>废水达标接管，</w:t>
            </w:r>
            <w:r>
              <w:rPr>
                <w:rStyle w:val="331"/>
                <w:rFonts w:hint="default" w:ascii="Times New Roman" w:hAnsi="Times New Roman"/>
                <w:color w:val="auto"/>
                <w:highlight w:val="none"/>
              </w:rPr>
              <w:t>危废暂存场所采用防风、防雨、防晒、防渗的措施，危险废物采用防渗容器盛装，使贮存过程中不会</w:t>
            </w:r>
            <w:r>
              <w:rPr>
                <w:rStyle w:val="331"/>
                <w:rFonts w:hint="eastAsia" w:ascii="Times New Roman" w:hAnsi="Times New Roman" w:eastAsia="宋体"/>
                <w:color w:val="auto"/>
                <w:highlight w:val="none"/>
                <w:lang w:eastAsia="zh-CN"/>
              </w:rPr>
              <w:t>泄露</w:t>
            </w:r>
            <w:r>
              <w:rPr>
                <w:rStyle w:val="331"/>
                <w:rFonts w:hint="default" w:ascii="Times New Roman" w:hAnsi="Times New Roman"/>
                <w:color w:val="auto"/>
                <w:highlight w:val="none"/>
              </w:rPr>
              <w:t>废液，综合采取以上防治措施，项目对地下水、土壤环境影响较小，因此，本项目可不开展地下水和土壤的环境质量现状调查。</w:t>
            </w:r>
          </w:p>
        </w:tc>
      </w:tr>
      <w:tr w14:paraId="5F46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52" w:type="pct"/>
            <w:shd w:val="clear" w:color="auto" w:fill="auto"/>
            <w:noWrap w:val="0"/>
            <w:vAlign w:val="center"/>
          </w:tcPr>
          <w:p w14:paraId="0D4DDF7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环境保护目标</w:t>
            </w:r>
          </w:p>
        </w:tc>
        <w:tc>
          <w:tcPr>
            <w:tcW w:w="4747" w:type="pct"/>
            <w:shd w:val="clear" w:color="auto" w:fill="auto"/>
            <w:noWrap w:val="0"/>
            <w:vAlign w:val="top"/>
          </w:tcPr>
          <w:p w14:paraId="01AF0B7B">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snapToGrid w:val="0"/>
                <w:color w:val="auto"/>
                <w:kern w:val="24"/>
                <w:sz w:val="24"/>
                <w:szCs w:val="22"/>
                <w:highlight w:val="none"/>
              </w:rPr>
              <w:t>本项目</w:t>
            </w:r>
            <w:r>
              <w:rPr>
                <w:snapToGrid w:val="0"/>
                <w:color w:val="auto"/>
                <w:kern w:val="28"/>
                <w:sz w:val="24"/>
                <w:szCs w:val="22"/>
                <w:highlight w:val="none"/>
              </w:rPr>
              <w:t>位于</w:t>
            </w:r>
            <w:r>
              <w:rPr>
                <w:rFonts w:hint="eastAsia"/>
                <w:color w:val="auto"/>
                <w:sz w:val="24"/>
                <w:szCs w:val="24"/>
                <w:highlight w:val="none"/>
                <w:lang w:val="en-US" w:eastAsia="zh-CN"/>
              </w:rPr>
              <w:t>五河县城南工业园区工业五路中段南侧</w:t>
            </w:r>
            <w:r>
              <w:rPr>
                <w:snapToGrid w:val="0"/>
                <w:color w:val="auto"/>
                <w:kern w:val="28"/>
                <w:sz w:val="24"/>
                <w:szCs w:val="22"/>
                <w:highlight w:val="none"/>
              </w:rPr>
              <w:t>。</w:t>
            </w:r>
            <w:r>
              <w:rPr>
                <w:rFonts w:hint="eastAsia"/>
                <w:snapToGrid w:val="0"/>
                <w:color w:val="auto"/>
                <w:kern w:val="0"/>
                <w:sz w:val="24"/>
                <w:szCs w:val="22"/>
                <w:highlight w:val="none"/>
              </w:rPr>
              <w:t>根据现场踏勘，项目厂界500m范围内无</w:t>
            </w:r>
            <w:r>
              <w:rPr>
                <w:snapToGrid w:val="0"/>
                <w:color w:val="auto"/>
                <w:kern w:val="0"/>
                <w:sz w:val="24"/>
                <w:szCs w:val="22"/>
                <w:highlight w:val="none"/>
              </w:rPr>
              <w:t>风景名</w:t>
            </w:r>
            <w:r>
              <w:rPr>
                <w:rFonts w:hint="eastAsia"/>
                <w:snapToGrid w:val="0"/>
                <w:color w:val="auto"/>
                <w:kern w:val="0"/>
                <w:sz w:val="24"/>
                <w:szCs w:val="22"/>
                <w:highlight w:val="none"/>
              </w:rPr>
              <w:t>胜区、居住区、文化区和农村地区中人群较集中的区域等保护目标。</w:t>
            </w:r>
            <w:r>
              <w:rPr>
                <w:rFonts w:hint="default" w:ascii="Times New Roman" w:hAnsi="Times New Roman" w:eastAsia="宋体" w:cs="Times New Roman"/>
                <w:color w:val="auto"/>
                <w:sz w:val="24"/>
                <w:szCs w:val="24"/>
                <w:highlight w:val="none"/>
                <w:lang w:eastAsia="zh-CN"/>
              </w:rPr>
              <w:t>主要环境保护目标如下：</w:t>
            </w:r>
          </w:p>
          <w:p w14:paraId="5649A0F6">
            <w:pPr>
              <w:pStyle w:val="14"/>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leftChars="0" w:right="0"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（1）大气环境</w:t>
            </w:r>
          </w:p>
          <w:p w14:paraId="2E94EC9E">
            <w:pPr>
              <w:pStyle w:val="14"/>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leftChars="0" w:right="0"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根据现场勘查，项目厂界外500m范围内无自然保护区、风景名胜区、文化区区域等保护目标。</w:t>
            </w:r>
          </w:p>
          <w:p w14:paraId="549A0EEA">
            <w:pPr>
              <w:pStyle w:val="14"/>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leftChars="0" w:right="0"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（2）声环境</w:t>
            </w:r>
          </w:p>
          <w:p w14:paraId="2B15BD93">
            <w:pPr>
              <w:pStyle w:val="14"/>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leftChars="0" w:right="0"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根据现场勘查，项目厂界外50m范围内</w:t>
            </w:r>
            <w:r>
              <w:rPr>
                <w:rFonts w:hint="default" w:ascii="Times New Roman" w:hAnsi="Times New Roman" w:eastAsia="宋体" w:cs="Times New Roman"/>
                <w:color w:val="auto"/>
                <w:highlight w:val="none"/>
                <w:lang w:eastAsia="zh-CN"/>
              </w:rPr>
              <w:t>无</w:t>
            </w:r>
            <w:r>
              <w:rPr>
                <w:rFonts w:hint="default" w:ascii="Times New Roman" w:hAnsi="Times New Roman" w:eastAsia="宋体" w:cs="Times New Roman"/>
                <w:color w:val="auto"/>
                <w:highlight w:val="none"/>
              </w:rPr>
              <w:t>声环境保护目标。</w:t>
            </w:r>
          </w:p>
          <w:p w14:paraId="3963517C">
            <w:pPr>
              <w:pStyle w:val="14"/>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leftChars="0" w:right="0"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rPr>
              <w:t>）地下水环境</w:t>
            </w:r>
          </w:p>
          <w:p w14:paraId="649BD265">
            <w:pPr>
              <w:pStyle w:val="14"/>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leftChars="0" w:right="0"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根据现场勘查，项目厂界外500m范围内无集中式饮用水水源和热水、矿泉水、温泉等特殊地下资源。</w:t>
            </w:r>
          </w:p>
          <w:p w14:paraId="557AB3D5">
            <w:pPr>
              <w:pStyle w:val="14"/>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leftChars="0" w:right="0"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rPr>
              <w:t>）生态环境</w:t>
            </w:r>
          </w:p>
          <w:p w14:paraId="3538762D">
            <w:pPr>
              <w:pStyle w:val="14"/>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leftChars="0" w:right="0" w:firstLine="480" w:firstLineChars="200"/>
              <w:jc w:val="left"/>
              <w:textAlignment w:val="auto"/>
              <w:rPr>
                <w:rFonts w:ascii="Times New Roman" w:hAnsi="Times New Roman"/>
                <w:color w:val="auto"/>
                <w:szCs w:val="24"/>
                <w:highlight w:val="none"/>
              </w:rPr>
            </w:pPr>
            <w:r>
              <w:rPr>
                <w:rFonts w:hint="eastAsia" w:ascii="Times New Roman" w:hAnsi="Times New Roman" w:cs="Times New Roman"/>
                <w:color w:val="auto"/>
                <w:highlight w:val="none"/>
                <w:lang w:val="en-US" w:eastAsia="zh-CN"/>
              </w:rPr>
              <w:t>本</w:t>
            </w:r>
            <w:r>
              <w:rPr>
                <w:rFonts w:hint="default" w:ascii="Times New Roman" w:hAnsi="Times New Roman" w:eastAsia="宋体" w:cs="Times New Roman"/>
                <w:color w:val="auto"/>
                <w:highlight w:val="none"/>
              </w:rPr>
              <w:t>项目选址位于</w:t>
            </w:r>
            <w:r>
              <w:rPr>
                <w:rFonts w:hint="eastAsia"/>
                <w:color w:val="auto"/>
                <w:sz w:val="24"/>
                <w:szCs w:val="24"/>
                <w:highlight w:val="none"/>
                <w:lang w:val="en-US" w:eastAsia="zh-CN"/>
              </w:rPr>
              <w:t>五河县城南工业园区工业五路中段南侧</w:t>
            </w:r>
            <w:r>
              <w:rPr>
                <w:rFonts w:hint="default" w:ascii="Times New Roman" w:hAnsi="Times New Roman" w:eastAsia="宋体" w:cs="Times New Roman"/>
                <w:color w:val="auto"/>
                <w:highlight w:val="none"/>
                <w:lang w:eastAsia="zh-CN"/>
              </w:rPr>
              <w:t>，</w:t>
            </w:r>
            <w:r>
              <w:rPr>
                <w:rFonts w:hint="eastAsia" w:ascii="Times New Roman" w:hAnsi="Times New Roman" w:eastAsia="宋体"/>
                <w:color w:val="auto"/>
                <w:szCs w:val="24"/>
                <w:highlight w:val="none"/>
                <w:lang w:val="en-US" w:eastAsia="zh-CN"/>
              </w:rPr>
              <w:t>不</w:t>
            </w:r>
            <w:r>
              <w:rPr>
                <w:rFonts w:hint="eastAsia" w:ascii="Times New Roman" w:hAnsi="Times New Roman"/>
                <w:color w:val="auto"/>
                <w:szCs w:val="24"/>
                <w:highlight w:val="none"/>
              </w:rPr>
              <w:t>新增用地，</w:t>
            </w:r>
            <w:r>
              <w:rPr>
                <w:rFonts w:ascii="Times New Roman" w:hAnsi="Times New Roman"/>
                <w:color w:val="auto"/>
                <w:szCs w:val="24"/>
                <w:highlight w:val="none"/>
              </w:rPr>
              <w:t>用地范围内无生态环境保护目标。</w:t>
            </w:r>
          </w:p>
          <w:p w14:paraId="2859A09E">
            <w:pPr>
              <w:pStyle w:val="14"/>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leftChars="0" w:right="0" w:firstLine="480" w:firstLineChars="200"/>
              <w:jc w:val="left"/>
              <w:textAlignment w:val="auto"/>
              <w:rPr>
                <w:rFonts w:hint="eastAsia"/>
                <w:color w:val="auto"/>
                <w:sz w:val="24"/>
                <w:szCs w:val="22"/>
                <w:highlight w:val="none"/>
              </w:rPr>
            </w:pPr>
            <w:r>
              <w:rPr>
                <w:rFonts w:hint="eastAsia"/>
                <w:color w:val="auto"/>
                <w:sz w:val="24"/>
                <w:szCs w:val="22"/>
                <w:highlight w:val="none"/>
              </w:rPr>
              <w:t>具体如下：</w:t>
            </w:r>
          </w:p>
          <w:p w14:paraId="0E5DE3EA">
            <w:pPr>
              <w:keepNext w:val="0"/>
              <w:keepLines w:val="0"/>
              <w:suppressLineNumbers w:val="0"/>
              <w:adjustRightInd w:val="0"/>
              <w:snapToGrid w:val="0"/>
              <w:spacing w:before="0" w:beforeAutospacing="0" w:after="0" w:afterAutospacing="0"/>
              <w:ind w:left="0" w:right="0"/>
              <w:jc w:val="center"/>
              <w:rPr>
                <w:b/>
                <w:bCs/>
                <w:color w:val="auto"/>
                <w:sz w:val="21"/>
                <w:szCs w:val="21"/>
                <w:highlight w:val="none"/>
              </w:rPr>
            </w:pPr>
            <w:r>
              <w:rPr>
                <w:b/>
                <w:bCs/>
                <w:color w:val="auto"/>
                <w:sz w:val="21"/>
                <w:szCs w:val="21"/>
                <w:highlight w:val="none"/>
              </w:rPr>
              <w:t>表3-</w:t>
            </w:r>
            <w:r>
              <w:rPr>
                <w:rFonts w:hint="eastAsia"/>
                <w:b/>
                <w:bCs/>
                <w:color w:val="auto"/>
                <w:sz w:val="21"/>
                <w:szCs w:val="21"/>
                <w:highlight w:val="none"/>
                <w:lang w:val="en-US" w:eastAsia="zh-CN"/>
              </w:rPr>
              <w:t>6</w:t>
            </w:r>
            <w:r>
              <w:rPr>
                <w:b/>
                <w:bCs/>
                <w:color w:val="auto"/>
                <w:sz w:val="21"/>
                <w:szCs w:val="21"/>
                <w:highlight w:val="none"/>
              </w:rPr>
              <w:t xml:space="preserve">  环境</w:t>
            </w:r>
            <w:r>
              <w:rPr>
                <w:rFonts w:hint="eastAsia"/>
                <w:b/>
                <w:bCs/>
                <w:color w:val="auto"/>
                <w:sz w:val="21"/>
                <w:szCs w:val="21"/>
                <w:highlight w:val="none"/>
              </w:rPr>
              <w:t>保护目标一览表</w:t>
            </w:r>
          </w:p>
          <w:tbl>
            <w:tblPr>
              <w:tblStyle w:val="39"/>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40"/>
              <w:gridCol w:w="735"/>
              <w:gridCol w:w="718"/>
              <w:gridCol w:w="771"/>
              <w:gridCol w:w="848"/>
              <w:gridCol w:w="787"/>
              <w:gridCol w:w="743"/>
              <w:gridCol w:w="925"/>
              <w:gridCol w:w="1002"/>
              <w:gridCol w:w="483"/>
            </w:tblGrid>
            <w:tr w14:paraId="22B2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35" w:type="pct"/>
                  <w:vMerge w:val="restart"/>
                  <w:tcBorders>
                    <w:tl2br w:val="nil"/>
                    <w:tr2bl w:val="nil"/>
                  </w:tcBorders>
                  <w:noWrap w:val="0"/>
                  <w:vAlign w:val="center"/>
                </w:tcPr>
                <w:p w14:paraId="38FF1D21">
                  <w:pPr>
                    <w:keepNext w:val="0"/>
                    <w:keepLines w:val="0"/>
                    <w:suppressLineNumbers w:val="0"/>
                    <w:spacing w:before="0" w:beforeAutospacing="0" w:after="0" w:afterAutospacing="0"/>
                    <w:ind w:left="0" w:right="0"/>
                    <w:jc w:val="center"/>
                    <w:rPr>
                      <w:b/>
                      <w:color w:val="auto"/>
                      <w:szCs w:val="21"/>
                      <w:highlight w:val="none"/>
                    </w:rPr>
                  </w:pPr>
                  <w:r>
                    <w:rPr>
                      <w:b/>
                      <w:color w:val="auto"/>
                      <w:szCs w:val="21"/>
                      <w:highlight w:val="none"/>
                    </w:rPr>
                    <w:t>环境要素</w:t>
                  </w:r>
                </w:p>
              </w:tc>
              <w:tc>
                <w:tcPr>
                  <w:tcW w:w="468" w:type="pct"/>
                  <w:vMerge w:val="restart"/>
                  <w:tcBorders>
                    <w:tl2br w:val="nil"/>
                    <w:tr2bl w:val="nil"/>
                  </w:tcBorders>
                  <w:noWrap w:val="0"/>
                  <w:vAlign w:val="center"/>
                </w:tcPr>
                <w:p w14:paraId="15BA441F">
                  <w:pPr>
                    <w:keepNext w:val="0"/>
                    <w:keepLines w:val="0"/>
                    <w:suppressLineNumbers w:val="0"/>
                    <w:spacing w:before="0" w:beforeAutospacing="0" w:after="0" w:afterAutospacing="0"/>
                    <w:ind w:left="0" w:right="0"/>
                    <w:jc w:val="center"/>
                    <w:rPr>
                      <w:rFonts w:hint="default" w:eastAsia="宋体"/>
                      <w:b/>
                      <w:color w:val="auto"/>
                      <w:szCs w:val="21"/>
                      <w:highlight w:val="none"/>
                      <w:lang w:val="en-US" w:eastAsia="zh-CN"/>
                    </w:rPr>
                  </w:pPr>
                  <w:r>
                    <w:rPr>
                      <w:rFonts w:hint="eastAsia"/>
                      <w:b/>
                      <w:color w:val="auto"/>
                      <w:szCs w:val="21"/>
                      <w:highlight w:val="none"/>
                      <w:lang w:val="en-US" w:eastAsia="zh-CN"/>
                    </w:rPr>
                    <w:t>名称</w:t>
                  </w:r>
                </w:p>
              </w:tc>
              <w:tc>
                <w:tcPr>
                  <w:tcW w:w="948" w:type="pct"/>
                  <w:gridSpan w:val="2"/>
                  <w:tcBorders>
                    <w:tl2br w:val="nil"/>
                    <w:tr2bl w:val="nil"/>
                  </w:tcBorders>
                  <w:noWrap w:val="0"/>
                  <w:vAlign w:val="center"/>
                </w:tcPr>
                <w:p w14:paraId="7C30B9E7">
                  <w:pPr>
                    <w:keepNext w:val="0"/>
                    <w:keepLines w:val="0"/>
                    <w:suppressLineNumbers w:val="0"/>
                    <w:spacing w:before="0" w:beforeAutospacing="0" w:after="0" w:afterAutospacing="0"/>
                    <w:ind w:left="0" w:right="0"/>
                    <w:jc w:val="center"/>
                    <w:rPr>
                      <w:b/>
                      <w:color w:val="auto"/>
                      <w:szCs w:val="21"/>
                      <w:highlight w:val="none"/>
                    </w:rPr>
                  </w:pPr>
                  <w:r>
                    <w:rPr>
                      <w:b/>
                      <w:color w:val="auto"/>
                      <w:szCs w:val="21"/>
                      <w:highlight w:val="none"/>
                    </w:rPr>
                    <w:t>坐标/m</w:t>
                  </w:r>
                </w:p>
              </w:tc>
              <w:tc>
                <w:tcPr>
                  <w:tcW w:w="540" w:type="pct"/>
                  <w:vMerge w:val="restart"/>
                  <w:tcBorders>
                    <w:tl2br w:val="nil"/>
                    <w:tr2bl w:val="nil"/>
                  </w:tcBorders>
                  <w:noWrap w:val="0"/>
                  <w:vAlign w:val="center"/>
                </w:tcPr>
                <w:p w14:paraId="60B30E57">
                  <w:pPr>
                    <w:keepNext w:val="0"/>
                    <w:keepLines w:val="0"/>
                    <w:suppressLineNumbers w:val="0"/>
                    <w:spacing w:before="0" w:beforeAutospacing="0" w:after="0" w:afterAutospacing="0"/>
                    <w:ind w:left="0" w:right="0"/>
                    <w:jc w:val="center"/>
                    <w:rPr>
                      <w:b/>
                      <w:color w:val="auto"/>
                      <w:szCs w:val="21"/>
                      <w:highlight w:val="none"/>
                    </w:rPr>
                  </w:pPr>
                  <w:r>
                    <w:rPr>
                      <w:b/>
                      <w:color w:val="auto"/>
                      <w:szCs w:val="21"/>
                      <w:highlight w:val="none"/>
                    </w:rPr>
                    <w:t>保护对象</w:t>
                  </w:r>
                </w:p>
              </w:tc>
              <w:tc>
                <w:tcPr>
                  <w:tcW w:w="501" w:type="pct"/>
                  <w:vMerge w:val="restart"/>
                  <w:tcBorders>
                    <w:tl2br w:val="nil"/>
                    <w:tr2bl w:val="nil"/>
                  </w:tcBorders>
                  <w:noWrap w:val="0"/>
                  <w:vAlign w:val="center"/>
                </w:tcPr>
                <w:p w14:paraId="66B11F2A">
                  <w:pPr>
                    <w:keepNext w:val="0"/>
                    <w:keepLines w:val="0"/>
                    <w:suppressLineNumbers w:val="0"/>
                    <w:spacing w:before="0" w:beforeAutospacing="0" w:after="0" w:afterAutospacing="0"/>
                    <w:ind w:left="0" w:right="0"/>
                    <w:jc w:val="center"/>
                    <w:rPr>
                      <w:b/>
                      <w:color w:val="auto"/>
                      <w:szCs w:val="21"/>
                      <w:highlight w:val="none"/>
                    </w:rPr>
                  </w:pPr>
                  <w:r>
                    <w:rPr>
                      <w:b/>
                      <w:color w:val="auto"/>
                      <w:szCs w:val="21"/>
                      <w:highlight w:val="none"/>
                    </w:rPr>
                    <w:t>保护内容</w:t>
                  </w:r>
                </w:p>
              </w:tc>
              <w:tc>
                <w:tcPr>
                  <w:tcW w:w="473" w:type="pct"/>
                  <w:vMerge w:val="restart"/>
                  <w:tcBorders>
                    <w:tl2br w:val="nil"/>
                    <w:tr2bl w:val="nil"/>
                  </w:tcBorders>
                  <w:noWrap w:val="0"/>
                  <w:vAlign w:val="center"/>
                </w:tcPr>
                <w:p w14:paraId="3B0EC5AD">
                  <w:pPr>
                    <w:keepNext w:val="0"/>
                    <w:keepLines w:val="0"/>
                    <w:suppressLineNumbers w:val="0"/>
                    <w:spacing w:before="0" w:beforeAutospacing="0" w:after="0" w:afterAutospacing="0"/>
                    <w:ind w:left="0" w:right="0"/>
                    <w:jc w:val="center"/>
                    <w:rPr>
                      <w:b/>
                      <w:color w:val="auto"/>
                      <w:szCs w:val="21"/>
                      <w:highlight w:val="none"/>
                    </w:rPr>
                  </w:pPr>
                  <w:r>
                    <w:rPr>
                      <w:b/>
                      <w:color w:val="auto"/>
                      <w:szCs w:val="21"/>
                      <w:highlight w:val="none"/>
                    </w:rPr>
                    <w:t>环境功能区</w:t>
                  </w:r>
                </w:p>
              </w:tc>
              <w:tc>
                <w:tcPr>
                  <w:tcW w:w="589" w:type="pct"/>
                  <w:vMerge w:val="restart"/>
                  <w:tcBorders>
                    <w:tl2br w:val="nil"/>
                    <w:tr2bl w:val="nil"/>
                  </w:tcBorders>
                  <w:noWrap w:val="0"/>
                  <w:vAlign w:val="center"/>
                </w:tcPr>
                <w:p w14:paraId="67E15EB8">
                  <w:pPr>
                    <w:keepNext w:val="0"/>
                    <w:keepLines w:val="0"/>
                    <w:suppressLineNumbers w:val="0"/>
                    <w:spacing w:before="0" w:beforeAutospacing="0" w:after="0" w:afterAutospacing="0"/>
                    <w:ind w:left="0" w:right="0"/>
                    <w:jc w:val="center"/>
                    <w:rPr>
                      <w:b/>
                      <w:color w:val="auto"/>
                      <w:szCs w:val="21"/>
                      <w:highlight w:val="none"/>
                    </w:rPr>
                  </w:pPr>
                  <w:r>
                    <w:rPr>
                      <w:b/>
                      <w:color w:val="auto"/>
                      <w:szCs w:val="21"/>
                      <w:highlight w:val="none"/>
                    </w:rPr>
                    <w:t>相对厂址最近方位</w:t>
                  </w:r>
                </w:p>
              </w:tc>
              <w:tc>
                <w:tcPr>
                  <w:tcW w:w="638" w:type="pct"/>
                  <w:vMerge w:val="restart"/>
                  <w:tcBorders>
                    <w:tl2br w:val="nil"/>
                    <w:tr2bl w:val="nil"/>
                  </w:tcBorders>
                  <w:noWrap w:val="0"/>
                  <w:vAlign w:val="center"/>
                </w:tcPr>
                <w:p w14:paraId="281EA301">
                  <w:pPr>
                    <w:keepNext w:val="0"/>
                    <w:keepLines w:val="0"/>
                    <w:suppressLineNumbers w:val="0"/>
                    <w:spacing w:before="0" w:beforeAutospacing="0" w:after="0" w:afterAutospacing="0"/>
                    <w:ind w:left="0" w:right="0"/>
                    <w:jc w:val="center"/>
                    <w:rPr>
                      <w:b/>
                      <w:color w:val="auto"/>
                      <w:szCs w:val="21"/>
                      <w:highlight w:val="none"/>
                    </w:rPr>
                  </w:pPr>
                  <w:r>
                    <w:rPr>
                      <w:b/>
                      <w:color w:val="auto"/>
                      <w:szCs w:val="21"/>
                      <w:highlight w:val="none"/>
                    </w:rPr>
                    <w:t>相对厂界最近距离/m</w:t>
                  </w:r>
                </w:p>
              </w:tc>
              <w:tc>
                <w:tcPr>
                  <w:tcW w:w="305" w:type="pct"/>
                  <w:vMerge w:val="restart"/>
                  <w:tcBorders>
                    <w:tl2br w:val="nil"/>
                    <w:tr2bl w:val="nil"/>
                  </w:tcBorders>
                  <w:noWrap w:val="0"/>
                  <w:vAlign w:val="center"/>
                </w:tcPr>
                <w:p w14:paraId="4F9A5FB7">
                  <w:pPr>
                    <w:keepNext w:val="0"/>
                    <w:keepLines w:val="0"/>
                    <w:suppressLineNumbers w:val="0"/>
                    <w:spacing w:before="0" w:beforeAutospacing="0" w:after="0" w:afterAutospacing="0"/>
                    <w:ind w:left="0" w:right="0"/>
                    <w:jc w:val="center"/>
                    <w:rPr>
                      <w:b/>
                      <w:color w:val="auto"/>
                      <w:szCs w:val="21"/>
                      <w:highlight w:val="none"/>
                    </w:rPr>
                  </w:pPr>
                  <w:r>
                    <w:rPr>
                      <w:b/>
                      <w:color w:val="auto"/>
                      <w:szCs w:val="21"/>
                      <w:highlight w:val="none"/>
                    </w:rPr>
                    <w:t>人数</w:t>
                  </w:r>
                  <w:r>
                    <w:rPr>
                      <w:rFonts w:hint="eastAsia"/>
                      <w:b/>
                      <w:color w:val="auto"/>
                      <w:szCs w:val="21"/>
                      <w:highlight w:val="none"/>
                    </w:rPr>
                    <w:t>/人</w:t>
                  </w:r>
                </w:p>
              </w:tc>
            </w:tr>
            <w:tr w14:paraId="3697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pct"/>
                  <w:vMerge w:val="continue"/>
                  <w:tcBorders>
                    <w:tl2br w:val="nil"/>
                    <w:tr2bl w:val="nil"/>
                  </w:tcBorders>
                  <w:noWrap w:val="0"/>
                  <w:vAlign w:val="center"/>
                </w:tcPr>
                <w:p w14:paraId="35AD0AA9">
                  <w:pPr>
                    <w:keepNext w:val="0"/>
                    <w:keepLines w:val="0"/>
                    <w:suppressLineNumbers w:val="0"/>
                    <w:spacing w:before="0" w:beforeAutospacing="0" w:after="0" w:afterAutospacing="0"/>
                    <w:ind w:left="0" w:right="0"/>
                    <w:jc w:val="center"/>
                    <w:rPr>
                      <w:color w:val="auto"/>
                      <w:szCs w:val="21"/>
                      <w:highlight w:val="none"/>
                    </w:rPr>
                  </w:pPr>
                </w:p>
              </w:tc>
              <w:tc>
                <w:tcPr>
                  <w:tcW w:w="468" w:type="pct"/>
                  <w:vMerge w:val="continue"/>
                  <w:tcBorders>
                    <w:tl2br w:val="nil"/>
                    <w:tr2bl w:val="nil"/>
                  </w:tcBorders>
                  <w:noWrap w:val="0"/>
                  <w:vAlign w:val="center"/>
                </w:tcPr>
                <w:p w14:paraId="0A77A5F2">
                  <w:pPr>
                    <w:keepNext w:val="0"/>
                    <w:keepLines w:val="0"/>
                    <w:suppressLineNumbers w:val="0"/>
                    <w:spacing w:before="0" w:beforeAutospacing="0" w:after="0" w:afterAutospacing="0"/>
                    <w:ind w:left="0" w:right="0"/>
                    <w:jc w:val="center"/>
                    <w:rPr>
                      <w:b/>
                      <w:color w:val="auto"/>
                      <w:szCs w:val="21"/>
                      <w:highlight w:val="none"/>
                    </w:rPr>
                  </w:pPr>
                </w:p>
              </w:tc>
              <w:tc>
                <w:tcPr>
                  <w:tcW w:w="457" w:type="pct"/>
                  <w:tcBorders>
                    <w:tl2br w:val="nil"/>
                    <w:tr2bl w:val="nil"/>
                  </w:tcBorders>
                  <w:noWrap w:val="0"/>
                  <w:vAlign w:val="center"/>
                </w:tcPr>
                <w:p w14:paraId="231A8F7D">
                  <w:pPr>
                    <w:keepNext w:val="0"/>
                    <w:keepLines w:val="0"/>
                    <w:suppressLineNumbers w:val="0"/>
                    <w:spacing w:before="0" w:beforeAutospacing="0" w:after="0" w:afterAutospacing="0"/>
                    <w:ind w:left="0" w:right="0"/>
                    <w:jc w:val="center"/>
                    <w:rPr>
                      <w:b/>
                      <w:color w:val="auto"/>
                      <w:szCs w:val="21"/>
                      <w:highlight w:val="none"/>
                    </w:rPr>
                  </w:pPr>
                  <w:r>
                    <w:rPr>
                      <w:b/>
                      <w:color w:val="auto"/>
                      <w:szCs w:val="21"/>
                      <w:highlight w:val="none"/>
                    </w:rPr>
                    <w:t>X</w:t>
                  </w:r>
                </w:p>
              </w:tc>
              <w:tc>
                <w:tcPr>
                  <w:tcW w:w="491" w:type="pct"/>
                  <w:tcBorders>
                    <w:tl2br w:val="nil"/>
                    <w:tr2bl w:val="nil"/>
                  </w:tcBorders>
                  <w:noWrap w:val="0"/>
                  <w:vAlign w:val="center"/>
                </w:tcPr>
                <w:p w14:paraId="2766CC6F">
                  <w:pPr>
                    <w:keepNext w:val="0"/>
                    <w:keepLines w:val="0"/>
                    <w:suppressLineNumbers w:val="0"/>
                    <w:spacing w:before="0" w:beforeAutospacing="0" w:after="0" w:afterAutospacing="0"/>
                    <w:ind w:left="0" w:right="0"/>
                    <w:jc w:val="center"/>
                    <w:rPr>
                      <w:b/>
                      <w:color w:val="auto"/>
                      <w:szCs w:val="21"/>
                      <w:highlight w:val="none"/>
                    </w:rPr>
                  </w:pPr>
                  <w:r>
                    <w:rPr>
                      <w:b/>
                      <w:color w:val="auto"/>
                      <w:szCs w:val="21"/>
                      <w:highlight w:val="none"/>
                    </w:rPr>
                    <w:t>Y</w:t>
                  </w:r>
                </w:p>
              </w:tc>
              <w:tc>
                <w:tcPr>
                  <w:tcW w:w="540" w:type="pct"/>
                  <w:vMerge w:val="continue"/>
                  <w:tcBorders>
                    <w:tl2br w:val="nil"/>
                    <w:tr2bl w:val="nil"/>
                  </w:tcBorders>
                  <w:noWrap w:val="0"/>
                  <w:vAlign w:val="center"/>
                </w:tcPr>
                <w:p w14:paraId="06E50FE7">
                  <w:pPr>
                    <w:keepNext w:val="0"/>
                    <w:keepLines w:val="0"/>
                    <w:suppressLineNumbers w:val="0"/>
                    <w:spacing w:before="0" w:beforeAutospacing="0" w:after="0" w:afterAutospacing="0"/>
                    <w:ind w:left="0" w:right="0"/>
                    <w:jc w:val="center"/>
                    <w:rPr>
                      <w:b/>
                      <w:color w:val="auto"/>
                      <w:szCs w:val="21"/>
                      <w:highlight w:val="none"/>
                    </w:rPr>
                  </w:pPr>
                </w:p>
              </w:tc>
              <w:tc>
                <w:tcPr>
                  <w:tcW w:w="501" w:type="pct"/>
                  <w:vMerge w:val="continue"/>
                  <w:tcBorders>
                    <w:tl2br w:val="nil"/>
                    <w:tr2bl w:val="nil"/>
                  </w:tcBorders>
                  <w:noWrap w:val="0"/>
                  <w:vAlign w:val="center"/>
                </w:tcPr>
                <w:p w14:paraId="0DD01AA4">
                  <w:pPr>
                    <w:keepNext w:val="0"/>
                    <w:keepLines w:val="0"/>
                    <w:suppressLineNumbers w:val="0"/>
                    <w:spacing w:before="0" w:beforeAutospacing="0" w:after="0" w:afterAutospacing="0"/>
                    <w:ind w:left="0" w:right="0"/>
                    <w:jc w:val="center"/>
                    <w:rPr>
                      <w:color w:val="auto"/>
                      <w:szCs w:val="21"/>
                      <w:highlight w:val="none"/>
                    </w:rPr>
                  </w:pPr>
                </w:p>
              </w:tc>
              <w:tc>
                <w:tcPr>
                  <w:tcW w:w="473" w:type="pct"/>
                  <w:vMerge w:val="continue"/>
                  <w:tcBorders>
                    <w:tl2br w:val="nil"/>
                    <w:tr2bl w:val="nil"/>
                  </w:tcBorders>
                  <w:noWrap w:val="0"/>
                  <w:vAlign w:val="center"/>
                </w:tcPr>
                <w:p w14:paraId="1B309688">
                  <w:pPr>
                    <w:keepNext w:val="0"/>
                    <w:keepLines w:val="0"/>
                    <w:suppressLineNumbers w:val="0"/>
                    <w:spacing w:before="0" w:beforeAutospacing="0" w:after="0" w:afterAutospacing="0"/>
                    <w:ind w:left="0" w:right="0"/>
                    <w:jc w:val="center"/>
                    <w:rPr>
                      <w:color w:val="auto"/>
                      <w:szCs w:val="21"/>
                      <w:highlight w:val="none"/>
                    </w:rPr>
                  </w:pPr>
                </w:p>
              </w:tc>
              <w:tc>
                <w:tcPr>
                  <w:tcW w:w="589" w:type="pct"/>
                  <w:vMerge w:val="continue"/>
                  <w:tcBorders>
                    <w:tl2br w:val="nil"/>
                    <w:tr2bl w:val="nil"/>
                  </w:tcBorders>
                  <w:noWrap w:val="0"/>
                  <w:vAlign w:val="center"/>
                </w:tcPr>
                <w:p w14:paraId="560EF9E0">
                  <w:pPr>
                    <w:keepNext w:val="0"/>
                    <w:keepLines w:val="0"/>
                    <w:suppressLineNumbers w:val="0"/>
                    <w:spacing w:before="0" w:beforeAutospacing="0" w:after="0" w:afterAutospacing="0"/>
                    <w:ind w:left="0" w:right="0"/>
                    <w:jc w:val="center"/>
                    <w:rPr>
                      <w:color w:val="auto"/>
                      <w:szCs w:val="21"/>
                      <w:highlight w:val="none"/>
                    </w:rPr>
                  </w:pPr>
                </w:p>
              </w:tc>
              <w:tc>
                <w:tcPr>
                  <w:tcW w:w="638" w:type="pct"/>
                  <w:vMerge w:val="continue"/>
                  <w:tcBorders>
                    <w:tl2br w:val="nil"/>
                    <w:tr2bl w:val="nil"/>
                  </w:tcBorders>
                  <w:noWrap w:val="0"/>
                  <w:vAlign w:val="center"/>
                </w:tcPr>
                <w:p w14:paraId="2E65DE40">
                  <w:pPr>
                    <w:keepNext w:val="0"/>
                    <w:keepLines w:val="0"/>
                    <w:suppressLineNumbers w:val="0"/>
                    <w:spacing w:before="0" w:beforeAutospacing="0" w:after="0" w:afterAutospacing="0"/>
                    <w:ind w:left="0" w:right="0"/>
                    <w:jc w:val="center"/>
                    <w:rPr>
                      <w:color w:val="auto"/>
                      <w:szCs w:val="21"/>
                      <w:highlight w:val="none"/>
                    </w:rPr>
                  </w:pPr>
                </w:p>
              </w:tc>
              <w:tc>
                <w:tcPr>
                  <w:tcW w:w="305" w:type="pct"/>
                  <w:vMerge w:val="continue"/>
                  <w:tcBorders>
                    <w:tl2br w:val="nil"/>
                    <w:tr2bl w:val="nil"/>
                  </w:tcBorders>
                  <w:noWrap w:val="0"/>
                  <w:vAlign w:val="center"/>
                </w:tcPr>
                <w:p w14:paraId="52B50E89">
                  <w:pPr>
                    <w:keepNext w:val="0"/>
                    <w:keepLines w:val="0"/>
                    <w:suppressLineNumbers w:val="0"/>
                    <w:spacing w:before="0" w:beforeAutospacing="0" w:after="0" w:afterAutospacing="0"/>
                    <w:ind w:left="0" w:right="0"/>
                    <w:jc w:val="center"/>
                    <w:rPr>
                      <w:color w:val="auto"/>
                      <w:szCs w:val="21"/>
                      <w:highlight w:val="none"/>
                    </w:rPr>
                  </w:pPr>
                </w:p>
              </w:tc>
            </w:tr>
            <w:tr w14:paraId="2B9F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pct"/>
                  <w:tcBorders>
                    <w:tl2br w:val="nil"/>
                    <w:tr2bl w:val="nil"/>
                  </w:tcBorders>
                  <w:noWrap w:val="0"/>
                  <w:vAlign w:val="center"/>
                </w:tcPr>
                <w:p w14:paraId="7F1AC015">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空气环境</w:t>
                  </w:r>
                </w:p>
              </w:tc>
              <w:tc>
                <w:tcPr>
                  <w:tcW w:w="4464" w:type="pct"/>
                  <w:gridSpan w:val="9"/>
                  <w:tcBorders>
                    <w:tl2br w:val="nil"/>
                    <w:tr2bl w:val="nil"/>
                  </w:tcBorders>
                  <w:shd w:val="clear" w:color="auto" w:fill="auto"/>
                  <w:noWrap w:val="0"/>
                  <w:vAlign w:val="center"/>
                </w:tcPr>
                <w:p w14:paraId="174CE5EF">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2"/>
                      <w:highlight w:val="none"/>
                    </w:rPr>
                    <w:t>厂界外50</w:t>
                  </w:r>
                  <w:r>
                    <w:rPr>
                      <w:rFonts w:hint="eastAsia"/>
                      <w:color w:val="auto"/>
                      <w:szCs w:val="22"/>
                      <w:highlight w:val="none"/>
                      <w:lang w:val="en-US" w:eastAsia="zh-CN"/>
                    </w:rPr>
                    <w:t>0</w:t>
                  </w:r>
                  <w:r>
                    <w:rPr>
                      <w:rFonts w:hint="eastAsia"/>
                      <w:color w:val="auto"/>
                      <w:szCs w:val="22"/>
                      <w:highlight w:val="none"/>
                    </w:rPr>
                    <w:t>米无</w:t>
                  </w:r>
                  <w:r>
                    <w:rPr>
                      <w:rFonts w:hint="eastAsia"/>
                      <w:color w:val="auto"/>
                      <w:szCs w:val="22"/>
                      <w:highlight w:val="none"/>
                      <w:lang w:val="en-US" w:eastAsia="zh-CN"/>
                    </w:rPr>
                    <w:t>大气</w:t>
                  </w:r>
                  <w:r>
                    <w:rPr>
                      <w:rFonts w:hint="eastAsia"/>
                      <w:color w:val="auto"/>
                      <w:szCs w:val="22"/>
                      <w:highlight w:val="none"/>
                    </w:rPr>
                    <w:t>环境保护目标</w:t>
                  </w:r>
                </w:p>
              </w:tc>
            </w:tr>
            <w:tr w14:paraId="33CF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pct"/>
                  <w:tcBorders>
                    <w:tl2br w:val="nil"/>
                    <w:tr2bl w:val="nil"/>
                  </w:tcBorders>
                  <w:noWrap w:val="0"/>
                  <w:vAlign w:val="center"/>
                </w:tcPr>
                <w:p w14:paraId="777986D5">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声环境</w:t>
                  </w:r>
                </w:p>
              </w:tc>
              <w:tc>
                <w:tcPr>
                  <w:tcW w:w="4464" w:type="pct"/>
                  <w:gridSpan w:val="9"/>
                  <w:tcBorders>
                    <w:tl2br w:val="nil"/>
                    <w:tr2bl w:val="nil"/>
                  </w:tcBorders>
                  <w:noWrap w:val="0"/>
                  <w:vAlign w:val="center"/>
                </w:tcPr>
                <w:p w14:paraId="615BC074">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2"/>
                      <w:highlight w:val="none"/>
                    </w:rPr>
                    <w:t>厂界外50米无声环境保护目标</w:t>
                  </w:r>
                </w:p>
              </w:tc>
            </w:tr>
            <w:tr w14:paraId="429A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35" w:type="pct"/>
                  <w:tcBorders>
                    <w:tl2br w:val="nil"/>
                    <w:tr2bl w:val="nil"/>
                  </w:tcBorders>
                  <w:noWrap w:val="0"/>
                  <w:vAlign w:val="center"/>
                </w:tcPr>
                <w:p w14:paraId="762125AA">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地下水环境</w:t>
                  </w:r>
                </w:p>
              </w:tc>
              <w:tc>
                <w:tcPr>
                  <w:tcW w:w="4464" w:type="pct"/>
                  <w:gridSpan w:val="9"/>
                  <w:tcBorders>
                    <w:tl2br w:val="nil"/>
                    <w:tr2bl w:val="nil"/>
                  </w:tcBorders>
                  <w:noWrap w:val="0"/>
                  <w:vAlign w:val="center"/>
                </w:tcPr>
                <w:p w14:paraId="294246DE">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2"/>
                      <w:highlight w:val="none"/>
                    </w:rPr>
                    <w:t>厂界外500m范围无集中式</w:t>
                  </w:r>
                  <w:r>
                    <w:rPr>
                      <w:color w:val="auto"/>
                      <w:szCs w:val="22"/>
                      <w:highlight w:val="none"/>
                    </w:rPr>
                    <w:t>饮用水源和热水、矿泉水、温泉</w:t>
                  </w:r>
                </w:p>
              </w:tc>
            </w:tr>
            <w:tr w14:paraId="4316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pct"/>
                  <w:tcBorders>
                    <w:tl2br w:val="nil"/>
                    <w:tr2bl w:val="nil"/>
                  </w:tcBorders>
                  <w:noWrap w:val="0"/>
                  <w:vAlign w:val="center"/>
                </w:tcPr>
                <w:p w14:paraId="65FECA18">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生态环境</w:t>
                  </w:r>
                </w:p>
              </w:tc>
              <w:tc>
                <w:tcPr>
                  <w:tcW w:w="4464" w:type="pct"/>
                  <w:gridSpan w:val="9"/>
                  <w:tcBorders>
                    <w:tl2br w:val="nil"/>
                    <w:tr2bl w:val="nil"/>
                  </w:tcBorders>
                  <w:noWrap w:val="0"/>
                  <w:vAlign w:val="center"/>
                </w:tcPr>
                <w:p w14:paraId="09F47150">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无</w:t>
                  </w:r>
                </w:p>
              </w:tc>
            </w:tr>
          </w:tbl>
          <w:p w14:paraId="085E6C17">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color w:val="auto"/>
                <w:kern w:val="2"/>
                <w:sz w:val="21"/>
                <w:szCs w:val="22"/>
                <w:highlight w:val="none"/>
                <w:lang w:val="en-US" w:eastAsia="zh-CN" w:bidi="ar-SA"/>
              </w:rPr>
            </w:pPr>
            <w:r>
              <w:rPr>
                <w:rFonts w:hint="eastAsia" w:cs="Times New Roman"/>
                <w:color w:val="auto"/>
                <w:szCs w:val="22"/>
                <w:highlight w:val="none"/>
                <w:lang w:val="en-US" w:eastAsia="zh-CN"/>
              </w:rPr>
              <w:t>注：以厂区西北角作为（0,0）点。</w:t>
            </w:r>
          </w:p>
        </w:tc>
      </w:tr>
      <w:tr w14:paraId="3AA4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noWrap w:val="0"/>
            <w:vAlign w:val="center"/>
          </w:tcPr>
          <w:p w14:paraId="357CD46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污染物排放控制标准</w:t>
            </w:r>
          </w:p>
        </w:tc>
        <w:tc>
          <w:tcPr>
            <w:tcW w:w="4747" w:type="pct"/>
            <w:noWrap w:val="0"/>
            <w:vAlign w:val="top"/>
          </w:tcPr>
          <w:p w14:paraId="457EDF97">
            <w:pPr>
              <w:keepNext w:val="0"/>
              <w:keepLines w:val="0"/>
              <w:pageBreakBefore w:val="0"/>
              <w:widowControl w:val="0"/>
              <w:suppressLineNumbers w:val="0"/>
              <w:tabs>
                <w:tab w:val="left" w:pos="540"/>
                <w:tab w:val="left" w:pos="900"/>
                <w:tab w:val="left" w:pos="3780"/>
              </w:tabs>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1、废气</w:t>
            </w:r>
          </w:p>
          <w:p w14:paraId="296F8FAE">
            <w:pPr>
              <w:pStyle w:val="55"/>
              <w:keepNext/>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本项目有组织废气中颗粒物、非甲烷总烃排放执行安徽省《制鞋工业大气污染物排放标准》（DB34/4809-2024）表1排放限值；氯乙烯和氯化氢排放执行</w:t>
            </w:r>
            <w:r>
              <w:rPr>
                <w:rFonts w:hint="default" w:ascii="Times New Roman" w:hAnsi="Times New Roman" w:eastAsia="宋体" w:cs="Times New Roman"/>
                <w:color w:val="auto"/>
                <w:sz w:val="24"/>
                <w:szCs w:val="24"/>
                <w:highlight w:val="none"/>
                <w:lang w:val="en-US" w:eastAsia="zh-CN"/>
              </w:rPr>
              <w:t>《大气污染物综合排放标准》（GB16297-1996）</w:t>
            </w:r>
            <w:r>
              <w:rPr>
                <w:rFonts w:hint="eastAsia" w:ascii="Times New Roman" w:hAnsi="Times New Roman" w:eastAsia="宋体" w:cs="Times New Roman"/>
                <w:color w:val="auto"/>
                <w:sz w:val="24"/>
                <w:szCs w:val="24"/>
                <w:highlight w:val="none"/>
                <w:lang w:val="en-US" w:eastAsia="zh-CN"/>
              </w:rPr>
              <w:t>表2排放限值；食堂油烟排放执行《饮食业油烟排放标准（试行）》（GB18483-2001）表2中最高允许排放浓度和油烟净化设施最低去除效率。</w:t>
            </w:r>
          </w:p>
          <w:p w14:paraId="52DF2DE9">
            <w:pPr>
              <w:pStyle w:val="55"/>
              <w:keepNext/>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厂界颗粒物</w:t>
            </w:r>
            <w:r>
              <w:rPr>
                <w:rFonts w:hint="eastAsia" w:ascii="Times New Roman" w:cs="Times New Roman"/>
                <w:b w:val="0"/>
                <w:bCs w:val="0"/>
                <w:color w:val="auto"/>
                <w:sz w:val="24"/>
                <w:highlight w:val="none"/>
                <w:lang w:val="en-US" w:eastAsia="zh-CN"/>
              </w:rPr>
              <w:t>、氯乙烯和氯化氢</w:t>
            </w:r>
            <w:r>
              <w:rPr>
                <w:rFonts w:hint="default" w:ascii="Times New Roman" w:hAnsi="Times New Roman" w:eastAsia="宋体" w:cs="Times New Roman"/>
                <w:b w:val="0"/>
                <w:bCs w:val="0"/>
                <w:color w:val="auto"/>
                <w:sz w:val="24"/>
                <w:highlight w:val="none"/>
                <w:lang w:val="en-US" w:eastAsia="zh-CN"/>
              </w:rPr>
              <w:t>无组织排放执行《大气污染物综合排放标准》（GB16297-1996）表2排放限值</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非甲烷总烃无组织排放执行</w:t>
            </w:r>
            <w:r>
              <w:rPr>
                <w:rFonts w:hint="eastAsia" w:ascii="Times New Roman" w:hAnsi="Times New Roman" w:eastAsia="宋体" w:cs="Times New Roman"/>
                <w:b w:val="0"/>
                <w:bCs w:val="0"/>
                <w:color w:val="auto"/>
                <w:sz w:val="24"/>
                <w:highlight w:val="none"/>
                <w:lang w:val="en-US" w:eastAsia="zh-CN"/>
              </w:rPr>
              <w:t>安徽省《制鞋工业大气污染物排放标准》（DB34</w:t>
            </w:r>
            <w:r>
              <w:rPr>
                <w:rFonts w:hint="eastAsia" w:ascii="Times New Roman"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4809-2024）表4排放限值。</w:t>
            </w:r>
          </w:p>
          <w:p w14:paraId="0C7D3F95">
            <w:pPr>
              <w:pStyle w:val="55"/>
              <w:keepNext/>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厂区内挥发性有机物执行</w:t>
            </w:r>
            <w:r>
              <w:rPr>
                <w:rFonts w:hint="eastAsia" w:ascii="Times New Roman" w:hAnsi="Times New Roman" w:eastAsia="宋体" w:cs="Times New Roman"/>
                <w:b w:val="0"/>
                <w:bCs w:val="0"/>
                <w:color w:val="auto"/>
                <w:sz w:val="24"/>
                <w:highlight w:val="none"/>
                <w:lang w:val="en-US" w:eastAsia="zh-CN"/>
              </w:rPr>
              <w:t>安徽省《制鞋工业大气污染物排放标准》（DB34</w:t>
            </w:r>
            <w:r>
              <w:rPr>
                <w:rFonts w:hint="eastAsia" w:ascii="Times New Roman"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4809-2024）</w:t>
            </w:r>
            <w:r>
              <w:rPr>
                <w:rFonts w:hint="default" w:ascii="Times New Roman" w:hAnsi="Times New Roman" w:eastAsia="宋体" w:cs="Times New Roman"/>
                <w:b w:val="0"/>
                <w:bCs w:val="0"/>
                <w:color w:val="auto"/>
                <w:sz w:val="24"/>
                <w:highlight w:val="none"/>
                <w:lang w:val="en-US" w:eastAsia="zh-CN"/>
              </w:rPr>
              <w:t>表</w:t>
            </w:r>
            <w:r>
              <w:rPr>
                <w:rFonts w:hint="eastAsia" w:ascii="Times New Roman" w:cs="Times New Roman"/>
                <w:b w:val="0"/>
                <w:bCs w:val="0"/>
                <w:color w:val="auto"/>
                <w:sz w:val="24"/>
                <w:highlight w:val="none"/>
                <w:lang w:val="en-US" w:eastAsia="zh-CN"/>
              </w:rPr>
              <w:t>3</w:t>
            </w:r>
            <w:r>
              <w:rPr>
                <w:rFonts w:hint="default" w:ascii="Times New Roman" w:hAnsi="Times New Roman" w:eastAsia="宋体" w:cs="Times New Roman"/>
                <w:b w:val="0"/>
                <w:bCs w:val="0"/>
                <w:color w:val="auto"/>
                <w:sz w:val="24"/>
                <w:highlight w:val="none"/>
                <w:lang w:val="en-US" w:eastAsia="zh-CN"/>
              </w:rPr>
              <w:t>排放限值要求，详见下表：</w:t>
            </w:r>
          </w:p>
          <w:p w14:paraId="6678C179">
            <w:pPr>
              <w:pStyle w:val="55"/>
              <w:keepNext/>
              <w:keepLines/>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Autospacing="0" w:line="240" w:lineRule="auto"/>
              <w:ind w:left="0" w:leftChars="0" w:right="0"/>
              <w:jc w:val="center"/>
              <w:textAlignment w:val="auto"/>
              <w:rPr>
                <w:rFonts w:hint="default" w:ascii="Times New Roman" w:hAnsi="Times New Roman" w:eastAsia="宋体" w:cs="Times New Roman"/>
                <w:b/>
                <w:bCs/>
                <w:color w:val="auto"/>
                <w:sz w:val="24"/>
                <w:szCs w:val="24"/>
                <w:highlight w:val="none"/>
                <w:vertAlign w:val="superscript"/>
                <w:lang w:val="en-US" w:eastAsia="zh-CN"/>
              </w:rPr>
            </w:pPr>
            <w:r>
              <w:rPr>
                <w:rFonts w:hint="default" w:ascii="Times New Roman" w:hAnsi="Times New Roman" w:eastAsia="宋体" w:cs="Times New Roman"/>
                <w:b/>
                <w:bCs/>
                <w:color w:val="auto"/>
                <w:sz w:val="21"/>
                <w:szCs w:val="21"/>
                <w:highlight w:val="none"/>
                <w:lang w:val="zh-CN" w:eastAsia="zh-CN"/>
              </w:rPr>
              <w:t>表3</w:t>
            </w:r>
            <w:r>
              <w:rPr>
                <w:rFonts w:hint="eastAsia" w:ascii="Times New Roman" w:hAnsi="Times New Roman" w:eastAsia="宋体" w:cs="Times New Roman"/>
                <w:b/>
                <w:bCs/>
                <w:color w:val="auto"/>
                <w:sz w:val="21"/>
                <w:szCs w:val="21"/>
                <w:highlight w:val="none"/>
                <w:lang w:val="en-US" w:eastAsia="zh-CN"/>
              </w:rPr>
              <w:t xml:space="preserve">-7 </w:t>
            </w:r>
            <w:r>
              <w:rPr>
                <w:rFonts w:hint="default" w:ascii="Times New Roman" w:hAnsi="Times New Roman" w:eastAsia="宋体" w:cs="Times New Roman"/>
                <w:b/>
                <w:bCs/>
                <w:color w:val="auto"/>
                <w:sz w:val="21"/>
                <w:szCs w:val="21"/>
                <w:highlight w:val="none"/>
                <w:lang w:val="zh-CN" w:eastAsia="zh-CN"/>
              </w:rPr>
              <w:t xml:space="preserve"> 拟建项目废气排放控制标准</w:t>
            </w:r>
            <w:r>
              <w:rPr>
                <w:rFonts w:hint="eastAsia" w:ascii="Times New Roman" w:hAnsi="Times New Roman" w:eastAsia="宋体" w:cs="Times New Roman"/>
                <w:b/>
                <w:bCs/>
                <w:color w:val="auto"/>
                <w:sz w:val="21"/>
                <w:szCs w:val="21"/>
                <w:highlight w:val="none"/>
                <w:lang w:val="en-US" w:eastAsia="zh-CN"/>
              </w:rPr>
              <w:t>限值汇总表</w:t>
            </w:r>
          </w:p>
          <w:tbl>
            <w:tblPr>
              <w:tblStyle w:val="39"/>
              <w:tblW w:w="4991" w:type="pct"/>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30"/>
              <w:gridCol w:w="1105"/>
              <w:gridCol w:w="883"/>
              <w:gridCol w:w="1398"/>
              <w:gridCol w:w="1196"/>
              <w:gridCol w:w="1939"/>
            </w:tblGrid>
            <w:tr w14:paraId="3893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847" w:type="pct"/>
                  <w:tcBorders>
                    <w:tl2br w:val="nil"/>
                    <w:tr2bl w:val="nil"/>
                  </w:tcBorders>
                  <w:noWrap w:val="0"/>
                  <w:vAlign w:val="center"/>
                </w:tcPr>
                <w:p w14:paraId="0C9583B1">
                  <w:pPr>
                    <w:keepNext w:val="0"/>
                    <w:keepLines w:val="0"/>
                    <w:suppressLineNumbers w:val="0"/>
                    <w:adjustRightInd w:val="0"/>
                    <w:snapToGrid w:val="0"/>
                    <w:spacing w:before="0" w:beforeAutospacing="0" w:after="0" w:afterAutospacing="0"/>
                    <w:ind w:left="0" w:right="0"/>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排放源</w:t>
                  </w:r>
                </w:p>
              </w:tc>
              <w:tc>
                <w:tcPr>
                  <w:tcW w:w="703" w:type="pct"/>
                  <w:tcBorders>
                    <w:tl2br w:val="nil"/>
                    <w:tr2bl w:val="nil"/>
                  </w:tcBorders>
                  <w:noWrap w:val="0"/>
                  <w:vAlign w:val="center"/>
                </w:tcPr>
                <w:p w14:paraId="2CA9C3CC">
                  <w:pPr>
                    <w:keepNext w:val="0"/>
                    <w:keepLines w:val="0"/>
                    <w:suppressLineNumbers w:val="0"/>
                    <w:adjustRightInd w:val="0"/>
                    <w:snapToGrid w:val="0"/>
                    <w:spacing w:before="0" w:beforeAutospacing="0" w:after="0" w:afterAutospacing="0"/>
                    <w:ind w:left="0" w:right="0"/>
                    <w:jc w:val="center"/>
                    <w:rPr>
                      <w:b/>
                      <w:bCs/>
                      <w:color w:val="auto"/>
                      <w:sz w:val="21"/>
                      <w:szCs w:val="21"/>
                      <w:highlight w:val="none"/>
                    </w:rPr>
                  </w:pPr>
                  <w:r>
                    <w:rPr>
                      <w:b/>
                      <w:bCs/>
                      <w:color w:val="auto"/>
                      <w:sz w:val="21"/>
                      <w:szCs w:val="21"/>
                      <w:highlight w:val="none"/>
                    </w:rPr>
                    <w:t>污染物</w:t>
                  </w:r>
                </w:p>
              </w:tc>
              <w:tc>
                <w:tcPr>
                  <w:tcW w:w="562" w:type="pct"/>
                  <w:tcBorders>
                    <w:tl2br w:val="nil"/>
                    <w:tr2bl w:val="nil"/>
                  </w:tcBorders>
                  <w:noWrap w:val="0"/>
                  <w:vAlign w:val="center"/>
                </w:tcPr>
                <w:p w14:paraId="6BC3BFB7">
                  <w:pPr>
                    <w:keepNext w:val="0"/>
                    <w:keepLines w:val="0"/>
                    <w:suppressLineNumbers w:val="0"/>
                    <w:adjustRightInd w:val="0"/>
                    <w:snapToGrid w:val="0"/>
                    <w:spacing w:before="0" w:beforeAutospacing="0" w:after="0" w:afterAutospacing="0"/>
                    <w:ind w:left="0" w:right="0"/>
                    <w:jc w:val="center"/>
                    <w:rPr>
                      <w:rFonts w:hint="eastAsia"/>
                      <w:b/>
                      <w:bCs/>
                      <w:color w:val="auto"/>
                      <w:sz w:val="21"/>
                      <w:szCs w:val="21"/>
                      <w:highlight w:val="none"/>
                    </w:rPr>
                  </w:pPr>
                  <w:r>
                    <w:rPr>
                      <w:rFonts w:hint="eastAsia"/>
                      <w:b/>
                      <w:bCs/>
                      <w:color w:val="auto"/>
                      <w:sz w:val="21"/>
                      <w:szCs w:val="21"/>
                      <w:highlight w:val="none"/>
                    </w:rPr>
                    <w:t>排气筒</w:t>
                  </w:r>
                </w:p>
                <w:p w14:paraId="0D5D808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b/>
                      <w:bCs/>
                      <w:color w:val="auto"/>
                      <w:sz w:val="21"/>
                      <w:szCs w:val="21"/>
                      <w:highlight w:val="none"/>
                    </w:rPr>
                    <w:t>高度</w:t>
                  </w:r>
                  <w:r>
                    <w:rPr>
                      <w:rFonts w:hint="eastAsia"/>
                      <w:b/>
                      <w:bCs/>
                      <w:color w:val="auto"/>
                      <w:sz w:val="21"/>
                      <w:szCs w:val="21"/>
                      <w:highlight w:val="none"/>
                      <w:lang w:eastAsia="zh-CN"/>
                    </w:rPr>
                    <w:t>（</w:t>
                  </w:r>
                  <w:r>
                    <w:rPr>
                      <w:rFonts w:hint="eastAsia"/>
                      <w:b/>
                      <w:bCs/>
                      <w:color w:val="auto"/>
                      <w:sz w:val="21"/>
                      <w:szCs w:val="21"/>
                      <w:highlight w:val="none"/>
                    </w:rPr>
                    <w:t>m</w:t>
                  </w:r>
                  <w:r>
                    <w:rPr>
                      <w:rFonts w:hint="eastAsia"/>
                      <w:b/>
                      <w:bCs/>
                      <w:color w:val="auto"/>
                      <w:sz w:val="21"/>
                      <w:szCs w:val="21"/>
                      <w:highlight w:val="none"/>
                      <w:lang w:eastAsia="zh-CN"/>
                    </w:rPr>
                    <w:t>）</w:t>
                  </w:r>
                </w:p>
              </w:tc>
              <w:tc>
                <w:tcPr>
                  <w:tcW w:w="890" w:type="pct"/>
                  <w:tcBorders>
                    <w:tl2br w:val="nil"/>
                    <w:tr2bl w:val="nil"/>
                  </w:tcBorders>
                  <w:noWrap w:val="0"/>
                  <w:vAlign w:val="center"/>
                </w:tcPr>
                <w:p w14:paraId="64D7CE33">
                  <w:pPr>
                    <w:keepNext w:val="0"/>
                    <w:keepLines w:val="0"/>
                    <w:suppressLineNumbers w:val="0"/>
                    <w:adjustRightInd w:val="0"/>
                    <w:snapToGrid w:val="0"/>
                    <w:spacing w:before="0" w:beforeAutospacing="0" w:after="0" w:afterAutospacing="0"/>
                    <w:ind w:left="0" w:right="0"/>
                    <w:jc w:val="center"/>
                    <w:rPr>
                      <w:b/>
                      <w:bCs/>
                      <w:color w:val="auto"/>
                      <w:sz w:val="21"/>
                      <w:szCs w:val="21"/>
                      <w:highlight w:val="none"/>
                    </w:rPr>
                  </w:pPr>
                  <w:r>
                    <w:rPr>
                      <w:rFonts w:hint="eastAsia"/>
                      <w:b/>
                      <w:bCs/>
                      <w:color w:val="auto"/>
                      <w:sz w:val="21"/>
                      <w:szCs w:val="21"/>
                      <w:highlight w:val="none"/>
                    </w:rPr>
                    <w:t>最高允许</w:t>
                  </w:r>
                  <w:r>
                    <w:rPr>
                      <w:b/>
                      <w:bCs/>
                      <w:color w:val="auto"/>
                      <w:sz w:val="21"/>
                      <w:szCs w:val="21"/>
                      <w:highlight w:val="none"/>
                    </w:rPr>
                    <w:t>排放</w:t>
                  </w:r>
                  <w:r>
                    <w:rPr>
                      <w:rFonts w:hint="eastAsia"/>
                      <w:b/>
                      <w:bCs/>
                      <w:color w:val="auto"/>
                      <w:sz w:val="21"/>
                      <w:szCs w:val="21"/>
                      <w:highlight w:val="none"/>
                    </w:rPr>
                    <w:t>浓度</w:t>
                  </w:r>
                  <w:r>
                    <w:rPr>
                      <w:b/>
                      <w:bCs/>
                      <w:color w:val="auto"/>
                      <w:sz w:val="21"/>
                      <w:szCs w:val="21"/>
                      <w:highlight w:val="none"/>
                    </w:rPr>
                    <w:t>（mg/m</w:t>
                  </w:r>
                  <w:r>
                    <w:rPr>
                      <w:b/>
                      <w:bCs/>
                      <w:color w:val="auto"/>
                      <w:sz w:val="21"/>
                      <w:szCs w:val="21"/>
                      <w:highlight w:val="none"/>
                      <w:vertAlign w:val="superscript"/>
                    </w:rPr>
                    <w:t>3</w:t>
                  </w:r>
                  <w:r>
                    <w:rPr>
                      <w:b/>
                      <w:bCs/>
                      <w:color w:val="auto"/>
                      <w:sz w:val="21"/>
                      <w:szCs w:val="21"/>
                      <w:highlight w:val="none"/>
                    </w:rPr>
                    <w:t>）</w:t>
                  </w:r>
                </w:p>
              </w:tc>
              <w:tc>
                <w:tcPr>
                  <w:tcW w:w="761" w:type="pct"/>
                  <w:tcBorders>
                    <w:tl2br w:val="nil"/>
                    <w:tr2bl w:val="nil"/>
                  </w:tcBorders>
                  <w:noWrap w:val="0"/>
                  <w:vAlign w:val="center"/>
                </w:tcPr>
                <w:p w14:paraId="21AB863F">
                  <w:pPr>
                    <w:keepNext w:val="0"/>
                    <w:keepLines w:val="0"/>
                    <w:suppressLineNumbers w:val="0"/>
                    <w:adjustRightInd w:val="0"/>
                    <w:snapToGrid w:val="0"/>
                    <w:spacing w:before="0" w:beforeAutospacing="0" w:after="0" w:afterAutospacing="0"/>
                    <w:ind w:left="0" w:right="0"/>
                    <w:jc w:val="center"/>
                    <w:rPr>
                      <w:b/>
                      <w:bCs/>
                      <w:color w:val="auto"/>
                      <w:sz w:val="21"/>
                      <w:szCs w:val="21"/>
                      <w:highlight w:val="none"/>
                    </w:rPr>
                  </w:pPr>
                  <w:r>
                    <w:rPr>
                      <w:rFonts w:hint="eastAsia"/>
                      <w:b/>
                      <w:bCs/>
                      <w:color w:val="auto"/>
                      <w:sz w:val="21"/>
                      <w:szCs w:val="21"/>
                      <w:highlight w:val="none"/>
                    </w:rPr>
                    <w:t>最高允许排放速率</w:t>
                  </w:r>
                  <w:r>
                    <w:rPr>
                      <w:rFonts w:hint="eastAsia"/>
                      <w:b/>
                      <w:bCs/>
                      <w:color w:val="auto"/>
                      <w:sz w:val="21"/>
                      <w:szCs w:val="21"/>
                      <w:highlight w:val="none"/>
                      <w:lang w:eastAsia="zh-CN"/>
                    </w:rPr>
                    <w:t>（</w:t>
                  </w:r>
                  <w:r>
                    <w:rPr>
                      <w:rFonts w:hint="eastAsia"/>
                      <w:b/>
                      <w:bCs/>
                      <w:color w:val="auto"/>
                      <w:sz w:val="21"/>
                      <w:szCs w:val="21"/>
                      <w:highlight w:val="none"/>
                    </w:rPr>
                    <w:t>kg/h</w:t>
                  </w:r>
                  <w:r>
                    <w:rPr>
                      <w:rFonts w:hint="eastAsia"/>
                      <w:b/>
                      <w:bCs/>
                      <w:color w:val="auto"/>
                      <w:sz w:val="21"/>
                      <w:szCs w:val="21"/>
                      <w:highlight w:val="none"/>
                      <w:lang w:eastAsia="zh-CN"/>
                    </w:rPr>
                    <w:t>）</w:t>
                  </w:r>
                </w:p>
              </w:tc>
              <w:tc>
                <w:tcPr>
                  <w:tcW w:w="1234" w:type="pct"/>
                  <w:tcBorders>
                    <w:tl2br w:val="nil"/>
                    <w:tr2bl w:val="nil"/>
                  </w:tcBorders>
                  <w:noWrap w:val="0"/>
                  <w:vAlign w:val="center"/>
                </w:tcPr>
                <w:p w14:paraId="6A5D918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rPr>
                  </w:pPr>
                  <w:r>
                    <w:rPr>
                      <w:rFonts w:hint="eastAsia" w:ascii="Times New Roman" w:hAnsi="Times New Roman" w:eastAsia="宋体" w:cs="Times New Roman"/>
                      <w:b/>
                      <w:bCs/>
                      <w:color w:val="auto"/>
                      <w:sz w:val="21"/>
                      <w:szCs w:val="21"/>
                      <w:highlight w:val="none"/>
                    </w:rPr>
                    <w:t>标准</w:t>
                  </w:r>
                  <w:r>
                    <w:rPr>
                      <w:rFonts w:hint="eastAsia" w:cs="Times New Roman"/>
                      <w:b/>
                      <w:bCs/>
                      <w:color w:val="auto"/>
                      <w:sz w:val="21"/>
                      <w:szCs w:val="21"/>
                      <w:highlight w:val="none"/>
                      <w:lang w:val="en-US" w:eastAsia="zh-CN"/>
                    </w:rPr>
                    <w:t>限值来源</w:t>
                  </w:r>
                </w:p>
              </w:tc>
            </w:tr>
            <w:tr w14:paraId="443E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47" w:type="pct"/>
                  <w:tcBorders>
                    <w:tl2br w:val="nil"/>
                    <w:tr2bl w:val="nil"/>
                  </w:tcBorders>
                  <w:noWrap w:val="0"/>
                  <w:vAlign w:val="center"/>
                </w:tcPr>
                <w:p w14:paraId="32A20FB0">
                  <w:pPr>
                    <w:keepNext w:val="0"/>
                    <w:keepLines w:val="0"/>
                    <w:suppressLineNumbers w:val="0"/>
                    <w:adjustRightInd w:val="0"/>
                    <w:snapToGrid w:val="0"/>
                    <w:spacing w:before="0" w:beforeAutospacing="0" w:after="0" w:afterAutospacing="0"/>
                    <w:ind w:left="0" w:right="0"/>
                    <w:jc w:val="center"/>
                    <w:textAlignment w:val="baseline"/>
                    <w:rPr>
                      <w:rFonts w:hint="default"/>
                      <w:color w:val="auto"/>
                      <w:sz w:val="21"/>
                      <w:szCs w:val="21"/>
                      <w:highlight w:val="none"/>
                      <w:lang w:val="en-US" w:eastAsia="zh-CN"/>
                    </w:rPr>
                  </w:pPr>
                  <w:r>
                    <w:rPr>
                      <w:rFonts w:hint="eastAsia" w:hAnsi="宋体" w:eastAsia="宋体" w:cs="宋体"/>
                      <w:b w:val="0"/>
                      <w:bCs w:val="0"/>
                      <w:color w:val="auto"/>
                      <w:sz w:val="21"/>
                      <w:szCs w:val="21"/>
                      <w:highlight w:val="none"/>
                      <w:lang w:val="en-US" w:eastAsia="zh-CN"/>
                    </w:rPr>
                    <w:t>投料粉尘</w:t>
                  </w:r>
                  <w:r>
                    <w:rPr>
                      <w:rFonts w:hint="eastAsia" w:hAnsi="宋体" w:cs="宋体"/>
                      <w:b w:val="0"/>
                      <w:bCs w:val="0"/>
                      <w:color w:val="auto"/>
                      <w:sz w:val="21"/>
                      <w:szCs w:val="21"/>
                      <w:highlight w:val="none"/>
                      <w:lang w:val="en-US" w:eastAsia="zh-CN"/>
                    </w:rPr>
                    <w:t>排气筒（DA001）</w:t>
                  </w:r>
                </w:p>
              </w:tc>
              <w:tc>
                <w:tcPr>
                  <w:tcW w:w="703" w:type="pct"/>
                  <w:tcBorders>
                    <w:tl2br w:val="nil"/>
                    <w:tr2bl w:val="nil"/>
                  </w:tcBorders>
                  <w:noWrap w:val="0"/>
                  <w:vAlign w:val="center"/>
                </w:tcPr>
                <w:p w14:paraId="77725898">
                  <w:pPr>
                    <w:keepNext w:val="0"/>
                    <w:keepLines w:val="0"/>
                    <w:suppressLineNumbers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颗粒物</w:t>
                  </w:r>
                </w:p>
              </w:tc>
              <w:tc>
                <w:tcPr>
                  <w:tcW w:w="562" w:type="pct"/>
                  <w:tcBorders>
                    <w:tl2br w:val="nil"/>
                    <w:tr2bl w:val="nil"/>
                  </w:tcBorders>
                  <w:noWrap w:val="0"/>
                  <w:vAlign w:val="center"/>
                </w:tcPr>
                <w:p w14:paraId="3A25F4D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890" w:type="pct"/>
                  <w:tcBorders>
                    <w:tl2br w:val="nil"/>
                    <w:tr2bl w:val="nil"/>
                  </w:tcBorders>
                  <w:noWrap w:val="0"/>
                  <w:vAlign w:val="center"/>
                </w:tcPr>
                <w:p w14:paraId="147FA9A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30</w:t>
                  </w:r>
                </w:p>
              </w:tc>
              <w:tc>
                <w:tcPr>
                  <w:tcW w:w="761" w:type="pct"/>
                  <w:tcBorders>
                    <w:tl2br w:val="nil"/>
                    <w:tr2bl w:val="nil"/>
                  </w:tcBorders>
                  <w:noWrap w:val="0"/>
                  <w:vAlign w:val="center"/>
                </w:tcPr>
                <w:p w14:paraId="181114A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234" w:type="pct"/>
                  <w:vMerge w:val="restart"/>
                  <w:tcBorders>
                    <w:tl2br w:val="nil"/>
                    <w:tr2bl w:val="nil"/>
                  </w:tcBorders>
                  <w:noWrap w:val="0"/>
                  <w:vAlign w:val="center"/>
                </w:tcPr>
                <w:p w14:paraId="7B482AE7">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color w:val="auto"/>
                      <w:spacing w:val="2"/>
                      <w:kern w:val="2"/>
                      <w:sz w:val="21"/>
                      <w:szCs w:val="21"/>
                      <w:highlight w:val="none"/>
                      <w:lang w:val="en-US" w:eastAsia="zh-CN" w:bidi="ar-SA"/>
                    </w:rPr>
                    <w:t>安徽省《制鞋工业大气污染物排放标准》（DB34/4809-2024）</w:t>
                  </w:r>
                </w:p>
              </w:tc>
            </w:tr>
            <w:tr w14:paraId="1D10A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47" w:type="pct"/>
                  <w:vMerge w:val="restart"/>
                  <w:tcBorders>
                    <w:tl2br w:val="nil"/>
                    <w:tr2bl w:val="nil"/>
                  </w:tcBorders>
                  <w:noWrap w:val="0"/>
                  <w:vAlign w:val="center"/>
                </w:tcPr>
                <w:p w14:paraId="4751EE05">
                  <w:pPr>
                    <w:keepNext w:val="0"/>
                    <w:keepLines w:val="0"/>
                    <w:suppressLineNumbers w:val="0"/>
                    <w:adjustRightInd w:val="0"/>
                    <w:snapToGrid w:val="0"/>
                    <w:spacing w:before="0" w:beforeAutospacing="0" w:after="0" w:afterAutospacing="0"/>
                    <w:ind w:left="0" w:right="0"/>
                    <w:jc w:val="center"/>
                    <w:textAlignment w:val="baseline"/>
                    <w:rPr>
                      <w:rFonts w:hint="default"/>
                      <w:color w:val="auto"/>
                      <w:sz w:val="21"/>
                      <w:szCs w:val="21"/>
                      <w:highlight w:val="none"/>
                      <w:lang w:val="en-US" w:eastAsia="zh-CN"/>
                    </w:rPr>
                  </w:pPr>
                  <w:r>
                    <w:rPr>
                      <w:rFonts w:hint="eastAsia" w:hAnsi="宋体" w:eastAsia="宋体" w:cs="宋体"/>
                      <w:b w:val="0"/>
                      <w:bCs w:val="0"/>
                      <w:color w:val="auto"/>
                      <w:sz w:val="21"/>
                      <w:szCs w:val="21"/>
                      <w:highlight w:val="none"/>
                      <w:lang w:val="en-US" w:eastAsia="zh-CN"/>
                    </w:rPr>
                    <w:t>注塑、浇注废气、脱模剂废气</w:t>
                  </w:r>
                  <w:r>
                    <w:rPr>
                      <w:rFonts w:hint="eastAsia" w:hAnsi="宋体" w:cs="宋体"/>
                      <w:b w:val="0"/>
                      <w:bCs w:val="0"/>
                      <w:color w:val="auto"/>
                      <w:sz w:val="21"/>
                      <w:szCs w:val="21"/>
                      <w:highlight w:val="none"/>
                      <w:lang w:val="en-US" w:eastAsia="zh-CN"/>
                    </w:rPr>
                    <w:t>排气筒（DA002）</w:t>
                  </w:r>
                </w:p>
              </w:tc>
              <w:tc>
                <w:tcPr>
                  <w:tcW w:w="703" w:type="pct"/>
                  <w:tcBorders>
                    <w:tl2br w:val="nil"/>
                    <w:tr2bl w:val="nil"/>
                  </w:tcBorders>
                  <w:noWrap w:val="0"/>
                  <w:vAlign w:val="center"/>
                </w:tcPr>
                <w:p w14:paraId="7132F8E2">
                  <w:pPr>
                    <w:keepNext w:val="0"/>
                    <w:keepLines w:val="0"/>
                    <w:suppressLineNumbers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非甲烷总烃</w:t>
                  </w:r>
                </w:p>
              </w:tc>
              <w:tc>
                <w:tcPr>
                  <w:tcW w:w="562" w:type="pct"/>
                  <w:vMerge w:val="restart"/>
                  <w:tcBorders>
                    <w:tl2br w:val="nil"/>
                    <w:tr2bl w:val="nil"/>
                  </w:tcBorders>
                  <w:noWrap w:val="0"/>
                  <w:vAlign w:val="center"/>
                </w:tcPr>
                <w:p w14:paraId="3CDBAF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890" w:type="pct"/>
                  <w:tcBorders>
                    <w:tl2br w:val="nil"/>
                    <w:tr2bl w:val="nil"/>
                  </w:tcBorders>
                  <w:noWrap w:val="0"/>
                  <w:vAlign w:val="center"/>
                </w:tcPr>
                <w:p w14:paraId="6538040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60</w:t>
                  </w:r>
                </w:p>
              </w:tc>
              <w:tc>
                <w:tcPr>
                  <w:tcW w:w="761" w:type="pct"/>
                  <w:tcBorders>
                    <w:tl2br w:val="nil"/>
                    <w:tr2bl w:val="nil"/>
                  </w:tcBorders>
                  <w:noWrap w:val="0"/>
                  <w:vAlign w:val="center"/>
                </w:tcPr>
                <w:p w14:paraId="466A70C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234" w:type="pct"/>
                  <w:vMerge w:val="continue"/>
                  <w:tcBorders>
                    <w:tl2br w:val="nil"/>
                    <w:tr2bl w:val="nil"/>
                  </w:tcBorders>
                  <w:noWrap w:val="0"/>
                  <w:vAlign w:val="center"/>
                </w:tcPr>
                <w:p w14:paraId="79F2480A">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auto"/>
                      <w:spacing w:val="2"/>
                      <w:kern w:val="2"/>
                      <w:sz w:val="21"/>
                      <w:szCs w:val="21"/>
                      <w:highlight w:val="none"/>
                      <w:lang w:val="en-US" w:eastAsia="zh-CN" w:bidi="ar-SA"/>
                    </w:rPr>
                  </w:pPr>
                </w:p>
              </w:tc>
            </w:tr>
            <w:tr w14:paraId="4B47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47" w:type="pct"/>
                  <w:vMerge w:val="continue"/>
                  <w:tcBorders>
                    <w:tl2br w:val="nil"/>
                    <w:tr2bl w:val="nil"/>
                  </w:tcBorders>
                  <w:noWrap w:val="0"/>
                  <w:vAlign w:val="center"/>
                </w:tcPr>
                <w:p w14:paraId="034B9A4E">
                  <w:pPr>
                    <w:keepNext w:val="0"/>
                    <w:keepLines w:val="0"/>
                    <w:suppressLineNumbers w:val="0"/>
                    <w:adjustRightInd w:val="0"/>
                    <w:snapToGrid w:val="0"/>
                    <w:spacing w:before="0" w:beforeAutospacing="0" w:after="0" w:afterAutospacing="0"/>
                    <w:ind w:left="0" w:right="0"/>
                    <w:jc w:val="center"/>
                    <w:textAlignment w:val="baseline"/>
                    <w:rPr>
                      <w:rFonts w:hint="eastAsia"/>
                      <w:color w:val="auto"/>
                      <w:sz w:val="21"/>
                      <w:szCs w:val="21"/>
                      <w:highlight w:val="none"/>
                      <w:lang w:val="en-US" w:eastAsia="zh-CN"/>
                    </w:rPr>
                  </w:pPr>
                </w:p>
              </w:tc>
              <w:tc>
                <w:tcPr>
                  <w:tcW w:w="703" w:type="pct"/>
                  <w:tcBorders>
                    <w:tl2br w:val="nil"/>
                    <w:tr2bl w:val="nil"/>
                  </w:tcBorders>
                  <w:shd w:val="clear" w:color="auto" w:fill="auto"/>
                  <w:noWrap w:val="0"/>
                  <w:vAlign w:val="center"/>
                </w:tcPr>
                <w:p w14:paraId="23DF033C">
                  <w:pPr>
                    <w:keepNext w:val="0"/>
                    <w:keepLines w:val="0"/>
                    <w:suppressLineNumbers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氯乙烯</w:t>
                  </w:r>
                </w:p>
              </w:tc>
              <w:tc>
                <w:tcPr>
                  <w:tcW w:w="562" w:type="pct"/>
                  <w:vMerge w:val="continue"/>
                  <w:tcBorders>
                    <w:tl2br w:val="nil"/>
                    <w:tr2bl w:val="nil"/>
                  </w:tcBorders>
                  <w:shd w:val="clear" w:color="auto" w:fill="auto"/>
                  <w:noWrap w:val="0"/>
                  <w:vAlign w:val="center"/>
                </w:tcPr>
                <w:p w14:paraId="253AA58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p>
              </w:tc>
              <w:tc>
                <w:tcPr>
                  <w:tcW w:w="890" w:type="pct"/>
                  <w:tcBorders>
                    <w:tl2br w:val="nil"/>
                    <w:tr2bl w:val="nil"/>
                  </w:tcBorders>
                  <w:shd w:val="clear" w:color="auto" w:fill="auto"/>
                  <w:noWrap w:val="0"/>
                  <w:vAlign w:val="center"/>
                </w:tcPr>
                <w:p w14:paraId="0F39F7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36</w:t>
                  </w:r>
                </w:p>
              </w:tc>
              <w:tc>
                <w:tcPr>
                  <w:tcW w:w="761" w:type="pct"/>
                  <w:tcBorders>
                    <w:tl2br w:val="nil"/>
                    <w:tr2bl w:val="nil"/>
                  </w:tcBorders>
                  <w:shd w:val="clear" w:color="auto" w:fill="auto"/>
                  <w:noWrap w:val="0"/>
                  <w:vAlign w:val="center"/>
                </w:tcPr>
                <w:p w14:paraId="6970DA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0.77（二级）</w:t>
                  </w:r>
                </w:p>
              </w:tc>
              <w:tc>
                <w:tcPr>
                  <w:tcW w:w="1234" w:type="pct"/>
                  <w:vMerge w:val="restart"/>
                  <w:tcBorders>
                    <w:tl2br w:val="nil"/>
                    <w:tr2bl w:val="nil"/>
                  </w:tcBorders>
                  <w:noWrap w:val="0"/>
                  <w:vAlign w:val="center"/>
                </w:tcPr>
                <w:p w14:paraId="2FB37F59">
                  <w:pPr>
                    <w:keepNext w:val="0"/>
                    <w:keepLines w:val="0"/>
                    <w:widowControl/>
                    <w:suppressLineNumbers w:val="0"/>
                    <w:snapToGrid w:val="0"/>
                    <w:spacing w:before="0" w:beforeAutospacing="0" w:after="0" w:afterAutospacing="0"/>
                    <w:ind w:left="0" w:right="0"/>
                    <w:jc w:val="center"/>
                    <w:rPr>
                      <w:rFonts w:hint="eastAsia"/>
                      <w:color w:val="auto"/>
                      <w:spacing w:val="2"/>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《大气污染物综合排放标准》（GB16297-1996）</w:t>
                  </w:r>
                </w:p>
              </w:tc>
            </w:tr>
            <w:tr w14:paraId="06F8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47" w:type="pct"/>
                  <w:vMerge w:val="continue"/>
                  <w:tcBorders>
                    <w:tl2br w:val="nil"/>
                    <w:tr2bl w:val="nil"/>
                  </w:tcBorders>
                  <w:noWrap w:val="0"/>
                  <w:vAlign w:val="center"/>
                </w:tcPr>
                <w:p w14:paraId="4C8FD4FE">
                  <w:pPr>
                    <w:keepNext w:val="0"/>
                    <w:keepLines w:val="0"/>
                    <w:suppressLineNumbers w:val="0"/>
                    <w:adjustRightInd w:val="0"/>
                    <w:snapToGrid w:val="0"/>
                    <w:spacing w:before="0" w:beforeAutospacing="0" w:after="0" w:afterAutospacing="0"/>
                    <w:ind w:left="0" w:right="0"/>
                    <w:jc w:val="center"/>
                    <w:textAlignment w:val="baseline"/>
                    <w:rPr>
                      <w:rFonts w:hint="eastAsia"/>
                      <w:color w:val="auto"/>
                      <w:sz w:val="21"/>
                      <w:szCs w:val="21"/>
                      <w:highlight w:val="none"/>
                      <w:lang w:val="en-US" w:eastAsia="zh-CN"/>
                    </w:rPr>
                  </w:pPr>
                </w:p>
              </w:tc>
              <w:tc>
                <w:tcPr>
                  <w:tcW w:w="703" w:type="pct"/>
                  <w:tcBorders>
                    <w:tl2br w:val="nil"/>
                    <w:tr2bl w:val="nil"/>
                  </w:tcBorders>
                  <w:shd w:val="clear" w:color="auto" w:fill="auto"/>
                  <w:noWrap w:val="0"/>
                  <w:vAlign w:val="center"/>
                </w:tcPr>
                <w:p w14:paraId="67C1B983">
                  <w:pPr>
                    <w:keepNext w:val="0"/>
                    <w:keepLines w:val="0"/>
                    <w:suppressLineNumbers w:val="0"/>
                    <w:adjustRightInd w:val="0"/>
                    <w:snapToGrid w:val="0"/>
                    <w:spacing w:before="0" w:beforeAutospacing="0" w:after="0" w:afterAutospacing="0"/>
                    <w:ind w:left="0" w:right="0"/>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氯化氢</w:t>
                  </w:r>
                </w:p>
              </w:tc>
              <w:tc>
                <w:tcPr>
                  <w:tcW w:w="562" w:type="pct"/>
                  <w:vMerge w:val="continue"/>
                  <w:tcBorders>
                    <w:tl2br w:val="nil"/>
                    <w:tr2bl w:val="nil"/>
                  </w:tcBorders>
                  <w:shd w:val="clear" w:color="auto" w:fill="auto"/>
                  <w:noWrap w:val="0"/>
                  <w:vAlign w:val="center"/>
                </w:tcPr>
                <w:p w14:paraId="26EFFB00">
                  <w:pPr>
                    <w:keepNext w:val="0"/>
                    <w:keepLines w:val="0"/>
                    <w:suppressLineNumbers w:val="0"/>
                    <w:adjustRightInd w:val="0"/>
                    <w:snapToGrid w:val="0"/>
                    <w:spacing w:before="0" w:beforeAutospacing="0" w:after="0" w:afterAutospacing="0"/>
                    <w:ind w:left="0" w:right="0"/>
                    <w:jc w:val="center"/>
                    <w:rPr>
                      <w:rFonts w:hint="eastAsia"/>
                      <w:color w:val="auto"/>
                      <w:sz w:val="21"/>
                      <w:szCs w:val="21"/>
                      <w:highlight w:val="none"/>
                      <w:lang w:val="en-US" w:eastAsia="zh-CN"/>
                    </w:rPr>
                  </w:pPr>
                </w:p>
              </w:tc>
              <w:tc>
                <w:tcPr>
                  <w:tcW w:w="890" w:type="pct"/>
                  <w:tcBorders>
                    <w:tl2br w:val="nil"/>
                    <w:tr2bl w:val="nil"/>
                  </w:tcBorders>
                  <w:shd w:val="clear" w:color="auto" w:fill="auto"/>
                  <w:noWrap w:val="0"/>
                  <w:vAlign w:val="center"/>
                </w:tcPr>
                <w:p w14:paraId="3059AFDB">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100</w:t>
                  </w:r>
                </w:p>
              </w:tc>
              <w:tc>
                <w:tcPr>
                  <w:tcW w:w="761" w:type="pct"/>
                  <w:tcBorders>
                    <w:tl2br w:val="nil"/>
                    <w:tr2bl w:val="nil"/>
                  </w:tcBorders>
                  <w:shd w:val="clear" w:color="auto" w:fill="auto"/>
                  <w:noWrap w:val="0"/>
                  <w:vAlign w:val="center"/>
                </w:tcPr>
                <w:p w14:paraId="6198C9B4">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0.26（二级）</w:t>
                  </w:r>
                </w:p>
              </w:tc>
              <w:tc>
                <w:tcPr>
                  <w:tcW w:w="1234" w:type="pct"/>
                  <w:vMerge w:val="continue"/>
                  <w:tcBorders>
                    <w:tl2br w:val="nil"/>
                    <w:tr2bl w:val="nil"/>
                  </w:tcBorders>
                  <w:noWrap w:val="0"/>
                  <w:vAlign w:val="center"/>
                </w:tcPr>
                <w:p w14:paraId="1782EF22">
                  <w:pPr>
                    <w:keepNext w:val="0"/>
                    <w:keepLines w:val="0"/>
                    <w:widowControl/>
                    <w:suppressLineNumbers w:val="0"/>
                    <w:snapToGrid w:val="0"/>
                    <w:spacing w:before="0" w:beforeAutospacing="0" w:after="0" w:afterAutospacing="0"/>
                    <w:ind w:left="0" w:right="0"/>
                    <w:jc w:val="center"/>
                    <w:rPr>
                      <w:rFonts w:hint="eastAsia"/>
                      <w:color w:val="auto"/>
                      <w:spacing w:val="2"/>
                      <w:sz w:val="21"/>
                      <w:szCs w:val="21"/>
                      <w:highlight w:val="none"/>
                      <w:lang w:val="en-US" w:eastAsia="zh-CN"/>
                    </w:rPr>
                  </w:pPr>
                </w:p>
              </w:tc>
            </w:tr>
            <w:tr w14:paraId="366E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847" w:type="pct"/>
                  <w:vMerge w:val="restart"/>
                  <w:tcBorders>
                    <w:tl2br w:val="nil"/>
                    <w:tr2bl w:val="nil"/>
                  </w:tcBorders>
                  <w:noWrap w:val="0"/>
                  <w:vAlign w:val="center"/>
                </w:tcPr>
                <w:p w14:paraId="0B316DA9">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 xml:space="preserve">食堂油烟 </w:t>
                  </w:r>
                </w:p>
              </w:tc>
              <w:tc>
                <w:tcPr>
                  <w:tcW w:w="703" w:type="pct"/>
                  <w:vMerge w:val="restart"/>
                  <w:tcBorders>
                    <w:tl2br w:val="nil"/>
                    <w:tr2bl w:val="nil"/>
                  </w:tcBorders>
                  <w:noWrap w:val="0"/>
                  <w:vAlign w:val="center"/>
                </w:tcPr>
                <w:p w14:paraId="29CF8C2E">
                  <w:pPr>
                    <w:keepNext w:val="0"/>
                    <w:keepLines w:val="0"/>
                    <w:suppressLineNumbers w:val="0"/>
                    <w:adjustRightInd w:val="0"/>
                    <w:snapToGrid w:val="0"/>
                    <w:spacing w:before="0" w:beforeAutospacing="0" w:after="0" w:afterAutospacing="0"/>
                    <w:ind w:left="0" w:right="0"/>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油烟</w:t>
                  </w:r>
                </w:p>
              </w:tc>
              <w:tc>
                <w:tcPr>
                  <w:tcW w:w="562" w:type="pct"/>
                  <w:tcBorders>
                    <w:tl2br w:val="nil"/>
                    <w:tr2bl w:val="nil"/>
                  </w:tcBorders>
                  <w:noWrap w:val="0"/>
                  <w:vAlign w:val="center"/>
                </w:tcPr>
                <w:p w14:paraId="4BA664E0">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890" w:type="pct"/>
                  <w:tcBorders>
                    <w:tl2br w:val="nil"/>
                    <w:tr2bl w:val="nil"/>
                  </w:tcBorders>
                  <w:noWrap w:val="0"/>
                  <w:vAlign w:val="center"/>
                </w:tcPr>
                <w:p w14:paraId="151ED137">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761" w:type="pct"/>
                  <w:tcBorders>
                    <w:tl2br w:val="nil"/>
                    <w:tr2bl w:val="nil"/>
                  </w:tcBorders>
                  <w:noWrap w:val="0"/>
                  <w:vAlign w:val="center"/>
                </w:tcPr>
                <w:p w14:paraId="68A3C872">
                  <w:pPr>
                    <w:keepNext w:val="0"/>
                    <w:keepLines w:val="0"/>
                    <w:suppressLineNumbers w:val="0"/>
                    <w:adjustRightInd w:val="0"/>
                    <w:snapToGrid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234" w:type="pct"/>
                  <w:vMerge w:val="restart"/>
                  <w:tcBorders>
                    <w:tl2br w:val="nil"/>
                    <w:tr2bl w:val="nil"/>
                  </w:tcBorders>
                  <w:noWrap w:val="0"/>
                  <w:vAlign w:val="center"/>
                </w:tcPr>
                <w:p w14:paraId="7F8E1634">
                  <w:pPr>
                    <w:keepNext w:val="0"/>
                    <w:keepLines w:val="0"/>
                    <w:widowControl/>
                    <w:suppressLineNumbers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lang w:val="en-US" w:eastAsia="zh-CN"/>
                    </w:rPr>
                  </w:pPr>
                  <w:r>
                    <w:rPr>
                      <w:rFonts w:hint="eastAsia"/>
                      <w:color w:val="auto"/>
                      <w:kern w:val="0"/>
                      <w:szCs w:val="21"/>
                      <w:highlight w:val="none"/>
                    </w:rPr>
                    <w:t>《饮食业油烟排放标准》（G</w:t>
                  </w:r>
                  <w:r>
                    <w:rPr>
                      <w:color w:val="auto"/>
                      <w:kern w:val="0"/>
                      <w:szCs w:val="21"/>
                      <w:highlight w:val="none"/>
                    </w:rPr>
                    <w:t>B18483-2001</w:t>
                  </w:r>
                  <w:r>
                    <w:rPr>
                      <w:rFonts w:hint="eastAsia"/>
                      <w:color w:val="auto"/>
                      <w:kern w:val="0"/>
                      <w:szCs w:val="21"/>
                      <w:highlight w:val="none"/>
                    </w:rPr>
                    <w:t>）</w:t>
                  </w:r>
                </w:p>
              </w:tc>
            </w:tr>
            <w:tr w14:paraId="7533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6" w:hRule="atLeast"/>
              </w:trPr>
              <w:tc>
                <w:tcPr>
                  <w:tcW w:w="847" w:type="pct"/>
                  <w:vMerge w:val="continue"/>
                  <w:tcBorders>
                    <w:tl2br w:val="nil"/>
                    <w:tr2bl w:val="nil"/>
                  </w:tcBorders>
                  <w:noWrap w:val="0"/>
                  <w:vAlign w:val="center"/>
                </w:tcPr>
                <w:p w14:paraId="40B54189">
                  <w:pPr>
                    <w:keepNext w:val="0"/>
                    <w:keepLines w:val="0"/>
                    <w:suppressLineNumbers w:val="0"/>
                    <w:adjustRightInd w:val="0"/>
                    <w:snapToGrid w:val="0"/>
                    <w:spacing w:before="0" w:beforeAutospacing="0" w:after="0" w:afterAutospacing="0"/>
                    <w:ind w:left="0" w:right="0"/>
                    <w:jc w:val="center"/>
                    <w:textAlignment w:val="baseline"/>
                    <w:rPr>
                      <w:rFonts w:hint="eastAsia" w:cs="Times New Roman"/>
                      <w:b w:val="0"/>
                      <w:bCs w:val="0"/>
                      <w:color w:val="auto"/>
                      <w:sz w:val="21"/>
                      <w:szCs w:val="21"/>
                      <w:highlight w:val="none"/>
                      <w:lang w:val="en-US" w:eastAsia="zh-CN"/>
                    </w:rPr>
                  </w:pPr>
                </w:p>
              </w:tc>
              <w:tc>
                <w:tcPr>
                  <w:tcW w:w="703" w:type="pct"/>
                  <w:vMerge w:val="continue"/>
                  <w:tcBorders>
                    <w:tl2br w:val="nil"/>
                    <w:tr2bl w:val="nil"/>
                  </w:tcBorders>
                  <w:shd w:val="clear" w:color="auto" w:fill="auto"/>
                  <w:noWrap w:val="0"/>
                  <w:vAlign w:val="center"/>
                </w:tcPr>
                <w:p w14:paraId="5B8E9E04">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color w:val="auto"/>
                      <w:kern w:val="2"/>
                      <w:sz w:val="21"/>
                      <w:szCs w:val="21"/>
                      <w:highlight w:val="none"/>
                      <w:lang w:val="en-US" w:eastAsia="zh-CN" w:bidi="ar-SA"/>
                    </w:rPr>
                  </w:pPr>
                </w:p>
              </w:tc>
              <w:tc>
                <w:tcPr>
                  <w:tcW w:w="562" w:type="pct"/>
                  <w:tcBorders>
                    <w:tl2br w:val="nil"/>
                    <w:tr2bl w:val="nil"/>
                  </w:tcBorders>
                  <w:shd w:val="clear" w:color="auto" w:fill="auto"/>
                  <w:noWrap w:val="0"/>
                  <w:vAlign w:val="center"/>
                </w:tcPr>
                <w:p w14:paraId="3EACB0D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890" w:type="pct"/>
                  <w:tcBorders>
                    <w:tl2br w:val="nil"/>
                    <w:tr2bl w:val="nil"/>
                  </w:tcBorders>
                  <w:shd w:val="clear" w:color="auto" w:fill="auto"/>
                  <w:noWrap w:val="0"/>
                  <w:vAlign w:val="center"/>
                </w:tcPr>
                <w:p w14:paraId="4F2C0F9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60%（净化设施最低去除效率）</w:t>
                  </w:r>
                </w:p>
              </w:tc>
              <w:tc>
                <w:tcPr>
                  <w:tcW w:w="761" w:type="pct"/>
                  <w:tcBorders>
                    <w:tl2br w:val="nil"/>
                    <w:tr2bl w:val="nil"/>
                  </w:tcBorders>
                  <w:shd w:val="clear" w:color="auto" w:fill="auto"/>
                  <w:noWrap w:val="0"/>
                  <w:vAlign w:val="center"/>
                </w:tcPr>
                <w:p w14:paraId="364BEFE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234" w:type="pct"/>
                  <w:vMerge w:val="continue"/>
                  <w:tcBorders>
                    <w:tl2br w:val="nil"/>
                    <w:tr2bl w:val="nil"/>
                  </w:tcBorders>
                  <w:noWrap w:val="0"/>
                  <w:vAlign w:val="center"/>
                </w:tcPr>
                <w:p w14:paraId="55459203">
                  <w:pPr>
                    <w:keepNext w:val="0"/>
                    <w:keepLines w:val="0"/>
                    <w:widowControl/>
                    <w:suppressLineNumbers w:val="0"/>
                    <w:snapToGrid w:val="0"/>
                    <w:spacing w:before="0" w:beforeAutospacing="0" w:after="0" w:afterAutospacing="0"/>
                    <w:ind w:left="0" w:right="0"/>
                    <w:jc w:val="center"/>
                    <w:rPr>
                      <w:rFonts w:hint="eastAsia"/>
                      <w:color w:val="auto"/>
                      <w:kern w:val="0"/>
                      <w:szCs w:val="21"/>
                      <w:highlight w:val="none"/>
                    </w:rPr>
                  </w:pPr>
                </w:p>
              </w:tc>
            </w:tr>
            <w:tr w14:paraId="6A73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847" w:type="pct"/>
                  <w:vMerge w:val="restart"/>
                  <w:tcBorders>
                    <w:tl2br w:val="nil"/>
                    <w:tr2bl w:val="nil"/>
                  </w:tcBorders>
                  <w:noWrap w:val="0"/>
                  <w:vAlign w:val="center"/>
                </w:tcPr>
                <w:p w14:paraId="59B739F4">
                  <w:pPr>
                    <w:keepNext w:val="0"/>
                    <w:keepLines w:val="0"/>
                    <w:suppressLineNumbers w:val="0"/>
                    <w:adjustRightInd w:val="0"/>
                    <w:snapToGrid w:val="0"/>
                    <w:spacing w:before="0" w:beforeAutospacing="0" w:after="0" w:afterAutospacing="0"/>
                    <w:ind w:left="0" w:right="0"/>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厂界</w:t>
                  </w:r>
                </w:p>
              </w:tc>
              <w:tc>
                <w:tcPr>
                  <w:tcW w:w="703" w:type="pct"/>
                  <w:tcBorders>
                    <w:tl2br w:val="nil"/>
                    <w:tr2bl w:val="nil"/>
                  </w:tcBorders>
                  <w:noWrap w:val="0"/>
                  <w:vAlign w:val="center"/>
                </w:tcPr>
                <w:p w14:paraId="1E4AA5AA">
                  <w:pPr>
                    <w:keepNext w:val="0"/>
                    <w:keepLines w:val="0"/>
                    <w:suppressLineNumbers w:val="0"/>
                    <w:adjustRightInd w:val="0"/>
                    <w:snapToGrid w:val="0"/>
                    <w:spacing w:before="0" w:beforeAutospacing="0" w:after="0" w:afterAutospacing="0"/>
                    <w:ind w:left="0" w:right="0"/>
                    <w:jc w:val="center"/>
                    <w:textAlignment w:val="baseline"/>
                    <w:rPr>
                      <w:rFonts w:hint="default" w:eastAsia="宋体"/>
                      <w:color w:val="auto"/>
                      <w:sz w:val="21"/>
                      <w:szCs w:val="21"/>
                      <w:highlight w:val="none"/>
                      <w:lang w:val="en-US" w:eastAsia="zh-CN"/>
                    </w:rPr>
                  </w:pPr>
                  <w:r>
                    <w:rPr>
                      <w:rFonts w:hint="eastAsia"/>
                      <w:color w:val="auto"/>
                      <w:sz w:val="21"/>
                      <w:szCs w:val="21"/>
                      <w:highlight w:val="none"/>
                      <w:lang w:val="en-US" w:eastAsia="zh-CN"/>
                    </w:rPr>
                    <w:t>非甲烷总烃</w:t>
                  </w:r>
                </w:p>
              </w:tc>
              <w:tc>
                <w:tcPr>
                  <w:tcW w:w="562" w:type="pct"/>
                  <w:tcBorders>
                    <w:tl2br w:val="nil"/>
                    <w:tr2bl w:val="nil"/>
                  </w:tcBorders>
                  <w:noWrap w:val="0"/>
                  <w:vAlign w:val="center"/>
                </w:tcPr>
                <w:p w14:paraId="370EA928">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890" w:type="pct"/>
                  <w:tcBorders>
                    <w:tl2br w:val="nil"/>
                    <w:tr2bl w:val="nil"/>
                  </w:tcBorders>
                  <w:noWrap w:val="0"/>
                  <w:vAlign w:val="center"/>
                </w:tcPr>
                <w:p w14:paraId="30CA2441">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2.0</w:t>
                  </w:r>
                </w:p>
              </w:tc>
              <w:tc>
                <w:tcPr>
                  <w:tcW w:w="761" w:type="pct"/>
                  <w:tcBorders>
                    <w:tl2br w:val="nil"/>
                    <w:tr2bl w:val="nil"/>
                  </w:tcBorders>
                  <w:noWrap w:val="0"/>
                  <w:vAlign w:val="center"/>
                </w:tcPr>
                <w:p w14:paraId="0E3AACAC">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1234" w:type="pct"/>
                  <w:tcBorders>
                    <w:tl2br w:val="nil"/>
                    <w:tr2bl w:val="nil"/>
                  </w:tcBorders>
                  <w:noWrap w:val="0"/>
                  <w:vAlign w:val="center"/>
                </w:tcPr>
                <w:p w14:paraId="7D789580">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color w:val="auto"/>
                      <w:spacing w:val="2"/>
                      <w:kern w:val="2"/>
                      <w:sz w:val="21"/>
                      <w:szCs w:val="21"/>
                      <w:highlight w:val="none"/>
                      <w:lang w:val="en-US" w:eastAsia="zh-CN" w:bidi="ar-SA"/>
                    </w:rPr>
                    <w:t>安徽省《制鞋工业大气污染物排放标准》（DB34/4809-2024）</w:t>
                  </w:r>
                </w:p>
              </w:tc>
            </w:tr>
            <w:tr w14:paraId="2591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47" w:type="pct"/>
                  <w:vMerge w:val="continue"/>
                  <w:tcBorders>
                    <w:tl2br w:val="nil"/>
                    <w:tr2bl w:val="nil"/>
                  </w:tcBorders>
                  <w:noWrap w:val="0"/>
                  <w:vAlign w:val="center"/>
                </w:tcPr>
                <w:p w14:paraId="0F7ED06C">
                  <w:pPr>
                    <w:keepNext w:val="0"/>
                    <w:keepLines w:val="0"/>
                    <w:suppressLineNumbers w:val="0"/>
                    <w:adjustRightInd w:val="0"/>
                    <w:snapToGrid w:val="0"/>
                    <w:spacing w:before="0" w:beforeAutospacing="0" w:after="0" w:afterAutospacing="0"/>
                    <w:ind w:left="0" w:right="0"/>
                    <w:jc w:val="center"/>
                    <w:textAlignment w:val="baseline"/>
                    <w:rPr>
                      <w:rFonts w:hint="default"/>
                      <w:color w:val="auto"/>
                      <w:sz w:val="21"/>
                      <w:szCs w:val="21"/>
                      <w:highlight w:val="none"/>
                      <w:lang w:val="en-US" w:eastAsia="zh-CN"/>
                    </w:rPr>
                  </w:pPr>
                </w:p>
              </w:tc>
              <w:tc>
                <w:tcPr>
                  <w:tcW w:w="703" w:type="pct"/>
                  <w:tcBorders>
                    <w:tl2br w:val="nil"/>
                    <w:tr2bl w:val="nil"/>
                  </w:tcBorders>
                  <w:noWrap w:val="0"/>
                  <w:vAlign w:val="center"/>
                </w:tcPr>
                <w:p w14:paraId="6EEE9FE1">
                  <w:pPr>
                    <w:keepNext w:val="0"/>
                    <w:keepLines w:val="0"/>
                    <w:suppressLineNumbers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颗粒物</w:t>
                  </w:r>
                </w:p>
              </w:tc>
              <w:tc>
                <w:tcPr>
                  <w:tcW w:w="562" w:type="pct"/>
                  <w:tcBorders>
                    <w:tl2br w:val="nil"/>
                    <w:tr2bl w:val="nil"/>
                  </w:tcBorders>
                  <w:noWrap w:val="0"/>
                  <w:vAlign w:val="center"/>
                </w:tcPr>
                <w:p w14:paraId="341915FF">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890" w:type="pct"/>
                  <w:tcBorders>
                    <w:tl2br w:val="nil"/>
                    <w:tr2bl w:val="nil"/>
                  </w:tcBorders>
                  <w:noWrap w:val="0"/>
                  <w:vAlign w:val="center"/>
                </w:tcPr>
                <w:p w14:paraId="7CC9B624">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761" w:type="pct"/>
                  <w:tcBorders>
                    <w:tl2br w:val="nil"/>
                    <w:tr2bl w:val="nil"/>
                  </w:tcBorders>
                  <w:noWrap w:val="0"/>
                  <w:vAlign w:val="center"/>
                </w:tcPr>
                <w:p w14:paraId="1B7C6B13">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1234" w:type="pct"/>
                  <w:vMerge w:val="restart"/>
                  <w:tcBorders>
                    <w:tl2br w:val="nil"/>
                    <w:tr2bl w:val="nil"/>
                  </w:tcBorders>
                  <w:noWrap w:val="0"/>
                  <w:vAlign w:val="center"/>
                </w:tcPr>
                <w:p w14:paraId="0D84A6F4">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《大气污染物综合排放标准》（GB16297-1996）</w:t>
                  </w:r>
                </w:p>
              </w:tc>
            </w:tr>
            <w:tr w14:paraId="624DA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47" w:type="pct"/>
                  <w:vMerge w:val="continue"/>
                  <w:tcBorders>
                    <w:tl2br w:val="nil"/>
                    <w:tr2bl w:val="nil"/>
                  </w:tcBorders>
                  <w:noWrap w:val="0"/>
                  <w:vAlign w:val="center"/>
                </w:tcPr>
                <w:p w14:paraId="18667484">
                  <w:pPr>
                    <w:keepNext w:val="0"/>
                    <w:keepLines w:val="0"/>
                    <w:suppressLineNumbers w:val="0"/>
                    <w:adjustRightInd w:val="0"/>
                    <w:snapToGrid w:val="0"/>
                    <w:spacing w:before="0" w:beforeAutospacing="0" w:after="0" w:afterAutospacing="0"/>
                    <w:ind w:left="0" w:right="0"/>
                    <w:jc w:val="center"/>
                    <w:textAlignment w:val="baseline"/>
                    <w:rPr>
                      <w:rFonts w:hint="eastAsia"/>
                      <w:color w:val="auto"/>
                      <w:sz w:val="21"/>
                      <w:szCs w:val="21"/>
                      <w:highlight w:val="none"/>
                      <w:lang w:val="en-US" w:eastAsia="zh-CN"/>
                    </w:rPr>
                  </w:pPr>
                </w:p>
              </w:tc>
              <w:tc>
                <w:tcPr>
                  <w:tcW w:w="703" w:type="pct"/>
                  <w:tcBorders>
                    <w:tl2br w:val="nil"/>
                    <w:tr2bl w:val="nil"/>
                  </w:tcBorders>
                  <w:noWrap w:val="0"/>
                  <w:vAlign w:val="center"/>
                </w:tcPr>
                <w:p w14:paraId="47A49BD5">
                  <w:pPr>
                    <w:keepNext w:val="0"/>
                    <w:keepLines w:val="0"/>
                    <w:suppressLineNumbers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氯乙烯</w:t>
                  </w:r>
                </w:p>
              </w:tc>
              <w:tc>
                <w:tcPr>
                  <w:tcW w:w="562" w:type="pct"/>
                  <w:tcBorders>
                    <w:tl2br w:val="nil"/>
                    <w:tr2bl w:val="nil"/>
                  </w:tcBorders>
                  <w:noWrap w:val="0"/>
                  <w:vAlign w:val="center"/>
                </w:tcPr>
                <w:p w14:paraId="39FEB352">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890" w:type="pct"/>
                  <w:tcBorders>
                    <w:tl2br w:val="nil"/>
                    <w:tr2bl w:val="nil"/>
                  </w:tcBorders>
                  <w:noWrap w:val="0"/>
                  <w:vAlign w:val="center"/>
                </w:tcPr>
                <w:p w14:paraId="54543417">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0.6</w:t>
                  </w:r>
                </w:p>
              </w:tc>
              <w:tc>
                <w:tcPr>
                  <w:tcW w:w="761" w:type="pct"/>
                  <w:tcBorders>
                    <w:tl2br w:val="nil"/>
                    <w:tr2bl w:val="nil"/>
                  </w:tcBorders>
                  <w:noWrap w:val="0"/>
                  <w:vAlign w:val="center"/>
                </w:tcPr>
                <w:p w14:paraId="5FF061E9">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1234" w:type="pct"/>
                  <w:vMerge w:val="continue"/>
                  <w:tcBorders>
                    <w:tl2br w:val="nil"/>
                    <w:tr2bl w:val="nil"/>
                  </w:tcBorders>
                  <w:noWrap w:val="0"/>
                  <w:vAlign w:val="center"/>
                </w:tcPr>
                <w:p w14:paraId="38B42E11">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p>
              </w:tc>
            </w:tr>
            <w:tr w14:paraId="0084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47" w:type="pct"/>
                  <w:vMerge w:val="continue"/>
                  <w:tcBorders>
                    <w:tl2br w:val="nil"/>
                    <w:tr2bl w:val="nil"/>
                  </w:tcBorders>
                  <w:noWrap w:val="0"/>
                  <w:vAlign w:val="center"/>
                </w:tcPr>
                <w:p w14:paraId="791298E8">
                  <w:pPr>
                    <w:keepNext w:val="0"/>
                    <w:keepLines w:val="0"/>
                    <w:suppressLineNumbers w:val="0"/>
                    <w:adjustRightInd w:val="0"/>
                    <w:snapToGrid w:val="0"/>
                    <w:spacing w:before="0" w:beforeAutospacing="0" w:after="0" w:afterAutospacing="0"/>
                    <w:ind w:left="0" w:right="0"/>
                    <w:jc w:val="center"/>
                    <w:textAlignment w:val="baseline"/>
                    <w:rPr>
                      <w:rFonts w:hint="eastAsia"/>
                      <w:color w:val="auto"/>
                      <w:sz w:val="21"/>
                      <w:szCs w:val="21"/>
                      <w:highlight w:val="none"/>
                      <w:lang w:val="en-US" w:eastAsia="zh-CN"/>
                    </w:rPr>
                  </w:pPr>
                </w:p>
              </w:tc>
              <w:tc>
                <w:tcPr>
                  <w:tcW w:w="703" w:type="pct"/>
                  <w:tcBorders>
                    <w:tl2br w:val="nil"/>
                    <w:tr2bl w:val="nil"/>
                  </w:tcBorders>
                  <w:noWrap w:val="0"/>
                  <w:vAlign w:val="center"/>
                </w:tcPr>
                <w:p w14:paraId="7B29DCE6">
                  <w:pPr>
                    <w:keepNext w:val="0"/>
                    <w:keepLines w:val="0"/>
                    <w:suppressLineNumbers w:val="0"/>
                    <w:adjustRightInd w:val="0"/>
                    <w:snapToGrid w:val="0"/>
                    <w:spacing w:before="0" w:beforeAutospacing="0" w:after="0" w:afterAutospacing="0"/>
                    <w:ind w:left="0" w:right="0"/>
                    <w:jc w:val="center"/>
                    <w:textAlignment w:val="baseline"/>
                    <w:rPr>
                      <w:rFonts w:hint="eastAsia"/>
                      <w:color w:val="auto"/>
                      <w:sz w:val="21"/>
                      <w:szCs w:val="21"/>
                      <w:highlight w:val="none"/>
                      <w:lang w:val="en-US" w:eastAsia="zh-CN"/>
                    </w:rPr>
                  </w:pPr>
                  <w:r>
                    <w:rPr>
                      <w:rFonts w:hint="eastAsia"/>
                      <w:color w:val="auto"/>
                      <w:sz w:val="21"/>
                      <w:szCs w:val="21"/>
                      <w:highlight w:val="none"/>
                      <w:lang w:val="en-US" w:eastAsia="zh-CN"/>
                    </w:rPr>
                    <w:t>氯化氢</w:t>
                  </w:r>
                </w:p>
              </w:tc>
              <w:tc>
                <w:tcPr>
                  <w:tcW w:w="562" w:type="pct"/>
                  <w:tcBorders>
                    <w:tl2br w:val="nil"/>
                    <w:tr2bl w:val="nil"/>
                  </w:tcBorders>
                  <w:noWrap w:val="0"/>
                  <w:vAlign w:val="center"/>
                </w:tcPr>
                <w:p w14:paraId="598451CF">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890" w:type="pct"/>
                  <w:tcBorders>
                    <w:tl2br w:val="nil"/>
                    <w:tr2bl w:val="nil"/>
                  </w:tcBorders>
                  <w:noWrap w:val="0"/>
                  <w:vAlign w:val="center"/>
                </w:tcPr>
                <w:p w14:paraId="59A84515">
                  <w:pPr>
                    <w:keepNext w:val="0"/>
                    <w:keepLines w:val="0"/>
                    <w:suppressLineNumbers w:val="0"/>
                    <w:adjustRightInd w:val="0"/>
                    <w:snapToGrid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0.2</w:t>
                  </w:r>
                </w:p>
              </w:tc>
              <w:tc>
                <w:tcPr>
                  <w:tcW w:w="761" w:type="pct"/>
                  <w:tcBorders>
                    <w:tl2br w:val="nil"/>
                    <w:tr2bl w:val="nil"/>
                  </w:tcBorders>
                  <w:noWrap w:val="0"/>
                  <w:vAlign w:val="center"/>
                </w:tcPr>
                <w:p w14:paraId="14422817">
                  <w:pPr>
                    <w:keepNext w:val="0"/>
                    <w:keepLines w:val="0"/>
                    <w:suppressLineNumbers w:val="0"/>
                    <w:adjustRightInd w:val="0"/>
                    <w:snapToGrid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234" w:type="pct"/>
                  <w:vMerge w:val="continue"/>
                  <w:tcBorders>
                    <w:tl2br w:val="nil"/>
                    <w:tr2bl w:val="nil"/>
                  </w:tcBorders>
                  <w:noWrap w:val="0"/>
                  <w:vAlign w:val="center"/>
                </w:tcPr>
                <w:p w14:paraId="25ECE360">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p>
              </w:tc>
            </w:tr>
            <w:tr w14:paraId="2519A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47" w:type="pct"/>
                  <w:vMerge w:val="restart"/>
                  <w:tcBorders>
                    <w:tl2br w:val="nil"/>
                    <w:tr2bl w:val="nil"/>
                  </w:tcBorders>
                  <w:noWrap w:val="0"/>
                  <w:vAlign w:val="center"/>
                </w:tcPr>
                <w:p w14:paraId="1C66AEDC">
                  <w:pPr>
                    <w:keepNext w:val="0"/>
                    <w:keepLines w:val="0"/>
                    <w:suppressLineNumbers w:val="0"/>
                    <w:adjustRightInd w:val="0"/>
                    <w:snapToGrid w:val="0"/>
                    <w:spacing w:before="0" w:beforeAutospacing="0" w:after="0" w:afterAutospacing="0"/>
                    <w:ind w:left="0" w:right="0"/>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厂区内</w:t>
                  </w:r>
                </w:p>
              </w:tc>
              <w:tc>
                <w:tcPr>
                  <w:tcW w:w="703" w:type="pct"/>
                  <w:vMerge w:val="restart"/>
                  <w:tcBorders>
                    <w:tl2br w:val="nil"/>
                    <w:tr2bl w:val="nil"/>
                  </w:tcBorders>
                  <w:noWrap w:val="0"/>
                  <w:vAlign w:val="center"/>
                </w:tcPr>
                <w:p w14:paraId="4B5EFB94">
                  <w:pPr>
                    <w:keepNext w:val="0"/>
                    <w:keepLines w:val="0"/>
                    <w:suppressLineNumbers w:val="0"/>
                    <w:adjustRightInd w:val="0"/>
                    <w:snapToGrid w:val="0"/>
                    <w:spacing w:before="0" w:beforeAutospacing="0" w:after="0" w:afterAutospacing="0"/>
                    <w:ind w:left="0" w:right="0"/>
                    <w:jc w:val="center"/>
                    <w:textAlignment w:val="baseline"/>
                    <w:rPr>
                      <w:rFonts w:hint="eastAsia"/>
                      <w:color w:val="auto"/>
                      <w:sz w:val="21"/>
                      <w:szCs w:val="21"/>
                      <w:highlight w:val="none"/>
                      <w:lang w:val="en-US" w:eastAsia="zh-CN"/>
                    </w:rPr>
                  </w:pPr>
                  <w:r>
                    <w:rPr>
                      <w:rFonts w:hint="eastAsia"/>
                      <w:color w:val="auto"/>
                      <w:sz w:val="21"/>
                      <w:szCs w:val="21"/>
                      <w:highlight w:val="none"/>
                      <w:lang w:val="en-US" w:eastAsia="zh-CN"/>
                    </w:rPr>
                    <w:t>非甲烷总烃</w:t>
                  </w:r>
                </w:p>
              </w:tc>
              <w:tc>
                <w:tcPr>
                  <w:tcW w:w="562" w:type="pct"/>
                  <w:tcBorders>
                    <w:tl2br w:val="nil"/>
                    <w:tr2bl w:val="nil"/>
                  </w:tcBorders>
                  <w:noWrap w:val="0"/>
                  <w:vAlign w:val="center"/>
                </w:tcPr>
                <w:p w14:paraId="7993671C">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890" w:type="pct"/>
                  <w:tcBorders>
                    <w:tl2br w:val="nil"/>
                    <w:tr2bl w:val="nil"/>
                  </w:tcBorders>
                  <w:noWrap w:val="0"/>
                  <w:vAlign w:val="center"/>
                </w:tcPr>
                <w:p w14:paraId="0CBA59D6">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6（监控点处1h平均浓度值）</w:t>
                  </w:r>
                </w:p>
              </w:tc>
              <w:tc>
                <w:tcPr>
                  <w:tcW w:w="761" w:type="pct"/>
                  <w:tcBorders>
                    <w:tl2br w:val="nil"/>
                    <w:tr2bl w:val="nil"/>
                  </w:tcBorders>
                  <w:noWrap w:val="0"/>
                  <w:vAlign w:val="center"/>
                </w:tcPr>
                <w:p w14:paraId="37F8B1AD">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1234" w:type="pct"/>
                  <w:vMerge w:val="restart"/>
                  <w:tcBorders>
                    <w:tl2br w:val="nil"/>
                    <w:tr2bl w:val="nil"/>
                  </w:tcBorders>
                  <w:noWrap w:val="0"/>
                  <w:vAlign w:val="center"/>
                </w:tcPr>
                <w:p w14:paraId="16D21DC4">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pacing w:val="2"/>
                      <w:kern w:val="2"/>
                      <w:sz w:val="21"/>
                      <w:szCs w:val="21"/>
                      <w:highlight w:val="none"/>
                      <w:lang w:val="en-US" w:eastAsia="zh-CN" w:bidi="ar-SA"/>
                    </w:rPr>
                    <w:t>安徽省《制鞋工业大气污染物排放标准》（DB34/4809-2024）</w:t>
                  </w:r>
                </w:p>
              </w:tc>
            </w:tr>
            <w:tr w14:paraId="65E9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47" w:type="pct"/>
                  <w:vMerge w:val="continue"/>
                  <w:tcBorders>
                    <w:tl2br w:val="nil"/>
                    <w:tr2bl w:val="nil"/>
                  </w:tcBorders>
                  <w:noWrap w:val="0"/>
                  <w:vAlign w:val="center"/>
                </w:tcPr>
                <w:p w14:paraId="0E048064">
                  <w:pPr>
                    <w:keepNext w:val="0"/>
                    <w:keepLines w:val="0"/>
                    <w:suppressLineNumbers w:val="0"/>
                    <w:adjustRightInd w:val="0"/>
                    <w:snapToGrid w:val="0"/>
                    <w:spacing w:before="0" w:beforeAutospacing="0" w:after="0" w:afterAutospacing="0"/>
                    <w:ind w:left="0" w:right="0"/>
                    <w:jc w:val="center"/>
                    <w:textAlignment w:val="baseline"/>
                    <w:rPr>
                      <w:rFonts w:hint="eastAsia"/>
                      <w:color w:val="auto"/>
                      <w:sz w:val="21"/>
                      <w:szCs w:val="21"/>
                      <w:highlight w:val="none"/>
                      <w:lang w:val="en-US" w:eastAsia="zh-CN"/>
                    </w:rPr>
                  </w:pPr>
                </w:p>
              </w:tc>
              <w:tc>
                <w:tcPr>
                  <w:tcW w:w="703" w:type="pct"/>
                  <w:vMerge w:val="continue"/>
                  <w:tcBorders>
                    <w:tl2br w:val="nil"/>
                    <w:tr2bl w:val="nil"/>
                  </w:tcBorders>
                  <w:noWrap w:val="0"/>
                  <w:vAlign w:val="center"/>
                </w:tcPr>
                <w:p w14:paraId="05BD47E4">
                  <w:pPr>
                    <w:keepNext w:val="0"/>
                    <w:keepLines w:val="0"/>
                    <w:suppressLineNumbers w:val="0"/>
                    <w:adjustRightInd w:val="0"/>
                    <w:snapToGrid w:val="0"/>
                    <w:spacing w:before="0" w:beforeAutospacing="0" w:after="0" w:afterAutospacing="0"/>
                    <w:ind w:left="0" w:right="0"/>
                    <w:jc w:val="center"/>
                    <w:textAlignment w:val="baseline"/>
                    <w:rPr>
                      <w:rFonts w:hint="eastAsia"/>
                      <w:color w:val="auto"/>
                      <w:sz w:val="21"/>
                      <w:szCs w:val="21"/>
                      <w:highlight w:val="none"/>
                      <w:lang w:val="en-US" w:eastAsia="zh-CN"/>
                    </w:rPr>
                  </w:pPr>
                </w:p>
              </w:tc>
              <w:tc>
                <w:tcPr>
                  <w:tcW w:w="562" w:type="pct"/>
                  <w:tcBorders>
                    <w:tl2br w:val="nil"/>
                    <w:tr2bl w:val="nil"/>
                  </w:tcBorders>
                  <w:noWrap w:val="0"/>
                  <w:vAlign w:val="center"/>
                </w:tcPr>
                <w:p w14:paraId="351EAC2B">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890" w:type="pct"/>
                  <w:tcBorders>
                    <w:tl2br w:val="nil"/>
                    <w:tr2bl w:val="nil"/>
                  </w:tcBorders>
                  <w:noWrap w:val="0"/>
                  <w:vAlign w:val="center"/>
                </w:tcPr>
                <w:p w14:paraId="5CB6BB30">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20（监控点处任意一次浓度值）</w:t>
                  </w:r>
                </w:p>
              </w:tc>
              <w:tc>
                <w:tcPr>
                  <w:tcW w:w="761" w:type="pct"/>
                  <w:tcBorders>
                    <w:tl2br w:val="nil"/>
                    <w:tr2bl w:val="nil"/>
                  </w:tcBorders>
                  <w:noWrap w:val="0"/>
                  <w:vAlign w:val="center"/>
                </w:tcPr>
                <w:p w14:paraId="2B17E6D3">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1234" w:type="pct"/>
                  <w:vMerge w:val="continue"/>
                  <w:tcBorders>
                    <w:tl2br w:val="nil"/>
                    <w:tr2bl w:val="nil"/>
                  </w:tcBorders>
                  <w:noWrap w:val="0"/>
                  <w:vAlign w:val="center"/>
                </w:tcPr>
                <w:p w14:paraId="7E921905">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p>
              </w:tc>
            </w:tr>
          </w:tbl>
          <w:p w14:paraId="5211C1F3">
            <w:pPr>
              <w:keepNext w:val="0"/>
              <w:keepLines w:val="0"/>
              <w:pageBreakBefore w:val="0"/>
              <w:widowControl w:val="0"/>
              <w:suppressLineNumbers w:val="0"/>
              <w:tabs>
                <w:tab w:val="left" w:pos="540"/>
                <w:tab w:val="left" w:pos="900"/>
                <w:tab w:val="left" w:pos="3780"/>
              </w:tabs>
              <w:kinsoku/>
              <w:wordWrap/>
              <w:overflowPunct/>
              <w:topLinePunct w:val="0"/>
              <w:autoSpaceDE/>
              <w:autoSpaceDN/>
              <w:bidi w:val="0"/>
              <w:adjustRightInd/>
              <w:snapToGrid/>
              <w:spacing w:before="157" w:beforeLines="50" w:beforeAutospacing="0" w:after="0" w:afterAutospacing="0" w:line="360" w:lineRule="auto"/>
              <w:ind w:left="0" w:right="0"/>
              <w:textAlignment w:val="auto"/>
              <w:rPr>
                <w:rFonts w:hint="default" w:ascii="Times New Roman" w:hAnsi="Times New Roman" w:eastAsia="宋体" w:cs="Times New Roman"/>
                <w:b/>
                <w:color w:val="auto"/>
                <w:sz w:val="24"/>
                <w:szCs w:val="22"/>
                <w:highlight w:val="none"/>
              </w:rPr>
            </w:pPr>
            <w:r>
              <w:rPr>
                <w:rFonts w:hint="default" w:ascii="Times New Roman" w:hAnsi="Times New Roman" w:eastAsia="宋体" w:cs="Times New Roman"/>
                <w:b/>
                <w:color w:val="auto"/>
                <w:sz w:val="24"/>
                <w:szCs w:val="22"/>
                <w:highlight w:val="none"/>
              </w:rPr>
              <w:t>2、废水</w:t>
            </w:r>
          </w:p>
          <w:p w14:paraId="62F513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项目产生的生活污水</w:t>
            </w:r>
            <w:r>
              <w:rPr>
                <w:rFonts w:hint="eastAsia" w:ascii="Times New Roman" w:hAnsi="Times New Roman" w:eastAsia="宋体" w:cs="Times New Roman"/>
                <w:b w:val="0"/>
                <w:bCs w:val="0"/>
                <w:color w:val="auto"/>
                <w:kern w:val="0"/>
                <w:sz w:val="24"/>
                <w:szCs w:val="24"/>
                <w:highlight w:val="none"/>
                <w:lang w:val="en-US" w:eastAsia="zh-CN" w:bidi="ar-SA"/>
              </w:rPr>
              <w:t>经化粪池、食堂废水经隔油池预处理后，废水排放</w:t>
            </w:r>
            <w:r>
              <w:rPr>
                <w:rFonts w:hint="default" w:ascii="Times New Roman" w:hAnsi="Times New Roman" w:eastAsia="宋体" w:cs="Times New Roman"/>
                <w:b w:val="0"/>
                <w:bCs w:val="0"/>
                <w:color w:val="auto"/>
                <w:kern w:val="0"/>
                <w:sz w:val="24"/>
                <w:szCs w:val="24"/>
                <w:highlight w:val="none"/>
                <w:lang w:val="en-US" w:eastAsia="zh-CN" w:bidi="ar-SA"/>
              </w:rPr>
              <w:t>需满足</w:t>
            </w:r>
            <w:r>
              <w:rPr>
                <w:rFonts w:hint="eastAsia" w:ascii="Times New Roman" w:hAnsi="Times New Roman" w:eastAsia="宋体" w:cs="Times New Roman"/>
                <w:b w:val="0"/>
                <w:bCs w:val="0"/>
                <w:color w:val="auto"/>
                <w:kern w:val="0"/>
                <w:sz w:val="24"/>
                <w:szCs w:val="24"/>
                <w:highlight w:val="none"/>
                <w:lang w:val="en-US" w:eastAsia="zh-CN" w:bidi="ar-SA"/>
              </w:rPr>
              <w:t>五河县城南</w:t>
            </w:r>
            <w:r>
              <w:rPr>
                <w:rFonts w:hint="default" w:ascii="Times New Roman" w:hAnsi="Times New Roman" w:eastAsia="宋体" w:cs="Times New Roman"/>
                <w:b w:val="0"/>
                <w:bCs w:val="0"/>
                <w:color w:val="auto"/>
                <w:kern w:val="0"/>
                <w:sz w:val="24"/>
                <w:szCs w:val="24"/>
                <w:highlight w:val="none"/>
                <w:lang w:val="en-US" w:eastAsia="zh-CN" w:bidi="ar-SA"/>
              </w:rPr>
              <w:t>污水处理厂接管要求</w:t>
            </w:r>
            <w:r>
              <w:rPr>
                <w:rFonts w:hint="eastAsia" w:ascii="Times New Roman" w:hAnsi="Times New Roman" w:eastAsia="宋体" w:cs="Times New Roman"/>
                <w:b w:val="0"/>
                <w:bCs w:val="0"/>
                <w:color w:val="auto"/>
                <w:kern w:val="0"/>
                <w:sz w:val="24"/>
                <w:szCs w:val="24"/>
                <w:highlight w:val="none"/>
                <w:lang w:val="en-US" w:eastAsia="zh-CN" w:bidi="ar-SA"/>
              </w:rPr>
              <w:t>，其中动植物油执行《污水综合排放标准》（</w:t>
            </w:r>
            <w:r>
              <w:rPr>
                <w:rFonts w:hint="default" w:ascii="Times New Roman" w:hAnsi="Times New Roman" w:eastAsia="宋体" w:cs="Times New Roman"/>
                <w:b w:val="0"/>
                <w:bCs w:val="0"/>
                <w:color w:val="auto"/>
                <w:kern w:val="0"/>
                <w:sz w:val="24"/>
                <w:szCs w:val="24"/>
                <w:highlight w:val="none"/>
                <w:lang w:val="en-US" w:eastAsia="zh-CN" w:bidi="ar-SA"/>
              </w:rPr>
              <w:t>GB8978-1996</w:t>
            </w:r>
            <w:r>
              <w:rPr>
                <w:rFonts w:hint="eastAsia" w:ascii="Times New Roman" w:hAnsi="Times New Roman" w:eastAsia="宋体" w:cs="Times New Roman"/>
                <w:b w:val="0"/>
                <w:bCs w:val="0"/>
                <w:color w:val="auto"/>
                <w:kern w:val="0"/>
                <w:sz w:val="24"/>
                <w:szCs w:val="24"/>
                <w:highlight w:val="none"/>
                <w:lang w:val="en-US" w:eastAsia="zh-CN" w:bidi="ar-SA"/>
              </w:rPr>
              <w:t>）中的三级标准限值；</w:t>
            </w:r>
            <w:r>
              <w:rPr>
                <w:rFonts w:hint="default" w:ascii="Times New Roman" w:hAnsi="Times New Roman" w:eastAsia="宋体" w:cs="Times New Roman"/>
                <w:b w:val="0"/>
                <w:bCs w:val="0"/>
                <w:color w:val="auto"/>
                <w:kern w:val="0"/>
                <w:sz w:val="24"/>
                <w:szCs w:val="24"/>
                <w:highlight w:val="none"/>
                <w:lang w:val="en-US" w:eastAsia="zh-CN" w:bidi="ar-SA"/>
              </w:rPr>
              <w:t>最终</w:t>
            </w:r>
            <w:r>
              <w:rPr>
                <w:rFonts w:hint="eastAsia" w:ascii="Times New Roman" w:hAnsi="Times New Roman" w:eastAsia="宋体" w:cs="Times New Roman"/>
                <w:b w:val="0"/>
                <w:bCs w:val="0"/>
                <w:color w:val="auto"/>
                <w:kern w:val="0"/>
                <w:sz w:val="24"/>
                <w:szCs w:val="24"/>
                <w:highlight w:val="none"/>
                <w:lang w:val="en-US" w:eastAsia="zh-CN" w:bidi="ar-SA"/>
              </w:rPr>
              <w:t>所有废水</w:t>
            </w:r>
            <w:r>
              <w:rPr>
                <w:rFonts w:hint="default" w:ascii="Times New Roman" w:hAnsi="Times New Roman" w:eastAsia="宋体" w:cs="Times New Roman"/>
                <w:b w:val="0"/>
                <w:bCs w:val="0"/>
                <w:color w:val="auto"/>
                <w:kern w:val="0"/>
                <w:sz w:val="24"/>
                <w:szCs w:val="24"/>
                <w:highlight w:val="none"/>
                <w:lang w:val="en-US" w:eastAsia="zh-CN" w:bidi="ar-SA"/>
              </w:rPr>
              <w:t>经</w:t>
            </w:r>
            <w:r>
              <w:rPr>
                <w:rFonts w:hint="eastAsia" w:ascii="Times New Roman" w:hAnsi="Times New Roman" w:eastAsia="宋体" w:cs="Times New Roman"/>
                <w:b w:val="0"/>
                <w:bCs w:val="0"/>
                <w:color w:val="auto"/>
                <w:kern w:val="0"/>
                <w:sz w:val="24"/>
                <w:szCs w:val="24"/>
                <w:highlight w:val="none"/>
                <w:lang w:val="en-US" w:eastAsia="zh-CN" w:bidi="ar-SA"/>
              </w:rPr>
              <w:t>五河县城南</w:t>
            </w:r>
            <w:r>
              <w:rPr>
                <w:rFonts w:hint="default" w:ascii="Times New Roman" w:hAnsi="Times New Roman" w:eastAsia="宋体" w:cs="Times New Roman"/>
                <w:b w:val="0"/>
                <w:bCs w:val="0"/>
                <w:color w:val="auto"/>
                <w:kern w:val="0"/>
                <w:sz w:val="24"/>
                <w:szCs w:val="24"/>
                <w:highlight w:val="none"/>
                <w:lang w:val="en-US" w:eastAsia="zh-CN" w:bidi="ar-SA"/>
              </w:rPr>
              <w:t>污水处理厂处理达到《城镇污水处理厂污染物排放标准》（GB18918-2002）中一级A标准</w:t>
            </w:r>
            <w:r>
              <w:rPr>
                <w:rFonts w:hint="eastAsia" w:ascii="Times New Roman" w:hAnsi="Times New Roman" w:eastAsia="宋体" w:cs="Times New Roman"/>
                <w:b w:val="0"/>
                <w:bCs w:val="0"/>
                <w:color w:val="auto"/>
                <w:kern w:val="0"/>
                <w:sz w:val="24"/>
                <w:szCs w:val="24"/>
                <w:highlight w:val="none"/>
                <w:lang w:val="en-US" w:eastAsia="zh-CN" w:bidi="ar-SA"/>
              </w:rPr>
              <w:t>和《安徽省淮河流域城镇污水处理厂和工业行业主要水污染物排放标准》（征求意见稿）中表</w:t>
            </w:r>
            <w:r>
              <w:rPr>
                <w:rFonts w:hint="default" w:ascii="Times New Roman" w:hAnsi="Times New Roman" w:eastAsia="宋体" w:cs="Times New Roman"/>
                <w:b w:val="0"/>
                <w:bCs w:val="0"/>
                <w:color w:val="auto"/>
                <w:kern w:val="0"/>
                <w:sz w:val="24"/>
                <w:szCs w:val="24"/>
                <w:highlight w:val="none"/>
                <w:lang w:val="en-US" w:eastAsia="zh-CN" w:bidi="ar-SA"/>
              </w:rPr>
              <w:t>1</w:t>
            </w:r>
            <w:r>
              <w:rPr>
                <w:rFonts w:hint="eastAsia" w:ascii="Times New Roman" w:hAnsi="Times New Roman" w:eastAsia="宋体" w:cs="Times New Roman"/>
                <w:b w:val="0"/>
                <w:bCs w:val="0"/>
                <w:color w:val="auto"/>
                <w:kern w:val="0"/>
                <w:sz w:val="24"/>
                <w:szCs w:val="24"/>
                <w:highlight w:val="none"/>
                <w:lang w:val="en-US" w:eastAsia="zh-CN" w:bidi="ar-SA"/>
              </w:rPr>
              <w:t>城镇污水处理厂Ⅰ需执行的水质标准</w:t>
            </w:r>
            <w:r>
              <w:rPr>
                <w:rFonts w:hint="default" w:ascii="Times New Roman" w:hAnsi="Times New Roman" w:eastAsia="宋体" w:cs="Times New Roman"/>
                <w:b w:val="0"/>
                <w:bCs w:val="0"/>
                <w:color w:val="auto"/>
                <w:kern w:val="0"/>
                <w:sz w:val="24"/>
                <w:szCs w:val="24"/>
                <w:highlight w:val="none"/>
                <w:lang w:val="en-US" w:eastAsia="zh-CN" w:bidi="ar-SA"/>
              </w:rPr>
              <w:t>，详见下表</w:t>
            </w:r>
            <w:r>
              <w:rPr>
                <w:rFonts w:hint="eastAsia" w:ascii="Times New Roman" w:hAnsi="Times New Roman" w:eastAsia="宋体" w:cs="Times New Roman"/>
                <w:b w:val="0"/>
                <w:bCs w:val="0"/>
                <w:color w:val="auto"/>
                <w:kern w:val="0"/>
                <w:sz w:val="24"/>
                <w:szCs w:val="24"/>
                <w:highlight w:val="none"/>
                <w:lang w:val="en-US" w:eastAsia="zh-CN" w:bidi="ar-SA"/>
              </w:rPr>
              <w:t>：</w:t>
            </w:r>
          </w:p>
          <w:p w14:paraId="43F33610">
            <w:pPr>
              <w:keepNext w:val="0"/>
              <w:keepLines w:val="0"/>
              <w:suppressLineNumbers w:val="0"/>
              <w:adjustRightInd w:val="0"/>
              <w:spacing w:before="0" w:beforeAutospacing="0" w:after="0" w:afterAutospacing="0" w:line="240" w:lineRule="auto"/>
              <w:ind w:left="40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w:t>
            </w:r>
            <w:r>
              <w:rPr>
                <w:rFonts w:hint="eastAsia"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污水排放标准  单位：mg/L，pH值除外</w:t>
            </w:r>
          </w:p>
          <w:tbl>
            <w:tblPr>
              <w:tblStyle w:val="3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547"/>
              <w:gridCol w:w="595"/>
              <w:gridCol w:w="609"/>
              <w:gridCol w:w="818"/>
              <w:gridCol w:w="864"/>
              <w:gridCol w:w="790"/>
              <w:gridCol w:w="639"/>
            </w:tblGrid>
            <w:tr w14:paraId="2D984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55" w:type="pct"/>
                  <w:tcBorders>
                    <w:tl2br w:val="nil"/>
                    <w:tr2bl w:val="nil"/>
                  </w:tcBorders>
                  <w:noWrap w:val="0"/>
                  <w:vAlign w:val="center"/>
                </w:tcPr>
                <w:p w14:paraId="7EE3D53F">
                  <w:pPr>
                    <w:pStyle w:val="336"/>
                    <w:keepNext w:val="0"/>
                    <w:keepLines w:val="0"/>
                    <w:suppressLineNumbers w:val="0"/>
                    <w:spacing w:before="0" w:beforeAutospacing="0" w:after="0" w:afterAutospacing="0"/>
                    <w:ind w:left="0" w:right="0"/>
                    <w:rPr>
                      <w:b/>
                      <w:bCs/>
                      <w:color w:val="auto"/>
                      <w:highlight w:val="none"/>
                    </w:rPr>
                  </w:pPr>
                  <w:r>
                    <w:rPr>
                      <w:b/>
                      <w:bCs/>
                      <w:color w:val="auto"/>
                      <w:highlight w:val="none"/>
                    </w:rPr>
                    <w:t>标准级别</w:t>
                  </w:r>
                </w:p>
              </w:tc>
              <w:tc>
                <w:tcPr>
                  <w:tcW w:w="378" w:type="pct"/>
                  <w:tcBorders>
                    <w:tl2br w:val="nil"/>
                    <w:tr2bl w:val="nil"/>
                  </w:tcBorders>
                  <w:noWrap w:val="0"/>
                  <w:vAlign w:val="center"/>
                </w:tcPr>
                <w:p w14:paraId="6E4BB525">
                  <w:pPr>
                    <w:pStyle w:val="336"/>
                    <w:keepNext w:val="0"/>
                    <w:keepLines w:val="0"/>
                    <w:suppressLineNumbers w:val="0"/>
                    <w:spacing w:before="0" w:beforeAutospacing="0" w:after="0" w:afterAutospacing="0"/>
                    <w:ind w:left="0" w:right="0"/>
                    <w:rPr>
                      <w:b/>
                      <w:bCs/>
                      <w:color w:val="auto"/>
                      <w:highlight w:val="none"/>
                    </w:rPr>
                  </w:pPr>
                  <w:r>
                    <w:rPr>
                      <w:b/>
                      <w:bCs/>
                      <w:color w:val="auto"/>
                      <w:highlight w:val="none"/>
                    </w:rPr>
                    <w:t>pH</w:t>
                  </w:r>
                </w:p>
              </w:tc>
              <w:tc>
                <w:tcPr>
                  <w:tcW w:w="387" w:type="pct"/>
                  <w:tcBorders>
                    <w:tl2br w:val="nil"/>
                    <w:tr2bl w:val="nil"/>
                  </w:tcBorders>
                  <w:noWrap w:val="0"/>
                  <w:vAlign w:val="center"/>
                </w:tcPr>
                <w:p w14:paraId="66FE6642">
                  <w:pPr>
                    <w:pStyle w:val="336"/>
                    <w:keepNext w:val="0"/>
                    <w:keepLines w:val="0"/>
                    <w:suppressLineNumbers w:val="0"/>
                    <w:spacing w:before="0" w:beforeAutospacing="0" w:after="0" w:afterAutospacing="0"/>
                    <w:ind w:left="0" w:right="0"/>
                    <w:rPr>
                      <w:b/>
                      <w:bCs/>
                      <w:color w:val="auto"/>
                      <w:highlight w:val="none"/>
                    </w:rPr>
                  </w:pPr>
                  <w:r>
                    <w:rPr>
                      <w:b/>
                      <w:bCs/>
                      <w:color w:val="auto"/>
                      <w:highlight w:val="none"/>
                    </w:rPr>
                    <w:t>COD</w:t>
                  </w:r>
                </w:p>
              </w:tc>
              <w:tc>
                <w:tcPr>
                  <w:tcW w:w="520" w:type="pct"/>
                  <w:tcBorders>
                    <w:tl2br w:val="nil"/>
                    <w:tr2bl w:val="nil"/>
                  </w:tcBorders>
                  <w:noWrap w:val="0"/>
                  <w:vAlign w:val="center"/>
                </w:tcPr>
                <w:p w14:paraId="1B4B8B02">
                  <w:pPr>
                    <w:pStyle w:val="336"/>
                    <w:keepNext w:val="0"/>
                    <w:keepLines w:val="0"/>
                    <w:suppressLineNumbers w:val="0"/>
                    <w:spacing w:before="0" w:beforeAutospacing="0" w:after="0" w:afterAutospacing="0"/>
                    <w:ind w:left="0" w:right="0"/>
                    <w:rPr>
                      <w:b/>
                      <w:bCs/>
                      <w:color w:val="auto"/>
                      <w:highlight w:val="none"/>
                    </w:rPr>
                  </w:pPr>
                  <w:r>
                    <w:rPr>
                      <w:b/>
                      <w:bCs/>
                      <w:color w:val="auto"/>
                      <w:highlight w:val="none"/>
                    </w:rPr>
                    <w:t>BOD</w:t>
                  </w:r>
                  <w:r>
                    <w:rPr>
                      <w:b/>
                      <w:bCs/>
                      <w:color w:val="auto"/>
                      <w:highlight w:val="none"/>
                      <w:vertAlign w:val="subscript"/>
                    </w:rPr>
                    <w:t>5</w:t>
                  </w:r>
                </w:p>
              </w:tc>
              <w:tc>
                <w:tcPr>
                  <w:tcW w:w="549" w:type="pct"/>
                  <w:tcBorders>
                    <w:tl2br w:val="nil"/>
                    <w:tr2bl w:val="nil"/>
                  </w:tcBorders>
                  <w:noWrap w:val="0"/>
                  <w:vAlign w:val="center"/>
                </w:tcPr>
                <w:p w14:paraId="25C8DA0F">
                  <w:pPr>
                    <w:pStyle w:val="336"/>
                    <w:keepNext w:val="0"/>
                    <w:keepLines w:val="0"/>
                    <w:suppressLineNumbers w:val="0"/>
                    <w:spacing w:before="0" w:beforeAutospacing="0" w:after="0" w:afterAutospacing="0"/>
                    <w:ind w:left="0" w:right="0"/>
                    <w:rPr>
                      <w:b/>
                      <w:bCs/>
                      <w:color w:val="auto"/>
                      <w:highlight w:val="none"/>
                    </w:rPr>
                  </w:pPr>
                  <w:r>
                    <w:rPr>
                      <w:b/>
                      <w:bCs/>
                      <w:color w:val="auto"/>
                      <w:highlight w:val="none"/>
                    </w:rPr>
                    <w:t>NH</w:t>
                  </w:r>
                  <w:r>
                    <w:rPr>
                      <w:b/>
                      <w:bCs/>
                      <w:color w:val="auto"/>
                      <w:highlight w:val="none"/>
                      <w:vertAlign w:val="subscript"/>
                    </w:rPr>
                    <w:t>3</w:t>
                  </w:r>
                  <w:r>
                    <w:rPr>
                      <w:b/>
                      <w:bCs/>
                      <w:color w:val="auto"/>
                      <w:highlight w:val="none"/>
                    </w:rPr>
                    <w:t>-N</w:t>
                  </w:r>
                </w:p>
              </w:tc>
              <w:tc>
                <w:tcPr>
                  <w:tcW w:w="502" w:type="pct"/>
                  <w:tcBorders>
                    <w:tl2br w:val="nil"/>
                    <w:tr2bl w:val="nil"/>
                  </w:tcBorders>
                  <w:noWrap w:val="0"/>
                  <w:vAlign w:val="center"/>
                </w:tcPr>
                <w:p w14:paraId="126BBB8B">
                  <w:pPr>
                    <w:pStyle w:val="336"/>
                    <w:keepNext w:val="0"/>
                    <w:keepLines w:val="0"/>
                    <w:suppressLineNumbers w:val="0"/>
                    <w:spacing w:before="0" w:beforeAutospacing="0" w:after="0" w:afterAutospacing="0"/>
                    <w:ind w:left="0" w:right="0"/>
                    <w:rPr>
                      <w:rFonts w:hint="eastAsia" w:eastAsia="宋体"/>
                      <w:b/>
                      <w:bCs/>
                      <w:color w:val="auto"/>
                      <w:highlight w:val="none"/>
                      <w:lang w:eastAsia="zh-CN"/>
                    </w:rPr>
                  </w:pPr>
                  <w:r>
                    <w:rPr>
                      <w:rFonts w:hint="eastAsia"/>
                      <w:b/>
                      <w:bCs/>
                      <w:color w:val="auto"/>
                      <w:highlight w:val="none"/>
                      <w:lang w:val="en-US" w:eastAsia="zh-CN"/>
                    </w:rPr>
                    <w:t>动植物油</w:t>
                  </w:r>
                </w:p>
              </w:tc>
              <w:tc>
                <w:tcPr>
                  <w:tcW w:w="406" w:type="pct"/>
                  <w:tcBorders>
                    <w:tl2br w:val="nil"/>
                    <w:tr2bl w:val="nil"/>
                  </w:tcBorders>
                  <w:noWrap w:val="0"/>
                  <w:vAlign w:val="center"/>
                </w:tcPr>
                <w:p w14:paraId="19F917A9">
                  <w:pPr>
                    <w:pStyle w:val="336"/>
                    <w:keepNext w:val="0"/>
                    <w:keepLines w:val="0"/>
                    <w:suppressLineNumbers w:val="0"/>
                    <w:spacing w:before="0" w:beforeAutospacing="0" w:after="0" w:afterAutospacing="0"/>
                    <w:ind w:left="0" w:right="0"/>
                    <w:rPr>
                      <w:b/>
                      <w:bCs/>
                      <w:color w:val="auto"/>
                      <w:highlight w:val="none"/>
                    </w:rPr>
                  </w:pPr>
                  <w:r>
                    <w:rPr>
                      <w:b/>
                      <w:bCs/>
                      <w:color w:val="auto"/>
                      <w:highlight w:val="none"/>
                    </w:rPr>
                    <w:t>SS</w:t>
                  </w:r>
                </w:p>
              </w:tc>
            </w:tr>
            <w:tr w14:paraId="4D04D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55" w:type="pct"/>
                  <w:tcBorders>
                    <w:tl2br w:val="nil"/>
                    <w:tr2bl w:val="nil"/>
                  </w:tcBorders>
                  <w:noWrap w:val="0"/>
                  <w:vAlign w:val="center"/>
                </w:tcPr>
                <w:p w14:paraId="4E5E5B41">
                  <w:pPr>
                    <w:pStyle w:val="336"/>
                    <w:keepNext w:val="0"/>
                    <w:keepLines w:val="0"/>
                    <w:suppressLineNumbers w:val="0"/>
                    <w:spacing w:before="0" w:beforeAutospacing="0" w:after="0" w:afterAutospacing="0"/>
                    <w:ind w:left="0" w:right="0"/>
                    <w:rPr>
                      <w:color w:val="auto"/>
                      <w:highlight w:val="none"/>
                    </w:rPr>
                  </w:pPr>
                  <w:r>
                    <w:rPr>
                      <w:rFonts w:hint="eastAsia"/>
                      <w:color w:val="auto"/>
                      <w:highlight w:val="none"/>
                      <w:lang w:val="en-US" w:eastAsia="zh-CN"/>
                    </w:rPr>
                    <w:t>五河县</w:t>
                  </w:r>
                  <w:r>
                    <w:rPr>
                      <w:rFonts w:hint="eastAsia"/>
                      <w:color w:val="auto"/>
                      <w:highlight w:val="none"/>
                    </w:rPr>
                    <w:t>城</w:t>
                  </w:r>
                  <w:r>
                    <w:rPr>
                      <w:rFonts w:hint="eastAsia"/>
                      <w:color w:val="auto"/>
                      <w:highlight w:val="none"/>
                      <w:lang w:val="en-US" w:eastAsia="zh-CN"/>
                    </w:rPr>
                    <w:t>南</w:t>
                  </w:r>
                  <w:r>
                    <w:rPr>
                      <w:color w:val="auto"/>
                      <w:highlight w:val="none"/>
                    </w:rPr>
                    <w:t>污水处理厂接管标准</w:t>
                  </w:r>
                </w:p>
              </w:tc>
              <w:tc>
                <w:tcPr>
                  <w:tcW w:w="378" w:type="pct"/>
                  <w:tcBorders>
                    <w:tl2br w:val="nil"/>
                    <w:tr2bl w:val="nil"/>
                  </w:tcBorders>
                  <w:noWrap w:val="0"/>
                  <w:vAlign w:val="center"/>
                </w:tcPr>
                <w:p w14:paraId="057F7A89">
                  <w:pPr>
                    <w:pStyle w:val="336"/>
                    <w:keepNext w:val="0"/>
                    <w:keepLines w:val="0"/>
                    <w:suppressLineNumbers w:val="0"/>
                    <w:spacing w:before="0" w:beforeAutospacing="0" w:after="0" w:afterAutospacing="0"/>
                    <w:ind w:left="0" w:right="0"/>
                    <w:rPr>
                      <w:rFonts w:hint="eastAsia" w:eastAsia="宋体"/>
                      <w:color w:val="auto"/>
                      <w:highlight w:val="none"/>
                      <w:lang w:eastAsia="zh-CN"/>
                    </w:rPr>
                  </w:pPr>
                  <w:r>
                    <w:rPr>
                      <w:rFonts w:hint="eastAsia"/>
                      <w:color w:val="auto"/>
                      <w:highlight w:val="none"/>
                      <w:lang w:val="en-US" w:eastAsia="zh-CN"/>
                    </w:rPr>
                    <w:t>/</w:t>
                  </w:r>
                </w:p>
              </w:tc>
              <w:tc>
                <w:tcPr>
                  <w:tcW w:w="387" w:type="pct"/>
                  <w:tcBorders>
                    <w:tl2br w:val="nil"/>
                    <w:tr2bl w:val="nil"/>
                  </w:tcBorders>
                  <w:noWrap w:val="0"/>
                  <w:vAlign w:val="center"/>
                </w:tcPr>
                <w:p w14:paraId="30D905B7">
                  <w:pPr>
                    <w:pStyle w:val="336"/>
                    <w:keepNext w:val="0"/>
                    <w:keepLines w:val="0"/>
                    <w:suppressLineNumbers w:val="0"/>
                    <w:spacing w:before="0" w:beforeAutospacing="0" w:after="0" w:afterAutospacing="0"/>
                    <w:ind w:left="0" w:right="0"/>
                    <w:rPr>
                      <w:color w:val="auto"/>
                      <w:highlight w:val="none"/>
                    </w:rPr>
                  </w:pPr>
                  <w:r>
                    <w:rPr>
                      <w:rFonts w:hint="eastAsia"/>
                      <w:color w:val="auto"/>
                      <w:highlight w:val="none"/>
                    </w:rPr>
                    <w:t>500</w:t>
                  </w:r>
                </w:p>
              </w:tc>
              <w:tc>
                <w:tcPr>
                  <w:tcW w:w="520" w:type="pct"/>
                  <w:tcBorders>
                    <w:tl2br w:val="nil"/>
                    <w:tr2bl w:val="nil"/>
                  </w:tcBorders>
                  <w:noWrap w:val="0"/>
                  <w:vAlign w:val="center"/>
                </w:tcPr>
                <w:p w14:paraId="1957EF62">
                  <w:pPr>
                    <w:pStyle w:val="336"/>
                    <w:keepNext w:val="0"/>
                    <w:keepLines w:val="0"/>
                    <w:suppressLineNumbers w:val="0"/>
                    <w:spacing w:before="0" w:beforeAutospacing="0" w:after="0" w:afterAutospacing="0"/>
                    <w:ind w:left="0" w:right="0"/>
                    <w:rPr>
                      <w:color w:val="auto"/>
                      <w:highlight w:val="none"/>
                    </w:rPr>
                  </w:pPr>
                  <w:r>
                    <w:rPr>
                      <w:rFonts w:hint="eastAsia"/>
                      <w:color w:val="auto"/>
                      <w:highlight w:val="none"/>
                      <w:lang w:val="en-US" w:eastAsia="zh-CN"/>
                    </w:rPr>
                    <w:t>3</w:t>
                  </w:r>
                  <w:r>
                    <w:rPr>
                      <w:rFonts w:hint="eastAsia"/>
                      <w:color w:val="auto"/>
                      <w:highlight w:val="none"/>
                    </w:rPr>
                    <w:t>00</w:t>
                  </w:r>
                </w:p>
              </w:tc>
              <w:tc>
                <w:tcPr>
                  <w:tcW w:w="549" w:type="pct"/>
                  <w:tcBorders>
                    <w:tl2br w:val="nil"/>
                    <w:tr2bl w:val="nil"/>
                  </w:tcBorders>
                  <w:noWrap w:val="0"/>
                  <w:vAlign w:val="center"/>
                </w:tcPr>
                <w:p w14:paraId="220C31EA">
                  <w:pPr>
                    <w:pStyle w:val="336"/>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45</w:t>
                  </w:r>
                </w:p>
              </w:tc>
              <w:tc>
                <w:tcPr>
                  <w:tcW w:w="502" w:type="pct"/>
                  <w:tcBorders>
                    <w:tl2br w:val="nil"/>
                    <w:tr2bl w:val="nil"/>
                  </w:tcBorders>
                  <w:noWrap w:val="0"/>
                  <w:vAlign w:val="center"/>
                </w:tcPr>
                <w:p w14:paraId="4F5FDB5B">
                  <w:pPr>
                    <w:pStyle w:val="336"/>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w:t>
                  </w:r>
                </w:p>
              </w:tc>
              <w:tc>
                <w:tcPr>
                  <w:tcW w:w="406" w:type="pct"/>
                  <w:tcBorders>
                    <w:tl2br w:val="nil"/>
                    <w:tr2bl w:val="nil"/>
                  </w:tcBorders>
                  <w:noWrap w:val="0"/>
                  <w:vAlign w:val="center"/>
                </w:tcPr>
                <w:p w14:paraId="50C417BD">
                  <w:pPr>
                    <w:pStyle w:val="336"/>
                    <w:keepNext w:val="0"/>
                    <w:keepLines w:val="0"/>
                    <w:suppressLineNumbers w:val="0"/>
                    <w:spacing w:before="0" w:beforeAutospacing="0" w:after="0" w:afterAutospacing="0"/>
                    <w:ind w:left="0" w:right="0"/>
                    <w:rPr>
                      <w:color w:val="auto"/>
                      <w:highlight w:val="none"/>
                    </w:rPr>
                  </w:pPr>
                  <w:r>
                    <w:rPr>
                      <w:rFonts w:hint="eastAsia"/>
                      <w:color w:val="auto"/>
                      <w:highlight w:val="none"/>
                      <w:lang w:val="en-US" w:eastAsia="zh-CN"/>
                    </w:rPr>
                    <w:t>4</w:t>
                  </w:r>
                  <w:r>
                    <w:rPr>
                      <w:rFonts w:hint="eastAsia"/>
                      <w:color w:val="auto"/>
                      <w:highlight w:val="none"/>
                    </w:rPr>
                    <w:t>00</w:t>
                  </w:r>
                </w:p>
              </w:tc>
            </w:tr>
            <w:tr w14:paraId="60C85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55" w:type="pct"/>
                  <w:tcBorders>
                    <w:tl2br w:val="nil"/>
                    <w:tr2bl w:val="nil"/>
                  </w:tcBorders>
                  <w:noWrap w:val="0"/>
                  <w:vAlign w:val="center"/>
                </w:tcPr>
                <w:p w14:paraId="1B698E20">
                  <w:pPr>
                    <w:pStyle w:val="33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污水综合排放标准</w:t>
                  </w:r>
                </w:p>
              </w:tc>
              <w:tc>
                <w:tcPr>
                  <w:tcW w:w="378" w:type="pct"/>
                  <w:tcBorders>
                    <w:tl2br w:val="nil"/>
                    <w:tr2bl w:val="nil"/>
                  </w:tcBorders>
                  <w:noWrap w:val="0"/>
                  <w:vAlign w:val="center"/>
                </w:tcPr>
                <w:p w14:paraId="21F865A1">
                  <w:pPr>
                    <w:pStyle w:val="336"/>
                    <w:keepNext w:val="0"/>
                    <w:keepLines w:val="0"/>
                    <w:suppressLineNumbers w:val="0"/>
                    <w:spacing w:before="0" w:beforeAutospacing="0" w:after="0" w:afterAutospacing="0"/>
                    <w:ind w:left="0" w:right="0"/>
                    <w:rPr>
                      <w:color w:val="auto"/>
                      <w:highlight w:val="none"/>
                    </w:rPr>
                  </w:pPr>
                  <w:r>
                    <w:rPr>
                      <w:color w:val="auto"/>
                      <w:highlight w:val="none"/>
                    </w:rPr>
                    <w:t>6～9</w:t>
                  </w:r>
                </w:p>
              </w:tc>
              <w:tc>
                <w:tcPr>
                  <w:tcW w:w="387" w:type="pct"/>
                  <w:tcBorders>
                    <w:tl2br w:val="nil"/>
                    <w:tr2bl w:val="nil"/>
                  </w:tcBorders>
                  <w:noWrap w:val="0"/>
                  <w:vAlign w:val="center"/>
                </w:tcPr>
                <w:p w14:paraId="0AFCBEFE">
                  <w:pPr>
                    <w:pStyle w:val="336"/>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500</w:t>
                  </w:r>
                </w:p>
              </w:tc>
              <w:tc>
                <w:tcPr>
                  <w:tcW w:w="520" w:type="pct"/>
                  <w:tcBorders>
                    <w:tl2br w:val="nil"/>
                    <w:tr2bl w:val="nil"/>
                  </w:tcBorders>
                  <w:noWrap w:val="0"/>
                  <w:vAlign w:val="center"/>
                </w:tcPr>
                <w:p w14:paraId="22E88141">
                  <w:pPr>
                    <w:pStyle w:val="33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300</w:t>
                  </w:r>
                </w:p>
              </w:tc>
              <w:tc>
                <w:tcPr>
                  <w:tcW w:w="549" w:type="pct"/>
                  <w:tcBorders>
                    <w:tl2br w:val="nil"/>
                    <w:tr2bl w:val="nil"/>
                  </w:tcBorders>
                  <w:noWrap w:val="0"/>
                  <w:vAlign w:val="center"/>
                </w:tcPr>
                <w:p w14:paraId="4B4A2A3D">
                  <w:pPr>
                    <w:pStyle w:val="33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502" w:type="pct"/>
                  <w:tcBorders>
                    <w:tl2br w:val="nil"/>
                    <w:tr2bl w:val="nil"/>
                  </w:tcBorders>
                  <w:noWrap w:val="0"/>
                  <w:vAlign w:val="center"/>
                </w:tcPr>
                <w:p w14:paraId="31354292">
                  <w:pPr>
                    <w:pStyle w:val="33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100</w:t>
                  </w:r>
                </w:p>
              </w:tc>
              <w:tc>
                <w:tcPr>
                  <w:tcW w:w="406" w:type="pct"/>
                  <w:tcBorders>
                    <w:tl2br w:val="nil"/>
                    <w:tr2bl w:val="nil"/>
                  </w:tcBorders>
                  <w:noWrap w:val="0"/>
                  <w:vAlign w:val="center"/>
                </w:tcPr>
                <w:p w14:paraId="27DB022B">
                  <w:pPr>
                    <w:pStyle w:val="33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400</w:t>
                  </w:r>
                </w:p>
              </w:tc>
            </w:tr>
            <w:tr w14:paraId="7CBD5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55" w:type="pct"/>
                  <w:tcBorders>
                    <w:tl2br w:val="nil"/>
                    <w:tr2bl w:val="nil"/>
                  </w:tcBorders>
                  <w:noWrap w:val="0"/>
                  <w:vAlign w:val="center"/>
                </w:tcPr>
                <w:p w14:paraId="674F73F0">
                  <w:pPr>
                    <w:pStyle w:val="33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本项目执行标准</w:t>
                  </w:r>
                </w:p>
              </w:tc>
              <w:tc>
                <w:tcPr>
                  <w:tcW w:w="378" w:type="pct"/>
                  <w:tcBorders>
                    <w:tl2br w:val="nil"/>
                    <w:tr2bl w:val="nil"/>
                  </w:tcBorders>
                  <w:noWrap w:val="0"/>
                  <w:vAlign w:val="center"/>
                </w:tcPr>
                <w:p w14:paraId="2DCAC702">
                  <w:pPr>
                    <w:pStyle w:val="336"/>
                    <w:keepNext w:val="0"/>
                    <w:keepLines w:val="0"/>
                    <w:suppressLineNumbers w:val="0"/>
                    <w:spacing w:before="0" w:beforeAutospacing="0" w:after="0" w:afterAutospacing="0"/>
                    <w:ind w:left="0" w:right="0"/>
                    <w:rPr>
                      <w:color w:val="auto"/>
                      <w:highlight w:val="none"/>
                    </w:rPr>
                  </w:pPr>
                  <w:r>
                    <w:rPr>
                      <w:color w:val="auto"/>
                      <w:highlight w:val="none"/>
                    </w:rPr>
                    <w:t>6～9</w:t>
                  </w:r>
                </w:p>
              </w:tc>
              <w:tc>
                <w:tcPr>
                  <w:tcW w:w="387" w:type="pct"/>
                  <w:tcBorders>
                    <w:tl2br w:val="nil"/>
                    <w:tr2bl w:val="nil"/>
                  </w:tcBorders>
                  <w:noWrap w:val="0"/>
                  <w:vAlign w:val="center"/>
                </w:tcPr>
                <w:p w14:paraId="159A8EE8">
                  <w:pPr>
                    <w:pStyle w:val="336"/>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500</w:t>
                  </w:r>
                </w:p>
              </w:tc>
              <w:tc>
                <w:tcPr>
                  <w:tcW w:w="520" w:type="pct"/>
                  <w:tcBorders>
                    <w:tl2br w:val="nil"/>
                    <w:tr2bl w:val="nil"/>
                  </w:tcBorders>
                  <w:noWrap w:val="0"/>
                  <w:vAlign w:val="center"/>
                </w:tcPr>
                <w:p w14:paraId="34EBE1FA">
                  <w:pPr>
                    <w:pStyle w:val="33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300</w:t>
                  </w:r>
                </w:p>
              </w:tc>
              <w:tc>
                <w:tcPr>
                  <w:tcW w:w="549" w:type="pct"/>
                  <w:tcBorders>
                    <w:tl2br w:val="nil"/>
                    <w:tr2bl w:val="nil"/>
                  </w:tcBorders>
                  <w:noWrap w:val="0"/>
                  <w:vAlign w:val="center"/>
                </w:tcPr>
                <w:p w14:paraId="0FBAF8D0">
                  <w:pPr>
                    <w:pStyle w:val="33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45</w:t>
                  </w:r>
                </w:p>
              </w:tc>
              <w:tc>
                <w:tcPr>
                  <w:tcW w:w="502" w:type="pct"/>
                  <w:tcBorders>
                    <w:tl2br w:val="nil"/>
                    <w:tr2bl w:val="nil"/>
                  </w:tcBorders>
                  <w:noWrap w:val="0"/>
                  <w:vAlign w:val="center"/>
                </w:tcPr>
                <w:p w14:paraId="0571B10F">
                  <w:pPr>
                    <w:pStyle w:val="33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100</w:t>
                  </w:r>
                </w:p>
              </w:tc>
              <w:tc>
                <w:tcPr>
                  <w:tcW w:w="406" w:type="pct"/>
                  <w:tcBorders>
                    <w:tl2br w:val="nil"/>
                    <w:tr2bl w:val="nil"/>
                  </w:tcBorders>
                  <w:noWrap w:val="0"/>
                  <w:vAlign w:val="center"/>
                </w:tcPr>
                <w:p w14:paraId="3333855C">
                  <w:pPr>
                    <w:pStyle w:val="33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400</w:t>
                  </w:r>
                </w:p>
              </w:tc>
            </w:tr>
            <w:tr w14:paraId="58C73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55" w:type="pct"/>
                  <w:tcBorders>
                    <w:tl2br w:val="nil"/>
                    <w:tr2bl w:val="nil"/>
                  </w:tcBorders>
                  <w:noWrap w:val="0"/>
                  <w:vAlign w:val="center"/>
                </w:tcPr>
                <w:p w14:paraId="05375C83">
                  <w:pPr>
                    <w:pStyle w:val="336"/>
                    <w:keepNext w:val="0"/>
                    <w:keepLines w:val="0"/>
                    <w:suppressLineNumbers w:val="0"/>
                    <w:spacing w:before="0" w:beforeAutospacing="0" w:after="0" w:afterAutospacing="0"/>
                    <w:ind w:left="0" w:right="0"/>
                    <w:rPr>
                      <w:color w:val="auto"/>
                      <w:highlight w:val="none"/>
                    </w:rPr>
                  </w:pPr>
                  <w:r>
                    <w:rPr>
                      <w:color w:val="auto"/>
                      <w:highlight w:val="none"/>
                    </w:rPr>
                    <w:t>GB18918-2002中一级A标准</w:t>
                  </w:r>
                </w:p>
              </w:tc>
              <w:tc>
                <w:tcPr>
                  <w:tcW w:w="378" w:type="pct"/>
                  <w:tcBorders>
                    <w:tl2br w:val="nil"/>
                    <w:tr2bl w:val="nil"/>
                  </w:tcBorders>
                  <w:noWrap w:val="0"/>
                  <w:vAlign w:val="center"/>
                </w:tcPr>
                <w:p w14:paraId="7529213B">
                  <w:pPr>
                    <w:pStyle w:val="336"/>
                    <w:keepNext w:val="0"/>
                    <w:keepLines w:val="0"/>
                    <w:suppressLineNumbers w:val="0"/>
                    <w:spacing w:before="0" w:beforeAutospacing="0" w:after="0" w:afterAutospacing="0"/>
                    <w:ind w:left="0" w:right="0"/>
                    <w:rPr>
                      <w:color w:val="auto"/>
                      <w:highlight w:val="none"/>
                    </w:rPr>
                  </w:pPr>
                  <w:r>
                    <w:rPr>
                      <w:color w:val="auto"/>
                      <w:highlight w:val="none"/>
                    </w:rPr>
                    <w:t>6～9</w:t>
                  </w:r>
                </w:p>
              </w:tc>
              <w:tc>
                <w:tcPr>
                  <w:tcW w:w="387" w:type="pct"/>
                  <w:tcBorders>
                    <w:tl2br w:val="nil"/>
                    <w:tr2bl w:val="nil"/>
                  </w:tcBorders>
                  <w:noWrap w:val="0"/>
                  <w:vAlign w:val="center"/>
                </w:tcPr>
                <w:p w14:paraId="6E3F8081">
                  <w:pPr>
                    <w:pStyle w:val="336"/>
                    <w:keepNext w:val="0"/>
                    <w:keepLines w:val="0"/>
                    <w:suppressLineNumbers w:val="0"/>
                    <w:spacing w:before="0" w:beforeAutospacing="0" w:after="0" w:afterAutospacing="0"/>
                    <w:ind w:left="0" w:right="0"/>
                    <w:rPr>
                      <w:color w:val="auto"/>
                      <w:highlight w:val="none"/>
                    </w:rPr>
                  </w:pPr>
                  <w:r>
                    <w:rPr>
                      <w:color w:val="auto"/>
                      <w:highlight w:val="none"/>
                    </w:rPr>
                    <w:t>50</w:t>
                  </w:r>
                </w:p>
              </w:tc>
              <w:tc>
                <w:tcPr>
                  <w:tcW w:w="520" w:type="pct"/>
                  <w:tcBorders>
                    <w:tl2br w:val="nil"/>
                    <w:tr2bl w:val="nil"/>
                  </w:tcBorders>
                  <w:noWrap w:val="0"/>
                  <w:vAlign w:val="center"/>
                </w:tcPr>
                <w:p w14:paraId="36EF9218">
                  <w:pPr>
                    <w:pStyle w:val="336"/>
                    <w:keepNext w:val="0"/>
                    <w:keepLines w:val="0"/>
                    <w:suppressLineNumbers w:val="0"/>
                    <w:spacing w:before="0" w:beforeAutospacing="0" w:after="0" w:afterAutospacing="0"/>
                    <w:ind w:left="0" w:right="0"/>
                    <w:rPr>
                      <w:color w:val="auto"/>
                      <w:highlight w:val="none"/>
                    </w:rPr>
                  </w:pPr>
                  <w:r>
                    <w:rPr>
                      <w:color w:val="auto"/>
                      <w:highlight w:val="none"/>
                    </w:rPr>
                    <w:t>10</w:t>
                  </w:r>
                </w:p>
              </w:tc>
              <w:tc>
                <w:tcPr>
                  <w:tcW w:w="549" w:type="pct"/>
                  <w:tcBorders>
                    <w:tl2br w:val="nil"/>
                    <w:tr2bl w:val="nil"/>
                  </w:tcBorders>
                  <w:noWrap w:val="0"/>
                  <w:vAlign w:val="center"/>
                </w:tcPr>
                <w:p w14:paraId="753C85C7">
                  <w:pPr>
                    <w:pStyle w:val="336"/>
                    <w:keepNext w:val="0"/>
                    <w:keepLines w:val="0"/>
                    <w:suppressLineNumbers w:val="0"/>
                    <w:spacing w:before="0" w:beforeAutospacing="0" w:after="0" w:afterAutospacing="0"/>
                    <w:ind w:left="0" w:right="0"/>
                    <w:rPr>
                      <w:color w:val="auto"/>
                      <w:highlight w:val="none"/>
                    </w:rPr>
                  </w:pPr>
                  <w:r>
                    <w:rPr>
                      <w:color w:val="auto"/>
                      <w:highlight w:val="none"/>
                    </w:rPr>
                    <w:t>5</w:t>
                  </w:r>
                </w:p>
              </w:tc>
              <w:tc>
                <w:tcPr>
                  <w:tcW w:w="502" w:type="pct"/>
                  <w:tcBorders>
                    <w:tl2br w:val="nil"/>
                    <w:tr2bl w:val="nil"/>
                  </w:tcBorders>
                  <w:noWrap w:val="0"/>
                  <w:vAlign w:val="center"/>
                </w:tcPr>
                <w:p w14:paraId="1C23C10E">
                  <w:pPr>
                    <w:pStyle w:val="336"/>
                    <w:keepNext w:val="0"/>
                    <w:keepLines w:val="0"/>
                    <w:suppressLineNumbers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1</w:t>
                  </w:r>
                </w:p>
              </w:tc>
              <w:tc>
                <w:tcPr>
                  <w:tcW w:w="406" w:type="pct"/>
                  <w:tcBorders>
                    <w:tl2br w:val="nil"/>
                    <w:tr2bl w:val="nil"/>
                  </w:tcBorders>
                  <w:noWrap w:val="0"/>
                  <w:vAlign w:val="center"/>
                </w:tcPr>
                <w:p w14:paraId="155FAC44">
                  <w:pPr>
                    <w:pStyle w:val="336"/>
                    <w:keepNext w:val="0"/>
                    <w:keepLines w:val="0"/>
                    <w:suppressLineNumbers w:val="0"/>
                    <w:spacing w:before="0" w:beforeAutospacing="0" w:after="0" w:afterAutospacing="0"/>
                    <w:ind w:left="0" w:right="0"/>
                    <w:rPr>
                      <w:color w:val="auto"/>
                      <w:highlight w:val="none"/>
                    </w:rPr>
                  </w:pPr>
                  <w:r>
                    <w:rPr>
                      <w:color w:val="auto"/>
                      <w:highlight w:val="none"/>
                    </w:rPr>
                    <w:t>10</w:t>
                  </w:r>
                </w:p>
              </w:tc>
            </w:tr>
            <w:tr w14:paraId="0B443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55" w:type="pct"/>
                  <w:tcBorders>
                    <w:tl2br w:val="nil"/>
                    <w:tr2bl w:val="nil"/>
                  </w:tcBorders>
                  <w:noWrap w:val="0"/>
                  <w:vAlign w:val="center"/>
                </w:tcPr>
                <w:p w14:paraId="5C486933">
                  <w:pPr>
                    <w:keepNext w:val="0"/>
                    <w:keepLines w:val="0"/>
                    <w:widowControl/>
                    <w:suppressLineNumbers w:val="0"/>
                    <w:spacing w:before="0" w:beforeAutospacing="0" w:after="0" w:afterAutospacing="0"/>
                    <w:ind w:left="0" w:right="0"/>
                    <w:jc w:val="center"/>
                    <w:rPr>
                      <w:color w:val="auto"/>
                      <w:szCs w:val="22"/>
                      <w:highlight w:val="none"/>
                    </w:rPr>
                  </w:pPr>
                  <w:r>
                    <w:rPr>
                      <w:rFonts w:hint="eastAsia" w:ascii="Times New Roman" w:hAnsi="Times New Roman" w:eastAsia="宋体" w:cs="Times New Roman"/>
                      <w:color w:val="auto"/>
                      <w:kern w:val="2"/>
                      <w:sz w:val="21"/>
                      <w:szCs w:val="21"/>
                      <w:highlight w:val="none"/>
                      <w:lang w:val="en-US" w:eastAsia="zh-CN" w:bidi="ar-SA"/>
                    </w:rPr>
                    <w:t>《安徽省淮河流域城镇污水处理厂和工业行业主要水污染物排放标准》（征求意见稿）</w:t>
                  </w:r>
                </w:p>
              </w:tc>
              <w:tc>
                <w:tcPr>
                  <w:tcW w:w="378" w:type="pct"/>
                  <w:tcBorders>
                    <w:tl2br w:val="nil"/>
                    <w:tr2bl w:val="nil"/>
                  </w:tcBorders>
                  <w:noWrap w:val="0"/>
                  <w:vAlign w:val="center"/>
                </w:tcPr>
                <w:p w14:paraId="7113A43C">
                  <w:pPr>
                    <w:pStyle w:val="336"/>
                    <w:keepNext w:val="0"/>
                    <w:keepLines w:val="0"/>
                    <w:suppressLineNumbers w:val="0"/>
                    <w:spacing w:before="0" w:beforeAutospacing="0" w:after="0" w:afterAutospacing="0"/>
                    <w:ind w:left="0" w:right="0"/>
                    <w:rPr>
                      <w:color w:val="auto"/>
                      <w:highlight w:val="none"/>
                    </w:rPr>
                  </w:pPr>
                  <w:r>
                    <w:rPr>
                      <w:color w:val="auto"/>
                      <w:highlight w:val="none"/>
                    </w:rPr>
                    <w:t>6～9</w:t>
                  </w:r>
                </w:p>
              </w:tc>
              <w:tc>
                <w:tcPr>
                  <w:tcW w:w="387" w:type="pct"/>
                  <w:tcBorders>
                    <w:tl2br w:val="nil"/>
                    <w:tr2bl w:val="nil"/>
                  </w:tcBorders>
                  <w:noWrap w:val="0"/>
                  <w:vAlign w:val="center"/>
                </w:tcPr>
                <w:p w14:paraId="281C13CA">
                  <w:pPr>
                    <w:pStyle w:val="336"/>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40</w:t>
                  </w:r>
                </w:p>
              </w:tc>
              <w:tc>
                <w:tcPr>
                  <w:tcW w:w="520" w:type="pct"/>
                  <w:tcBorders>
                    <w:tl2br w:val="nil"/>
                    <w:tr2bl w:val="nil"/>
                  </w:tcBorders>
                  <w:noWrap w:val="0"/>
                  <w:vAlign w:val="center"/>
                </w:tcPr>
                <w:p w14:paraId="5B63BE6D">
                  <w:pPr>
                    <w:pStyle w:val="336"/>
                    <w:keepNext w:val="0"/>
                    <w:keepLines w:val="0"/>
                    <w:suppressLineNumbers w:val="0"/>
                    <w:spacing w:before="0" w:beforeAutospacing="0" w:after="0" w:afterAutospacing="0"/>
                    <w:ind w:left="0" w:right="0"/>
                    <w:rPr>
                      <w:color w:val="auto"/>
                      <w:highlight w:val="none"/>
                    </w:rPr>
                  </w:pPr>
                  <w:r>
                    <w:rPr>
                      <w:rFonts w:hint="eastAsia"/>
                      <w:color w:val="auto"/>
                      <w:highlight w:val="none"/>
                      <w:lang w:val="en-US" w:eastAsia="zh-CN"/>
                    </w:rPr>
                    <w:t>/</w:t>
                  </w:r>
                </w:p>
              </w:tc>
              <w:tc>
                <w:tcPr>
                  <w:tcW w:w="549" w:type="pct"/>
                  <w:tcBorders>
                    <w:tl2br w:val="nil"/>
                    <w:tr2bl w:val="nil"/>
                  </w:tcBorders>
                  <w:noWrap w:val="0"/>
                  <w:vAlign w:val="center"/>
                </w:tcPr>
                <w:p w14:paraId="2EC75A85">
                  <w:pPr>
                    <w:pStyle w:val="336"/>
                    <w:keepNext w:val="0"/>
                    <w:keepLines w:val="0"/>
                    <w:suppressLineNumbers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2</w:t>
                  </w:r>
                </w:p>
              </w:tc>
              <w:tc>
                <w:tcPr>
                  <w:tcW w:w="502" w:type="pct"/>
                  <w:tcBorders>
                    <w:tl2br w:val="nil"/>
                    <w:tr2bl w:val="nil"/>
                  </w:tcBorders>
                  <w:noWrap w:val="0"/>
                  <w:vAlign w:val="center"/>
                </w:tcPr>
                <w:p w14:paraId="1F50A42E">
                  <w:pPr>
                    <w:pStyle w:val="33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w:t>
                  </w:r>
                </w:p>
              </w:tc>
              <w:tc>
                <w:tcPr>
                  <w:tcW w:w="406" w:type="pct"/>
                  <w:tcBorders>
                    <w:tl2br w:val="nil"/>
                    <w:tr2bl w:val="nil"/>
                  </w:tcBorders>
                  <w:noWrap w:val="0"/>
                  <w:vAlign w:val="center"/>
                </w:tcPr>
                <w:p w14:paraId="14B8E4C3">
                  <w:pPr>
                    <w:pStyle w:val="336"/>
                    <w:keepNext w:val="0"/>
                    <w:keepLines w:val="0"/>
                    <w:suppressLineNumbers w:val="0"/>
                    <w:spacing w:before="0" w:beforeAutospacing="0" w:after="0" w:afterAutospacing="0"/>
                    <w:ind w:left="0" w:right="0"/>
                    <w:rPr>
                      <w:color w:val="auto"/>
                      <w:highlight w:val="none"/>
                    </w:rPr>
                  </w:pPr>
                  <w:r>
                    <w:rPr>
                      <w:rFonts w:hint="eastAsia"/>
                      <w:color w:val="auto"/>
                      <w:highlight w:val="none"/>
                      <w:lang w:val="en-US" w:eastAsia="zh-CN"/>
                    </w:rPr>
                    <w:t>/</w:t>
                  </w:r>
                </w:p>
              </w:tc>
            </w:tr>
          </w:tbl>
          <w:p w14:paraId="677E783B">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textAlignment w:val="auto"/>
              <w:rPr>
                <w:rFonts w:hint="default" w:ascii="Times New Roman" w:hAnsi="Times New Roman" w:eastAsia="宋体" w:cs="Times New Roman"/>
                <w:b/>
                <w:color w:val="auto"/>
                <w:sz w:val="24"/>
                <w:szCs w:val="22"/>
                <w:highlight w:val="none"/>
              </w:rPr>
            </w:pPr>
            <w:r>
              <w:rPr>
                <w:rFonts w:hint="default" w:ascii="Times New Roman" w:hAnsi="Times New Roman" w:eastAsia="宋体" w:cs="Times New Roman"/>
                <w:b/>
                <w:color w:val="auto"/>
                <w:sz w:val="24"/>
                <w:szCs w:val="22"/>
                <w:highlight w:val="none"/>
              </w:rPr>
              <w:t>3、噪声</w:t>
            </w:r>
          </w:p>
          <w:p w14:paraId="6AB43C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olor w:val="auto"/>
                <w:sz w:val="24"/>
                <w:szCs w:val="24"/>
                <w:highlight w:val="none"/>
              </w:rPr>
            </w:pPr>
            <w:r>
              <w:rPr>
                <w:rFonts w:ascii="Times New Roman" w:hAnsi="Times New Roman"/>
                <w:color w:val="auto"/>
                <w:sz w:val="24"/>
                <w:szCs w:val="22"/>
                <w:highlight w:val="none"/>
              </w:rPr>
              <w:t>本项目营运期项目区噪声执行《工业企业厂界环境噪声排放标准》（GB12348-2008）中3类标准</w:t>
            </w:r>
            <w:r>
              <w:rPr>
                <w:rFonts w:ascii="Times New Roman" w:hAnsi="Times New Roman"/>
                <w:color w:val="auto"/>
                <w:sz w:val="24"/>
                <w:szCs w:val="24"/>
                <w:highlight w:val="none"/>
              </w:rPr>
              <w:t>。</w:t>
            </w:r>
          </w:p>
          <w:p w14:paraId="1BC4E82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w:t>
            </w:r>
            <w:r>
              <w:rPr>
                <w:rFonts w:hint="eastAsia" w:cs="Times New Roman"/>
                <w:b/>
                <w:color w:val="auto"/>
                <w:sz w:val="21"/>
                <w:szCs w:val="21"/>
                <w:highlight w:val="none"/>
                <w:lang w:val="en-US" w:eastAsia="zh-CN"/>
              </w:rPr>
              <w:t>9</w:t>
            </w:r>
            <w:r>
              <w:rPr>
                <w:rFonts w:hint="eastAsia"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rPr>
              <w:t>工业企业厂界环境噪声排放标准   单位：dB（A</w:t>
            </w:r>
            <w:r>
              <w:rPr>
                <w:rFonts w:hint="eastAsia" w:ascii="Times New Roman" w:hAnsi="Times New Roman" w:eastAsia="宋体" w:cs="Times New Roman"/>
                <w:b/>
                <w:color w:val="auto"/>
                <w:sz w:val="21"/>
                <w:szCs w:val="21"/>
                <w:highlight w:val="none"/>
              </w:rPr>
              <w:t>）</w:t>
            </w:r>
          </w:p>
          <w:tbl>
            <w:tblPr>
              <w:tblStyle w:val="3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1"/>
              <w:gridCol w:w="2622"/>
            </w:tblGrid>
            <w:tr w14:paraId="302D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332" w:type="pct"/>
                  <w:noWrap w:val="0"/>
                  <w:vAlign w:val="center"/>
                </w:tcPr>
                <w:p w14:paraId="17DDE466">
                  <w:pPr>
                    <w:keepNext w:val="0"/>
                    <w:keepLines w:val="0"/>
                    <w:suppressLineNumbers w:val="0"/>
                    <w:snapToGrid w:val="0"/>
                    <w:spacing w:before="0" w:beforeAutospacing="0" w:after="0" w:afterAutospacing="0"/>
                    <w:ind w:left="0" w:right="0"/>
                    <w:jc w:val="center"/>
                    <w:rPr>
                      <w:rFonts w:ascii="Times New Roman" w:hAnsi="Times New Roman"/>
                      <w:b/>
                      <w:bCs/>
                      <w:color w:val="auto"/>
                      <w:szCs w:val="21"/>
                      <w:highlight w:val="none"/>
                    </w:rPr>
                  </w:pPr>
                  <w:r>
                    <w:rPr>
                      <w:rFonts w:ascii="Times New Roman" w:hAnsi="Times New Roman"/>
                      <w:b/>
                      <w:bCs/>
                      <w:color w:val="auto"/>
                      <w:szCs w:val="21"/>
                      <w:highlight w:val="none"/>
                    </w:rPr>
                    <w:t>标准</w:t>
                  </w:r>
                </w:p>
              </w:tc>
              <w:tc>
                <w:tcPr>
                  <w:tcW w:w="1667" w:type="pct"/>
                  <w:noWrap w:val="0"/>
                  <w:vAlign w:val="center"/>
                </w:tcPr>
                <w:p w14:paraId="18D7E0EE">
                  <w:pPr>
                    <w:keepNext w:val="0"/>
                    <w:keepLines w:val="0"/>
                    <w:suppressLineNumbers w:val="0"/>
                    <w:snapToGrid w:val="0"/>
                    <w:spacing w:before="0" w:beforeAutospacing="0" w:after="0" w:afterAutospacing="0"/>
                    <w:ind w:left="0" w:right="0"/>
                    <w:jc w:val="center"/>
                    <w:rPr>
                      <w:rFonts w:ascii="Times New Roman" w:hAnsi="Times New Roman"/>
                      <w:b/>
                      <w:bCs/>
                      <w:color w:val="auto"/>
                      <w:szCs w:val="21"/>
                      <w:highlight w:val="none"/>
                    </w:rPr>
                  </w:pPr>
                  <w:r>
                    <w:rPr>
                      <w:rFonts w:ascii="Times New Roman" w:hAnsi="Times New Roman"/>
                      <w:b/>
                      <w:bCs/>
                      <w:color w:val="auto"/>
                      <w:szCs w:val="21"/>
                      <w:highlight w:val="none"/>
                    </w:rPr>
                    <w:t>昼间</w:t>
                  </w:r>
                </w:p>
              </w:tc>
            </w:tr>
            <w:tr w14:paraId="5A29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2" w:type="pct"/>
                  <w:noWrap w:val="0"/>
                  <w:vAlign w:val="center"/>
                </w:tcPr>
                <w:p w14:paraId="72A28CB8">
                  <w:pPr>
                    <w:keepNext w:val="0"/>
                    <w:keepLines w:val="0"/>
                    <w:suppressLineNumbers w:val="0"/>
                    <w:snapToGri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《工业企业厂界环境噪声排放标准》（GB12348-2008）3类</w:t>
                  </w:r>
                </w:p>
              </w:tc>
              <w:tc>
                <w:tcPr>
                  <w:tcW w:w="1667" w:type="pct"/>
                  <w:noWrap w:val="0"/>
                  <w:vAlign w:val="center"/>
                </w:tcPr>
                <w:p w14:paraId="5E4A65F6">
                  <w:pPr>
                    <w:keepNext w:val="0"/>
                    <w:keepLines w:val="0"/>
                    <w:suppressLineNumbers w:val="0"/>
                    <w:snapToGrid w:val="0"/>
                    <w:spacing w:before="0" w:beforeAutospacing="0" w:after="0" w:afterAutospacing="0"/>
                    <w:ind w:left="0" w:right="0"/>
                    <w:jc w:val="center"/>
                    <w:rPr>
                      <w:rFonts w:ascii="Times New Roman" w:hAnsi="Times New Roman"/>
                      <w:color w:val="auto"/>
                      <w:szCs w:val="21"/>
                      <w:highlight w:val="none"/>
                    </w:rPr>
                  </w:pPr>
                  <w:r>
                    <w:rPr>
                      <w:rFonts w:ascii="Times New Roman" w:hAnsi="Times New Roman"/>
                      <w:color w:val="auto"/>
                      <w:szCs w:val="21"/>
                      <w:highlight w:val="none"/>
                    </w:rPr>
                    <w:t>65</w:t>
                  </w:r>
                </w:p>
              </w:tc>
            </w:tr>
          </w:tbl>
          <w:p w14:paraId="308D71EE">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textAlignment w:val="auto"/>
              <w:rPr>
                <w:rFonts w:hint="default" w:ascii="Times New Roman" w:hAnsi="Times New Roman" w:eastAsia="宋体" w:cs="Times New Roman"/>
                <w:b/>
                <w:color w:val="auto"/>
                <w:sz w:val="24"/>
                <w:szCs w:val="22"/>
                <w:highlight w:val="none"/>
              </w:rPr>
            </w:pPr>
            <w:r>
              <w:rPr>
                <w:rFonts w:hint="default" w:ascii="Times New Roman" w:hAnsi="Times New Roman" w:eastAsia="宋体" w:cs="Times New Roman"/>
                <w:b/>
                <w:color w:val="auto"/>
                <w:sz w:val="24"/>
                <w:szCs w:val="22"/>
                <w:highlight w:val="none"/>
              </w:rPr>
              <w:t>4、固体废物</w:t>
            </w:r>
          </w:p>
          <w:p w14:paraId="17CDE96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color w:val="auto"/>
                <w:sz w:val="24"/>
                <w:szCs w:val="24"/>
                <w:highlight w:val="none"/>
              </w:rPr>
            </w:pPr>
            <w:r>
              <w:rPr>
                <w:color w:val="auto"/>
                <w:sz w:val="24"/>
                <w:szCs w:val="22"/>
                <w:highlight w:val="none"/>
              </w:rPr>
              <w:t>一般固废</w:t>
            </w:r>
            <w:r>
              <w:rPr>
                <w:rFonts w:hint="eastAsia"/>
                <w:color w:val="auto"/>
                <w:sz w:val="24"/>
                <w:szCs w:val="22"/>
                <w:highlight w:val="none"/>
                <w:lang w:val="en-US" w:eastAsia="zh-CN"/>
              </w:rPr>
              <w:t>按照《</w:t>
            </w:r>
            <w:r>
              <w:rPr>
                <w:rFonts w:hint="eastAsia"/>
                <w:color w:val="auto"/>
                <w:sz w:val="24"/>
                <w:szCs w:val="22"/>
                <w:highlight w:val="none"/>
              </w:rPr>
              <w:t>安徽省实施</w:t>
            </w:r>
            <w:r>
              <w:rPr>
                <w:rFonts w:hint="default"/>
                <w:color w:val="auto"/>
                <w:sz w:val="24"/>
                <w:szCs w:val="22"/>
                <w:highlight w:val="none"/>
              </w:rPr>
              <w:t>&lt;</w:t>
            </w:r>
            <w:r>
              <w:rPr>
                <w:rFonts w:hint="eastAsia"/>
                <w:color w:val="auto"/>
                <w:sz w:val="24"/>
                <w:szCs w:val="22"/>
                <w:highlight w:val="none"/>
              </w:rPr>
              <w:t>中华人民共和国固体废物污染环境防治法</w:t>
            </w:r>
            <w:r>
              <w:rPr>
                <w:rFonts w:hint="default"/>
                <w:color w:val="auto"/>
                <w:sz w:val="24"/>
                <w:szCs w:val="22"/>
                <w:highlight w:val="none"/>
              </w:rPr>
              <w:t>&gt;</w:t>
            </w:r>
            <w:r>
              <w:rPr>
                <w:rFonts w:hint="eastAsia"/>
                <w:color w:val="auto"/>
                <w:sz w:val="24"/>
                <w:szCs w:val="22"/>
                <w:highlight w:val="none"/>
              </w:rPr>
              <w:t>办法</w:t>
            </w:r>
            <w:r>
              <w:rPr>
                <w:rFonts w:hint="eastAsia"/>
                <w:color w:val="auto"/>
                <w:sz w:val="24"/>
                <w:szCs w:val="22"/>
                <w:highlight w:val="none"/>
                <w:lang w:eastAsia="zh-CN"/>
              </w:rPr>
              <w:t>》</w:t>
            </w:r>
            <w:r>
              <w:rPr>
                <w:rFonts w:hint="eastAsia"/>
                <w:color w:val="auto"/>
                <w:sz w:val="24"/>
                <w:szCs w:val="22"/>
                <w:highlight w:val="none"/>
                <w:lang w:val="en-US" w:eastAsia="zh-CN"/>
              </w:rPr>
              <w:t>进行管理</w:t>
            </w:r>
            <w:r>
              <w:rPr>
                <w:rFonts w:hint="eastAsia"/>
                <w:color w:val="auto"/>
                <w:sz w:val="24"/>
                <w:szCs w:val="22"/>
                <w:highlight w:val="none"/>
                <w:lang w:eastAsia="zh-CN"/>
              </w:rPr>
              <w:t>；</w:t>
            </w:r>
            <w:r>
              <w:rPr>
                <w:color w:val="auto"/>
                <w:sz w:val="24"/>
                <w:szCs w:val="22"/>
                <w:highlight w:val="none"/>
              </w:rPr>
              <w:t>危险固废执行《危险废物贮存污染控制标准》</w:t>
            </w:r>
            <w:r>
              <w:rPr>
                <w:rFonts w:hint="eastAsia"/>
                <w:color w:val="auto"/>
                <w:sz w:val="24"/>
                <w:szCs w:val="22"/>
                <w:highlight w:val="none"/>
                <w:lang w:eastAsia="zh-CN"/>
              </w:rPr>
              <w:t>（</w:t>
            </w:r>
            <w:r>
              <w:rPr>
                <w:color w:val="auto"/>
                <w:sz w:val="24"/>
                <w:szCs w:val="22"/>
                <w:highlight w:val="none"/>
              </w:rPr>
              <w:t>GB18597-20</w:t>
            </w:r>
            <w:r>
              <w:rPr>
                <w:rFonts w:hint="eastAsia"/>
                <w:color w:val="auto"/>
                <w:sz w:val="24"/>
                <w:szCs w:val="22"/>
                <w:highlight w:val="none"/>
              </w:rPr>
              <w:t>23</w:t>
            </w:r>
            <w:r>
              <w:rPr>
                <w:rFonts w:hint="eastAsia"/>
                <w:color w:val="auto"/>
                <w:sz w:val="24"/>
                <w:szCs w:val="22"/>
                <w:highlight w:val="none"/>
                <w:lang w:eastAsia="zh-CN"/>
              </w:rPr>
              <w:t>）</w:t>
            </w:r>
            <w:r>
              <w:rPr>
                <w:color w:val="auto"/>
                <w:sz w:val="24"/>
                <w:szCs w:val="22"/>
                <w:highlight w:val="none"/>
              </w:rPr>
              <w:t>中有关规定。</w:t>
            </w:r>
          </w:p>
        </w:tc>
      </w:tr>
      <w:tr w14:paraId="6351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52" w:type="pct"/>
            <w:noWrap w:val="0"/>
            <w:vAlign w:val="center"/>
          </w:tcPr>
          <w:p w14:paraId="2B9913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总量控制指标</w:t>
            </w:r>
          </w:p>
        </w:tc>
        <w:tc>
          <w:tcPr>
            <w:tcW w:w="4747" w:type="pct"/>
            <w:noWrap w:val="0"/>
            <w:vAlign w:val="top"/>
          </w:tcPr>
          <w:p w14:paraId="1456E3A5">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snapToGrid w:val="0"/>
                <w:color w:val="auto"/>
                <w:kern w:val="0"/>
                <w:sz w:val="24"/>
                <w:szCs w:val="20"/>
                <w:highlight w:val="none"/>
              </w:rPr>
            </w:pPr>
            <w:r>
              <w:rPr>
                <w:rFonts w:hint="default" w:ascii="Times New Roman" w:hAnsi="Times New Roman" w:eastAsia="宋体" w:cs="Times New Roman"/>
                <w:snapToGrid w:val="0"/>
                <w:color w:val="auto"/>
                <w:kern w:val="0"/>
                <w:sz w:val="24"/>
                <w:szCs w:val="20"/>
                <w:highlight w:val="none"/>
              </w:rPr>
              <w:t>根据《安徽省环保厅关于进一步加强建设项目新增大气主要污染物总量指标管理工作的通知》，纳入大气污染物总量控制的指标从两项增加为四项，在二氧化硫和氮氧化物的基础上增加烟（粉）尘和VOCs，因此现阶段纳入总量控制指标的污染物为COD、NH</w:t>
            </w:r>
            <w:r>
              <w:rPr>
                <w:rFonts w:hint="default" w:ascii="Times New Roman" w:hAnsi="Times New Roman" w:eastAsia="宋体" w:cs="Times New Roman"/>
                <w:snapToGrid w:val="0"/>
                <w:color w:val="auto"/>
                <w:kern w:val="0"/>
                <w:sz w:val="24"/>
                <w:szCs w:val="20"/>
                <w:highlight w:val="none"/>
                <w:vertAlign w:val="subscript"/>
              </w:rPr>
              <w:t>3</w:t>
            </w:r>
            <w:r>
              <w:rPr>
                <w:rFonts w:hint="default" w:ascii="Times New Roman" w:hAnsi="Times New Roman" w:eastAsia="宋体" w:cs="Times New Roman"/>
                <w:snapToGrid w:val="0"/>
                <w:color w:val="auto"/>
                <w:kern w:val="0"/>
                <w:sz w:val="24"/>
                <w:szCs w:val="20"/>
                <w:highlight w:val="none"/>
              </w:rPr>
              <w:t>-N、SO</w:t>
            </w:r>
            <w:r>
              <w:rPr>
                <w:rFonts w:hint="default" w:ascii="Times New Roman" w:hAnsi="Times New Roman" w:eastAsia="宋体" w:cs="Times New Roman"/>
                <w:snapToGrid w:val="0"/>
                <w:color w:val="auto"/>
                <w:kern w:val="0"/>
                <w:sz w:val="24"/>
                <w:szCs w:val="20"/>
                <w:highlight w:val="none"/>
                <w:vertAlign w:val="subscript"/>
              </w:rPr>
              <w:t>2</w:t>
            </w:r>
            <w:r>
              <w:rPr>
                <w:rFonts w:hint="default" w:ascii="Times New Roman" w:hAnsi="Times New Roman" w:eastAsia="宋体" w:cs="Times New Roman"/>
                <w:snapToGrid w:val="0"/>
                <w:color w:val="auto"/>
                <w:kern w:val="0"/>
                <w:sz w:val="24"/>
                <w:szCs w:val="20"/>
                <w:highlight w:val="none"/>
              </w:rPr>
              <w:t>、NOx、烟（粉）尘和VOCs。</w:t>
            </w:r>
          </w:p>
          <w:p w14:paraId="580D3713">
            <w:pPr>
              <w:pStyle w:val="55"/>
              <w:keepNext w:val="0"/>
              <w:keepLines w:val="0"/>
              <w:pageBreakBefore w:val="0"/>
              <w:widowControl w:val="0"/>
              <w:numPr>
                <w:ilvl w:val="0"/>
                <w:numId w:val="0"/>
              </w:numPr>
              <w:suppressLineNumbers w:val="0"/>
              <w:kinsoku/>
              <w:wordWrap/>
              <w:overflowPunct/>
              <w:topLinePunct w:val="0"/>
              <w:bidi w:val="0"/>
              <w:adjustRightInd/>
              <w:snapToGrid/>
              <w:spacing w:before="0" w:beforeLines="0" w:beforeAutospacing="0" w:after="0" w:afterLines="0" w:afterAutospacing="0" w:line="360" w:lineRule="auto"/>
              <w:ind w:left="0" w:right="0" w:firstLine="480" w:firstLineChars="200"/>
              <w:textAlignment w:val="auto"/>
              <w:outlineLvl w:val="9"/>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本项目废气总量控制指标为颗粒物、VOCs；废水总量控制指标为COD、</w:t>
            </w:r>
            <w:r>
              <w:rPr>
                <w:rFonts w:hint="default" w:ascii="Times New Roman" w:hAnsi="Times New Roman" w:eastAsia="宋体" w:cs="Times New Roman"/>
                <w:b w:val="0"/>
                <w:bCs w:val="0"/>
                <w:snapToGrid w:val="0"/>
                <w:color w:val="auto"/>
                <w:kern w:val="0"/>
                <w:sz w:val="24"/>
                <w:szCs w:val="20"/>
                <w:highlight w:val="none"/>
              </w:rPr>
              <w:t>NH</w:t>
            </w:r>
            <w:r>
              <w:rPr>
                <w:rFonts w:hint="default" w:ascii="Times New Roman" w:hAnsi="Times New Roman" w:eastAsia="宋体" w:cs="Times New Roman"/>
                <w:b w:val="0"/>
                <w:bCs w:val="0"/>
                <w:snapToGrid w:val="0"/>
                <w:color w:val="auto"/>
                <w:kern w:val="0"/>
                <w:sz w:val="24"/>
                <w:szCs w:val="20"/>
                <w:highlight w:val="none"/>
                <w:vertAlign w:val="subscript"/>
              </w:rPr>
              <w:t>3</w:t>
            </w:r>
            <w:r>
              <w:rPr>
                <w:rFonts w:hint="default" w:ascii="Times New Roman" w:hAnsi="Times New Roman" w:eastAsia="宋体" w:cs="Times New Roman"/>
                <w:b w:val="0"/>
                <w:bCs w:val="0"/>
                <w:snapToGrid w:val="0"/>
                <w:color w:val="auto"/>
                <w:kern w:val="0"/>
                <w:sz w:val="24"/>
                <w:szCs w:val="20"/>
                <w:highlight w:val="none"/>
              </w:rPr>
              <w:t>-N</w:t>
            </w:r>
            <w:r>
              <w:rPr>
                <w:rFonts w:hint="default" w:ascii="Times New Roman" w:hAnsi="Times New Roman" w:eastAsia="宋体" w:cs="Times New Roman"/>
                <w:b w:val="0"/>
                <w:bCs w:val="0"/>
                <w:color w:val="auto"/>
                <w:highlight w:val="none"/>
              </w:rPr>
              <w:t>。</w:t>
            </w:r>
          </w:p>
          <w:p w14:paraId="0C50338B">
            <w:pPr>
              <w:pStyle w:val="55"/>
              <w:keepNext w:val="0"/>
              <w:keepLines w:val="0"/>
              <w:pageBreakBefore w:val="0"/>
              <w:widowControl w:val="0"/>
              <w:numPr>
                <w:ilvl w:val="0"/>
                <w:numId w:val="0"/>
              </w:numPr>
              <w:suppressLineNumbers w:val="0"/>
              <w:kinsoku/>
              <w:wordWrap/>
              <w:overflowPunct/>
              <w:topLinePunct w:val="0"/>
              <w:bidi w:val="0"/>
              <w:adjustRightInd/>
              <w:snapToGrid/>
              <w:spacing w:before="0" w:beforeLines="0" w:beforeAutospacing="0" w:after="0" w:afterLines="0" w:afterAutospacing="0" w:line="360" w:lineRule="auto"/>
              <w:ind w:left="0" w:right="0" w:firstLine="480" w:firstLineChars="200"/>
              <w:textAlignment w:val="auto"/>
              <w:outlineLvl w:val="9"/>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①废水</w:t>
            </w:r>
          </w:p>
          <w:p w14:paraId="19389BB2">
            <w:pPr>
              <w:pStyle w:val="55"/>
              <w:keepNext w:val="0"/>
              <w:keepLines w:val="0"/>
              <w:pageBreakBefore w:val="0"/>
              <w:widowControl w:val="0"/>
              <w:numPr>
                <w:ilvl w:val="0"/>
                <w:numId w:val="0"/>
              </w:numPr>
              <w:suppressLineNumbers w:val="0"/>
              <w:kinsoku/>
              <w:wordWrap/>
              <w:overflowPunct/>
              <w:topLinePunct w:val="0"/>
              <w:bidi w:val="0"/>
              <w:adjustRightInd/>
              <w:snapToGrid/>
              <w:spacing w:before="0" w:beforeLines="0" w:beforeAutospacing="0" w:after="0" w:afterLines="0" w:afterAutospacing="0" w:line="360" w:lineRule="auto"/>
              <w:ind w:left="0" w:right="0" w:firstLine="480" w:firstLineChars="200"/>
              <w:textAlignment w:val="auto"/>
              <w:outlineLvl w:val="9"/>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水污染物：污水接入</w:t>
            </w:r>
            <w:r>
              <w:rPr>
                <w:rFonts w:hint="eastAsia" w:ascii="Times New Roman" w:hAnsi="Times New Roman" w:eastAsia="宋体" w:cs="Times New Roman"/>
                <w:b w:val="0"/>
                <w:bCs w:val="0"/>
                <w:color w:val="auto"/>
                <w:highlight w:val="none"/>
                <w:lang w:val="en-US" w:eastAsia="zh-CN"/>
              </w:rPr>
              <w:t>五河县</w:t>
            </w:r>
            <w:r>
              <w:rPr>
                <w:rFonts w:hint="default" w:ascii="Times New Roman" w:hAnsi="Times New Roman" w:eastAsia="宋体" w:cs="Times New Roman"/>
                <w:b w:val="0"/>
                <w:bCs w:val="0"/>
                <w:color w:val="auto"/>
                <w:highlight w:val="none"/>
                <w:lang w:eastAsia="zh-CN"/>
              </w:rPr>
              <w:t>城</w:t>
            </w:r>
            <w:r>
              <w:rPr>
                <w:rFonts w:hint="eastAsia" w:ascii="Times New Roman" w:hAnsi="Times New Roman" w:eastAsia="宋体" w:cs="Times New Roman"/>
                <w:b w:val="0"/>
                <w:bCs w:val="0"/>
                <w:color w:val="auto"/>
                <w:highlight w:val="none"/>
                <w:lang w:val="en-US" w:eastAsia="zh-CN"/>
              </w:rPr>
              <w:t>南</w:t>
            </w:r>
            <w:r>
              <w:rPr>
                <w:rFonts w:hint="default" w:ascii="Times New Roman" w:hAnsi="Times New Roman" w:eastAsia="宋体" w:cs="Times New Roman"/>
                <w:b w:val="0"/>
                <w:bCs w:val="0"/>
                <w:color w:val="auto"/>
                <w:highlight w:val="none"/>
              </w:rPr>
              <w:t>污水处理厂处理，COD、</w:t>
            </w:r>
            <w:r>
              <w:rPr>
                <w:rFonts w:hint="default" w:ascii="Times New Roman" w:hAnsi="Times New Roman" w:eastAsia="宋体" w:cs="Times New Roman"/>
                <w:b w:val="0"/>
                <w:bCs w:val="0"/>
                <w:snapToGrid w:val="0"/>
                <w:color w:val="auto"/>
                <w:kern w:val="0"/>
                <w:sz w:val="24"/>
                <w:szCs w:val="20"/>
                <w:highlight w:val="none"/>
              </w:rPr>
              <w:t>NH</w:t>
            </w:r>
            <w:r>
              <w:rPr>
                <w:rFonts w:hint="default" w:ascii="Times New Roman" w:hAnsi="Times New Roman" w:eastAsia="宋体" w:cs="Times New Roman"/>
                <w:b w:val="0"/>
                <w:bCs w:val="0"/>
                <w:snapToGrid w:val="0"/>
                <w:color w:val="auto"/>
                <w:kern w:val="0"/>
                <w:sz w:val="24"/>
                <w:szCs w:val="20"/>
                <w:highlight w:val="none"/>
                <w:vertAlign w:val="subscript"/>
              </w:rPr>
              <w:t>3</w:t>
            </w:r>
            <w:r>
              <w:rPr>
                <w:rFonts w:hint="default" w:ascii="Times New Roman" w:hAnsi="Times New Roman" w:eastAsia="宋体" w:cs="Times New Roman"/>
                <w:b w:val="0"/>
                <w:bCs w:val="0"/>
                <w:snapToGrid w:val="0"/>
                <w:color w:val="auto"/>
                <w:kern w:val="0"/>
                <w:sz w:val="24"/>
                <w:szCs w:val="20"/>
                <w:highlight w:val="none"/>
              </w:rPr>
              <w:t>-N</w:t>
            </w:r>
            <w:r>
              <w:rPr>
                <w:rFonts w:hint="default" w:ascii="Times New Roman" w:hAnsi="Times New Roman" w:eastAsia="宋体" w:cs="Times New Roman"/>
                <w:b w:val="0"/>
                <w:bCs w:val="0"/>
                <w:color w:val="auto"/>
                <w:highlight w:val="none"/>
              </w:rPr>
              <w:t>总量指标纳入</w:t>
            </w:r>
            <w:r>
              <w:rPr>
                <w:rFonts w:hint="eastAsia" w:ascii="Times New Roman" w:hAnsi="Times New Roman" w:eastAsia="宋体" w:cs="Times New Roman"/>
                <w:b w:val="0"/>
                <w:bCs w:val="0"/>
                <w:color w:val="auto"/>
                <w:highlight w:val="none"/>
                <w:lang w:val="en-US" w:eastAsia="zh-CN"/>
              </w:rPr>
              <w:t>五河县</w:t>
            </w:r>
            <w:r>
              <w:rPr>
                <w:rFonts w:hint="default" w:ascii="Times New Roman" w:hAnsi="Times New Roman" w:eastAsia="宋体" w:cs="Times New Roman"/>
                <w:b w:val="0"/>
                <w:bCs w:val="0"/>
                <w:color w:val="auto"/>
                <w:highlight w:val="none"/>
                <w:lang w:eastAsia="zh-CN"/>
              </w:rPr>
              <w:t>城</w:t>
            </w:r>
            <w:r>
              <w:rPr>
                <w:rFonts w:hint="eastAsia" w:ascii="Times New Roman" w:hAnsi="Times New Roman" w:eastAsia="宋体" w:cs="Times New Roman"/>
                <w:b w:val="0"/>
                <w:bCs w:val="0"/>
                <w:color w:val="auto"/>
                <w:highlight w:val="none"/>
                <w:lang w:val="en-US" w:eastAsia="zh-CN"/>
              </w:rPr>
              <w:t>南</w:t>
            </w:r>
            <w:r>
              <w:rPr>
                <w:rFonts w:hint="default" w:ascii="Times New Roman" w:hAnsi="Times New Roman" w:eastAsia="宋体" w:cs="Times New Roman"/>
                <w:b w:val="0"/>
                <w:bCs w:val="0"/>
                <w:color w:val="auto"/>
                <w:highlight w:val="none"/>
              </w:rPr>
              <w:t>污水处理厂总量控制指标范围内。</w:t>
            </w:r>
          </w:p>
          <w:p w14:paraId="43453BFC">
            <w:pPr>
              <w:pStyle w:val="55"/>
              <w:keepNext w:val="0"/>
              <w:keepLines w:val="0"/>
              <w:pageBreakBefore w:val="0"/>
              <w:widowControl w:val="0"/>
              <w:numPr>
                <w:ilvl w:val="0"/>
                <w:numId w:val="0"/>
              </w:numPr>
              <w:suppressLineNumbers w:val="0"/>
              <w:kinsoku/>
              <w:wordWrap/>
              <w:overflowPunct/>
              <w:topLinePunct w:val="0"/>
              <w:bidi w:val="0"/>
              <w:adjustRightInd/>
              <w:snapToGrid/>
              <w:spacing w:before="0" w:beforeLines="0" w:beforeAutospacing="0" w:after="0" w:afterLines="0" w:afterAutospacing="0" w:line="360" w:lineRule="auto"/>
              <w:ind w:left="0" w:right="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highlight w:val="none"/>
              </w:rPr>
              <w:t>②</w:t>
            </w:r>
            <w:r>
              <w:rPr>
                <w:rFonts w:hint="default" w:ascii="Times New Roman" w:hAnsi="Times New Roman" w:eastAsia="宋体" w:cs="Times New Roman"/>
                <w:b w:val="0"/>
                <w:bCs w:val="0"/>
                <w:color w:val="auto"/>
                <w:kern w:val="2"/>
                <w:sz w:val="24"/>
                <w:szCs w:val="24"/>
                <w:highlight w:val="none"/>
                <w:lang w:val="en-US" w:eastAsia="zh-CN" w:bidi="ar-SA"/>
              </w:rPr>
              <w:t>废气</w:t>
            </w:r>
          </w:p>
          <w:p w14:paraId="68843A87">
            <w:pPr>
              <w:pStyle w:val="55"/>
              <w:keepNext w:val="0"/>
              <w:keepLines w:val="0"/>
              <w:pageBreakBefore w:val="0"/>
              <w:widowControl w:val="0"/>
              <w:numPr>
                <w:ilvl w:val="0"/>
                <w:numId w:val="0"/>
              </w:numPr>
              <w:suppressLineNumbers w:val="0"/>
              <w:kinsoku/>
              <w:wordWrap/>
              <w:overflowPunct/>
              <w:topLinePunct w:val="0"/>
              <w:bidi w:val="0"/>
              <w:adjustRightInd/>
              <w:snapToGrid/>
              <w:spacing w:before="0" w:beforeLines="0" w:beforeAutospacing="0" w:after="0" w:afterLines="0" w:afterAutospacing="0" w:line="360" w:lineRule="auto"/>
              <w:ind w:left="0" w:right="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根据《安徽省环保厅关于进一步加强建设项目新增大气主要污染物总量指标管理工作的通知》（皖环发</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2017</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19号）：大气主要污染物总量指标实行区城内等量或倍量削减替代。上年度空气质量不</w:t>
            </w:r>
            <w:r>
              <w:rPr>
                <w:rFonts w:hint="eastAsia" w:ascii="Times New Roman" w:hAnsi="Times New Roman" w:eastAsia="宋体" w:cs="Times New Roman"/>
                <w:b w:val="0"/>
                <w:bCs w:val="0"/>
                <w:color w:val="auto"/>
                <w:kern w:val="2"/>
                <w:sz w:val="24"/>
                <w:szCs w:val="24"/>
                <w:highlight w:val="none"/>
                <w:lang w:val="en-US" w:eastAsia="zh-CN" w:bidi="ar-SA"/>
              </w:rPr>
              <w:t>达标</w:t>
            </w:r>
            <w:r>
              <w:rPr>
                <w:rFonts w:hint="default" w:ascii="Times New Roman" w:hAnsi="Times New Roman" w:eastAsia="宋体" w:cs="Times New Roman"/>
                <w:b w:val="0"/>
                <w:bCs w:val="0"/>
                <w:color w:val="auto"/>
                <w:kern w:val="2"/>
                <w:sz w:val="24"/>
                <w:szCs w:val="24"/>
                <w:highlight w:val="none"/>
                <w:lang w:val="en-US" w:eastAsia="zh-CN" w:bidi="ar-SA"/>
              </w:rPr>
              <w:t>的城市，相应污染物指标应执行“</w:t>
            </w:r>
            <w:r>
              <w:rPr>
                <w:rFonts w:hint="eastAsia" w:ascii="Times New Roman" w:hAnsi="Times New Roman" w:eastAsia="宋体" w:cs="Times New Roman"/>
                <w:b w:val="0"/>
                <w:bCs w:val="0"/>
                <w:color w:val="auto"/>
                <w:kern w:val="2"/>
                <w:sz w:val="24"/>
                <w:szCs w:val="24"/>
                <w:highlight w:val="none"/>
                <w:lang w:val="en-US" w:eastAsia="zh-CN" w:bidi="ar-SA"/>
              </w:rPr>
              <w:t>倍量替代</w:t>
            </w:r>
            <w:r>
              <w:rPr>
                <w:rFonts w:hint="default" w:ascii="Times New Roman" w:hAnsi="Times New Roman" w:eastAsia="宋体" w:cs="Times New Roman"/>
                <w:b w:val="0"/>
                <w:bCs w:val="0"/>
                <w:color w:val="auto"/>
                <w:kern w:val="2"/>
                <w:sz w:val="24"/>
                <w:szCs w:val="24"/>
                <w:highlight w:val="none"/>
                <w:lang w:val="en-US" w:eastAsia="zh-CN" w:bidi="ar-SA"/>
              </w:rPr>
              <w:t>”。其中，上年度PM</w:t>
            </w:r>
            <w:r>
              <w:rPr>
                <w:rFonts w:hint="default" w:ascii="Times New Roman" w:hAnsi="Times New Roman" w:eastAsia="宋体" w:cs="Times New Roman"/>
                <w:b w:val="0"/>
                <w:bCs w:val="0"/>
                <w:color w:val="auto"/>
                <w:kern w:val="2"/>
                <w:sz w:val="24"/>
                <w:szCs w:val="24"/>
                <w:highlight w:val="none"/>
                <w:vertAlign w:val="subscript"/>
                <w:lang w:val="en-US" w:eastAsia="zh-CN" w:bidi="ar-SA"/>
              </w:rPr>
              <w:t>2.5</w:t>
            </w:r>
            <w:r>
              <w:rPr>
                <w:rFonts w:hint="default" w:ascii="Times New Roman" w:hAnsi="Times New Roman" w:eastAsia="宋体" w:cs="Times New Roman"/>
                <w:b w:val="0"/>
                <w:bCs w:val="0"/>
                <w:color w:val="auto"/>
                <w:kern w:val="2"/>
                <w:sz w:val="24"/>
                <w:szCs w:val="24"/>
                <w:highlight w:val="none"/>
                <w:lang w:val="en-US" w:eastAsia="zh-CN" w:bidi="ar-SA"/>
              </w:rPr>
              <w:t>不达标的城市，新增SO</w:t>
            </w:r>
            <w:r>
              <w:rPr>
                <w:rFonts w:hint="default" w:ascii="Times New Roman" w:hAnsi="Times New Roman" w:eastAsia="宋体" w:cs="Times New Roman"/>
                <w:b w:val="0"/>
                <w:bCs w:val="0"/>
                <w:color w:val="auto"/>
                <w:kern w:val="2"/>
                <w:sz w:val="24"/>
                <w:szCs w:val="24"/>
                <w:highlight w:val="none"/>
                <w:vertAlign w:val="subscript"/>
                <w:lang w:val="en-US" w:eastAsia="zh-CN" w:bidi="ar-SA"/>
              </w:rPr>
              <w:t>2</w:t>
            </w:r>
            <w:r>
              <w:rPr>
                <w:rFonts w:hint="default" w:ascii="Times New Roman" w:hAnsi="Times New Roman" w:eastAsia="宋体" w:cs="Times New Roman"/>
                <w:b w:val="0"/>
                <w:bCs w:val="0"/>
                <w:color w:val="auto"/>
                <w:kern w:val="2"/>
                <w:sz w:val="24"/>
                <w:szCs w:val="24"/>
                <w:highlight w:val="none"/>
                <w:lang w:val="en-US" w:eastAsia="zh-CN" w:bidi="ar-SA"/>
              </w:rPr>
              <w:t>、NOx和VOCs指标均要执行“倍量替代”。上年度PM</w:t>
            </w:r>
            <w:r>
              <w:rPr>
                <w:rFonts w:hint="default" w:ascii="Times New Roman" w:hAnsi="Times New Roman" w:eastAsia="宋体" w:cs="Times New Roman"/>
                <w:b w:val="0"/>
                <w:bCs w:val="0"/>
                <w:color w:val="auto"/>
                <w:kern w:val="2"/>
                <w:sz w:val="24"/>
                <w:szCs w:val="24"/>
                <w:highlight w:val="none"/>
                <w:vertAlign w:val="subscript"/>
                <w:lang w:val="en-US" w:eastAsia="zh-CN" w:bidi="ar-SA"/>
              </w:rPr>
              <w:t>10</w:t>
            </w:r>
            <w:r>
              <w:rPr>
                <w:rFonts w:hint="default" w:ascii="Times New Roman" w:hAnsi="Times New Roman" w:eastAsia="宋体" w:cs="Times New Roman"/>
                <w:b w:val="0"/>
                <w:bCs w:val="0"/>
                <w:color w:val="auto"/>
                <w:kern w:val="2"/>
                <w:sz w:val="24"/>
                <w:szCs w:val="24"/>
                <w:highlight w:val="none"/>
                <w:lang w:val="en-US" w:eastAsia="zh-CN" w:bidi="ar-SA"/>
              </w:rPr>
              <w:t>不达标的城市，新增烟（粉）尘指标要执行“倍量替代”。达到超低排放标准的新建火电项目无需执行“倍量替代”。</w:t>
            </w:r>
          </w:p>
          <w:p w14:paraId="2042C3C1">
            <w:pPr>
              <w:pStyle w:val="55"/>
              <w:keepNext w:val="0"/>
              <w:keepLines w:val="0"/>
              <w:pageBreakBefore w:val="0"/>
              <w:widowControl w:val="0"/>
              <w:numPr>
                <w:ilvl w:val="0"/>
                <w:numId w:val="0"/>
              </w:numPr>
              <w:suppressLineNumbers w:val="0"/>
              <w:kinsoku/>
              <w:wordWrap/>
              <w:overflowPunct/>
              <w:topLinePunct w:val="0"/>
              <w:bidi w:val="0"/>
              <w:adjustRightInd/>
              <w:snapToGrid/>
              <w:spacing w:before="0" w:beforeLines="0" w:beforeAutospacing="0" w:after="0" w:afterLines="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b w:val="0"/>
                <w:bCs w:val="0"/>
                <w:color w:val="auto"/>
                <w:kern w:val="2"/>
                <w:sz w:val="24"/>
                <w:szCs w:val="24"/>
                <w:highlight w:val="none"/>
                <w:lang w:val="en-US" w:eastAsia="zh-CN" w:bidi="ar-SA"/>
              </w:rPr>
              <w:t>本项目大气污染物排放量为：颗粒物：</w:t>
            </w:r>
            <w:r>
              <w:rPr>
                <w:rFonts w:hint="eastAsia" w:ascii="Times New Roman" w:hAnsi="Times New Roman" w:eastAsia="宋体" w:cs="Times New Roman"/>
                <w:b w:val="0"/>
                <w:bCs w:val="0"/>
                <w:color w:val="auto"/>
                <w:kern w:val="2"/>
                <w:sz w:val="24"/>
                <w:szCs w:val="24"/>
                <w:highlight w:val="none"/>
                <w:lang w:val="en-US" w:eastAsia="zh-CN" w:bidi="ar-SA"/>
              </w:rPr>
              <w:t>0.27</w:t>
            </w:r>
            <w:r>
              <w:rPr>
                <w:rFonts w:hint="eastAsia" w:ascii="Times New Roman" w:cs="Times New Roman"/>
                <w:b w:val="0"/>
                <w:bCs w:val="0"/>
                <w:color w:val="auto"/>
                <w:kern w:val="2"/>
                <w:sz w:val="24"/>
                <w:szCs w:val="24"/>
                <w:highlight w:val="none"/>
                <w:lang w:val="en-US" w:eastAsia="zh-CN" w:bidi="ar-SA"/>
              </w:rPr>
              <w:t>3</w:t>
            </w:r>
            <w:r>
              <w:rPr>
                <w:rFonts w:hint="default" w:ascii="Times New Roman" w:hAnsi="Times New Roman" w:eastAsia="宋体" w:cs="Times New Roman"/>
                <w:b w:val="0"/>
                <w:bCs w:val="0"/>
                <w:color w:val="auto"/>
                <w:kern w:val="2"/>
                <w:sz w:val="24"/>
                <w:szCs w:val="24"/>
                <w:highlight w:val="none"/>
                <w:lang w:val="en-US" w:eastAsia="zh-CN" w:bidi="ar-SA"/>
              </w:rPr>
              <w:t>t/a</w:t>
            </w:r>
            <w:r>
              <w:rPr>
                <w:rFonts w:hint="eastAsia" w:ascii="Times New Roman"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VOCs：</w:t>
            </w:r>
            <w:r>
              <w:rPr>
                <w:rFonts w:hint="eastAsia" w:ascii="Times New Roman" w:hAnsi="Times New Roman" w:eastAsia="宋体" w:cs="Times New Roman"/>
                <w:b w:val="0"/>
                <w:bCs w:val="0"/>
                <w:color w:val="auto"/>
                <w:kern w:val="2"/>
                <w:sz w:val="24"/>
                <w:szCs w:val="24"/>
                <w:highlight w:val="none"/>
                <w:lang w:val="en-US" w:eastAsia="zh-CN" w:bidi="ar-SA"/>
              </w:rPr>
              <w:t>0.</w:t>
            </w:r>
            <w:r>
              <w:rPr>
                <w:rFonts w:hint="eastAsia" w:ascii="Times New Roman" w:cs="Times New Roman"/>
                <w:b w:val="0"/>
                <w:bCs w:val="0"/>
                <w:color w:val="auto"/>
                <w:kern w:val="2"/>
                <w:sz w:val="24"/>
                <w:szCs w:val="24"/>
                <w:highlight w:val="none"/>
                <w:lang w:val="en-US" w:eastAsia="zh-CN" w:bidi="ar-SA"/>
              </w:rPr>
              <w:t>096</w:t>
            </w:r>
            <w:r>
              <w:rPr>
                <w:rFonts w:hint="default" w:ascii="Times New Roman" w:hAnsi="Times New Roman" w:eastAsia="宋体" w:cs="Times New Roman"/>
                <w:b w:val="0"/>
                <w:bCs w:val="0"/>
                <w:color w:val="auto"/>
                <w:kern w:val="2"/>
                <w:sz w:val="24"/>
                <w:szCs w:val="24"/>
                <w:highlight w:val="none"/>
                <w:lang w:val="en-US" w:eastAsia="zh-CN" w:bidi="ar-SA"/>
              </w:rPr>
              <w:t>t/a</w:t>
            </w:r>
            <w:r>
              <w:rPr>
                <w:rFonts w:hint="eastAsia" w:ascii="Times New Roman" w:hAnsi="Times New Roman" w:eastAsia="宋体" w:cs="Times New Roman"/>
                <w:b w:val="0"/>
                <w:bCs w:val="0"/>
                <w:color w:val="auto"/>
                <w:kern w:val="2"/>
                <w:sz w:val="24"/>
                <w:szCs w:val="24"/>
                <w:highlight w:val="none"/>
                <w:lang w:val="en-US" w:eastAsia="zh-CN" w:bidi="ar-SA"/>
              </w:rPr>
              <w:t>。结合本项目所在区域为不达标区（</w:t>
            </w:r>
            <w:r>
              <w:rPr>
                <w:rFonts w:hint="default" w:ascii="Times New Roman" w:hAnsi="Times New Roman" w:eastAsia="宋体" w:cs="Times New Roman"/>
                <w:b w:val="0"/>
                <w:bCs w:val="0"/>
                <w:color w:val="auto"/>
                <w:kern w:val="2"/>
                <w:sz w:val="24"/>
                <w:szCs w:val="24"/>
                <w:highlight w:val="none"/>
                <w:lang w:val="en-US" w:eastAsia="zh-CN" w:bidi="ar-SA"/>
              </w:rPr>
              <w:t>PM</w:t>
            </w:r>
            <w:r>
              <w:rPr>
                <w:rFonts w:hint="default" w:ascii="Times New Roman" w:hAnsi="Times New Roman" w:eastAsia="宋体" w:cs="Times New Roman"/>
                <w:b w:val="0"/>
                <w:bCs w:val="0"/>
                <w:color w:val="auto"/>
                <w:kern w:val="2"/>
                <w:sz w:val="24"/>
                <w:szCs w:val="24"/>
                <w:highlight w:val="none"/>
                <w:vertAlign w:val="subscript"/>
                <w:lang w:val="en-US" w:eastAsia="zh-CN" w:bidi="ar-SA"/>
              </w:rPr>
              <w:t>2.5</w:t>
            </w:r>
            <w:r>
              <w:rPr>
                <w:rFonts w:hint="default" w:ascii="Times New Roman" w:hAnsi="Times New Roman" w:eastAsia="宋体" w:cs="Times New Roman"/>
                <w:b w:val="0"/>
                <w:bCs w:val="0"/>
                <w:color w:val="auto"/>
                <w:kern w:val="2"/>
                <w:sz w:val="24"/>
                <w:szCs w:val="24"/>
                <w:highlight w:val="none"/>
                <w:lang w:val="en-US" w:eastAsia="zh-CN" w:bidi="ar-SA"/>
              </w:rPr>
              <w:t>不达标</w:t>
            </w:r>
            <w:r>
              <w:rPr>
                <w:rFonts w:hint="eastAsia" w:ascii="Times New Roman" w:hAnsi="Times New Roman" w:eastAsia="宋体" w:cs="Times New Roman"/>
                <w:b w:val="0"/>
                <w:bCs w:val="0"/>
                <w:color w:val="auto"/>
                <w:kern w:val="2"/>
                <w:sz w:val="24"/>
                <w:szCs w:val="24"/>
                <w:highlight w:val="none"/>
                <w:lang w:val="en-US" w:eastAsia="zh-CN" w:bidi="ar-SA"/>
              </w:rPr>
              <w:t>），建议申请总量为</w:t>
            </w:r>
            <w:r>
              <w:rPr>
                <w:rFonts w:hint="default" w:ascii="Times New Roman" w:hAnsi="Times New Roman" w:eastAsia="宋体" w:cs="Times New Roman"/>
                <w:b w:val="0"/>
                <w:bCs w:val="0"/>
                <w:color w:val="auto"/>
                <w:kern w:val="2"/>
                <w:sz w:val="24"/>
                <w:szCs w:val="24"/>
                <w:highlight w:val="none"/>
                <w:lang w:val="en-US" w:eastAsia="zh-CN" w:bidi="ar-SA"/>
              </w:rPr>
              <w:t>颗粒物：</w:t>
            </w:r>
            <w:r>
              <w:rPr>
                <w:rFonts w:hint="eastAsia" w:ascii="Times New Roman" w:hAnsi="Times New Roman" w:eastAsia="宋体" w:cs="Times New Roman"/>
                <w:b w:val="0"/>
                <w:bCs w:val="0"/>
                <w:color w:val="auto"/>
                <w:kern w:val="2"/>
                <w:sz w:val="24"/>
                <w:szCs w:val="24"/>
                <w:highlight w:val="none"/>
                <w:lang w:val="en-US" w:eastAsia="zh-CN" w:bidi="ar-SA"/>
              </w:rPr>
              <w:t>0.27</w:t>
            </w:r>
            <w:r>
              <w:rPr>
                <w:rFonts w:hint="eastAsia" w:ascii="Times New Roman" w:cs="Times New Roman"/>
                <w:b w:val="0"/>
                <w:bCs w:val="0"/>
                <w:color w:val="auto"/>
                <w:kern w:val="2"/>
                <w:sz w:val="24"/>
                <w:szCs w:val="24"/>
                <w:highlight w:val="none"/>
                <w:lang w:val="en-US" w:eastAsia="zh-CN" w:bidi="ar-SA"/>
              </w:rPr>
              <w:t>3</w:t>
            </w:r>
            <w:r>
              <w:rPr>
                <w:rFonts w:hint="default" w:ascii="Times New Roman" w:hAnsi="Times New Roman" w:eastAsia="宋体" w:cs="Times New Roman"/>
                <w:b w:val="0"/>
                <w:bCs w:val="0"/>
                <w:color w:val="auto"/>
                <w:kern w:val="2"/>
                <w:sz w:val="24"/>
                <w:szCs w:val="24"/>
                <w:highlight w:val="none"/>
                <w:lang w:val="en-US" w:eastAsia="zh-CN" w:bidi="ar-SA"/>
              </w:rPr>
              <w:t>t/a</w:t>
            </w:r>
            <w:r>
              <w:rPr>
                <w:rFonts w:hint="eastAsia" w:ascii="Times New Roman"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VOCs：</w:t>
            </w:r>
            <w:r>
              <w:rPr>
                <w:rFonts w:hint="eastAsia" w:ascii="Times New Roman" w:hAnsi="Times New Roman" w:eastAsia="宋体" w:cs="Times New Roman"/>
                <w:b w:val="0"/>
                <w:bCs w:val="0"/>
                <w:color w:val="auto"/>
                <w:kern w:val="2"/>
                <w:sz w:val="24"/>
                <w:szCs w:val="24"/>
                <w:highlight w:val="none"/>
                <w:lang w:val="en-US" w:eastAsia="zh-CN" w:bidi="ar-SA"/>
              </w:rPr>
              <w:t>0.</w:t>
            </w:r>
            <w:r>
              <w:rPr>
                <w:rFonts w:hint="eastAsia" w:ascii="Times New Roman" w:cs="Times New Roman"/>
                <w:b w:val="0"/>
                <w:bCs w:val="0"/>
                <w:color w:val="auto"/>
                <w:kern w:val="2"/>
                <w:sz w:val="24"/>
                <w:szCs w:val="24"/>
                <w:highlight w:val="none"/>
                <w:lang w:val="en-US" w:eastAsia="zh-CN" w:bidi="ar-SA"/>
              </w:rPr>
              <w:t>192</w:t>
            </w:r>
            <w:r>
              <w:rPr>
                <w:rFonts w:hint="default" w:ascii="Times New Roman" w:hAnsi="Times New Roman" w:eastAsia="宋体" w:cs="Times New Roman"/>
                <w:b w:val="0"/>
                <w:bCs w:val="0"/>
                <w:color w:val="auto"/>
                <w:kern w:val="2"/>
                <w:sz w:val="24"/>
                <w:szCs w:val="24"/>
                <w:highlight w:val="none"/>
                <w:lang w:val="en-US" w:eastAsia="zh-CN" w:bidi="ar-SA"/>
              </w:rPr>
              <w:t>t/a</w:t>
            </w:r>
            <w:r>
              <w:rPr>
                <w:rFonts w:hint="eastAsia" w:ascii="Times New Roman" w:hAnsi="Times New Roman" w:eastAsia="宋体" w:cs="Times New Roman"/>
                <w:b w:val="0"/>
                <w:bCs w:val="0"/>
                <w:color w:val="auto"/>
                <w:kern w:val="2"/>
                <w:sz w:val="24"/>
                <w:szCs w:val="24"/>
                <w:highlight w:val="none"/>
                <w:lang w:val="en-US" w:eastAsia="zh-CN" w:bidi="ar-SA"/>
              </w:rPr>
              <w:t>。</w:t>
            </w:r>
          </w:p>
        </w:tc>
      </w:tr>
    </w:tbl>
    <w:p w14:paraId="349C8C48">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0"/>
        <w:rPr>
          <w:rFonts w:hint="eastAsia" w:ascii="Times New Roman"/>
          <w:b/>
          <w:snapToGrid w:val="0"/>
          <w:color w:val="auto"/>
          <w:sz w:val="30"/>
          <w:szCs w:val="30"/>
        </w:rPr>
      </w:pPr>
      <w:r>
        <w:rPr>
          <w:b/>
          <w:color w:val="auto"/>
          <w:sz w:val="32"/>
          <w:szCs w:val="32"/>
        </w:rPr>
        <w:br w:type="page"/>
      </w:r>
      <w:bookmarkStart w:id="11" w:name="_Toc16591"/>
      <w:r>
        <w:rPr>
          <w:rFonts w:hint="eastAsia" w:ascii="黑体" w:hAnsi="黑体" w:eastAsia="黑体" w:cs="Times New Roman"/>
          <w:snapToGrid w:val="0"/>
          <w:color w:val="auto"/>
          <w:kern w:val="0"/>
          <w:sz w:val="30"/>
          <w:szCs w:val="30"/>
          <w:highlight w:val="none"/>
          <w:lang w:val="en-US" w:eastAsia="zh-CN" w:bidi="ar-SA"/>
        </w:rPr>
        <w:t>四、主要环境影响和保护措施</w:t>
      </w:r>
      <w:bookmarkEnd w:id="11"/>
    </w:p>
    <w:tbl>
      <w:tblPr>
        <w:tblStyle w:val="39"/>
        <w:tblW w:w="963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41"/>
        <w:gridCol w:w="9294"/>
      </w:tblGrid>
      <w:tr w14:paraId="7F102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41" w:type="dxa"/>
            <w:noWrap w:val="0"/>
            <w:tcMar>
              <w:left w:w="28" w:type="dxa"/>
              <w:right w:w="28" w:type="dxa"/>
            </w:tcMar>
            <w:vAlign w:val="center"/>
          </w:tcPr>
          <w:p w14:paraId="4D7EE9ED">
            <w:pPr>
              <w:pStyle w:val="3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施工</w:t>
            </w:r>
          </w:p>
          <w:p w14:paraId="49B843E4">
            <w:pPr>
              <w:pStyle w:val="3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期环</w:t>
            </w:r>
          </w:p>
          <w:p w14:paraId="6A1FCE4E">
            <w:pPr>
              <w:pStyle w:val="3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境保</w:t>
            </w:r>
          </w:p>
          <w:p w14:paraId="6BC07504">
            <w:pPr>
              <w:pStyle w:val="3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护措</w:t>
            </w:r>
          </w:p>
          <w:p w14:paraId="6B1AE61D">
            <w:pPr>
              <w:pStyle w:val="3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rPr>
            </w:pPr>
            <w:r>
              <w:rPr>
                <w:rFonts w:hint="default" w:ascii="Times New Roman" w:hAnsi="Times New Roman" w:eastAsia="宋体" w:cs="Times New Roman"/>
                <w:color w:val="auto"/>
                <w:kern w:val="2"/>
              </w:rPr>
              <w:t>施</w:t>
            </w:r>
          </w:p>
        </w:tc>
        <w:tc>
          <w:tcPr>
            <w:tcW w:w="9294" w:type="dxa"/>
            <w:noWrap w:val="0"/>
            <w:vAlign w:val="top"/>
          </w:tcPr>
          <w:p w14:paraId="1383CBEC">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snapToGrid/>
                <w:color w:val="auto"/>
                <w:kern w:val="2"/>
                <w:sz w:val="24"/>
                <w:szCs w:val="24"/>
                <w:highlight w:val="none"/>
                <w:lang w:val="en-US" w:eastAsia="zh-CN" w:bidi="ar-SA"/>
              </w:rPr>
            </w:pPr>
          </w:p>
          <w:p w14:paraId="6AA6E1E5">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snapToGrid/>
                <w:color w:val="auto"/>
                <w:kern w:val="2"/>
                <w:sz w:val="24"/>
                <w:szCs w:val="24"/>
                <w:highlight w:val="none"/>
                <w:lang w:val="en-US" w:eastAsia="zh-CN" w:bidi="ar-SA"/>
              </w:rPr>
            </w:pPr>
          </w:p>
          <w:p w14:paraId="3370F973">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snapToGrid/>
                <w:color w:val="auto"/>
                <w:kern w:val="2"/>
                <w:sz w:val="24"/>
                <w:szCs w:val="24"/>
                <w:highlight w:val="none"/>
                <w:lang w:val="en-US" w:eastAsia="zh-CN" w:bidi="ar-SA"/>
              </w:rPr>
            </w:pPr>
          </w:p>
          <w:p w14:paraId="3528D2C7">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snapToGrid/>
                <w:color w:val="auto"/>
                <w:kern w:val="2"/>
                <w:sz w:val="24"/>
                <w:szCs w:val="24"/>
                <w:highlight w:val="none"/>
                <w:lang w:val="en-US" w:eastAsia="zh-CN" w:bidi="ar-SA"/>
              </w:rPr>
            </w:pPr>
          </w:p>
          <w:p w14:paraId="05E5A9F2">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snapToGrid/>
                <w:color w:val="auto"/>
                <w:kern w:val="2"/>
                <w:sz w:val="24"/>
                <w:szCs w:val="24"/>
                <w:highlight w:val="none"/>
                <w:lang w:val="en-US" w:eastAsia="zh-CN" w:bidi="ar-SA"/>
              </w:rPr>
            </w:pPr>
          </w:p>
          <w:p w14:paraId="442A8CB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snapToGrid/>
                <w:color w:val="auto"/>
                <w:kern w:val="2"/>
                <w:sz w:val="24"/>
                <w:szCs w:val="24"/>
                <w:highlight w:val="none"/>
                <w:lang w:val="en-US" w:eastAsia="zh-CN" w:bidi="ar-SA"/>
              </w:rPr>
            </w:pPr>
          </w:p>
          <w:p w14:paraId="66357D52">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snapToGrid/>
                <w:color w:val="auto"/>
                <w:kern w:val="2"/>
                <w:sz w:val="24"/>
                <w:szCs w:val="24"/>
                <w:highlight w:val="none"/>
                <w:lang w:val="en-US" w:eastAsia="zh-CN" w:bidi="ar-SA"/>
              </w:rPr>
            </w:pPr>
          </w:p>
          <w:p w14:paraId="11C3682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snapToGrid/>
                <w:color w:val="auto"/>
                <w:kern w:val="2"/>
                <w:sz w:val="24"/>
                <w:szCs w:val="24"/>
                <w:highlight w:val="none"/>
                <w:lang w:val="en-US" w:eastAsia="zh-CN" w:bidi="ar-SA"/>
              </w:rPr>
            </w:pPr>
          </w:p>
          <w:p w14:paraId="1EC1959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snapToGrid/>
                <w:color w:val="auto"/>
                <w:kern w:val="2"/>
                <w:sz w:val="24"/>
                <w:szCs w:val="24"/>
                <w:highlight w:val="none"/>
                <w:lang w:val="en-US" w:eastAsia="zh-CN" w:bidi="ar-SA"/>
              </w:rPr>
            </w:pPr>
          </w:p>
          <w:p w14:paraId="33CD0F14">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snapToGrid/>
                <w:color w:val="auto"/>
                <w:kern w:val="2"/>
                <w:sz w:val="24"/>
                <w:szCs w:val="24"/>
                <w:highlight w:val="none"/>
                <w:lang w:val="en-US" w:eastAsia="zh-CN" w:bidi="ar-SA"/>
              </w:rPr>
            </w:pPr>
            <w:r>
              <w:rPr>
                <w:rFonts w:hint="default" w:ascii="Times New Roman" w:hAnsi="Times New Roman" w:eastAsia="宋体" w:cs="Times New Roman"/>
                <w:bCs/>
                <w:snapToGrid/>
                <w:color w:val="auto"/>
                <w:kern w:val="2"/>
                <w:sz w:val="24"/>
                <w:szCs w:val="24"/>
                <w:highlight w:val="none"/>
                <w:lang w:val="en-US" w:eastAsia="zh-CN" w:bidi="ar-SA"/>
              </w:rPr>
              <w:t>本项目</w:t>
            </w:r>
            <w:r>
              <w:rPr>
                <w:rFonts w:hint="eastAsia" w:ascii="Times New Roman" w:hAnsi="Times New Roman" w:eastAsia="宋体" w:cs="Times New Roman"/>
                <w:bCs/>
                <w:snapToGrid/>
                <w:color w:val="auto"/>
                <w:kern w:val="2"/>
                <w:sz w:val="24"/>
                <w:szCs w:val="24"/>
                <w:highlight w:val="none"/>
                <w:lang w:val="en-US" w:eastAsia="zh-CN" w:bidi="ar-SA"/>
              </w:rPr>
              <w:t>利用租赁的蚌埠市康福特服装有限公司厂房、办公楼等进行</w:t>
            </w:r>
            <w:r>
              <w:rPr>
                <w:rFonts w:hint="default" w:ascii="Times New Roman" w:hAnsi="Times New Roman" w:eastAsia="宋体" w:cs="Times New Roman"/>
                <w:bCs/>
                <w:snapToGrid/>
                <w:color w:val="auto"/>
                <w:kern w:val="2"/>
                <w:sz w:val="24"/>
                <w:szCs w:val="24"/>
                <w:highlight w:val="none"/>
                <w:lang w:val="en-US" w:eastAsia="zh-CN" w:bidi="ar-SA"/>
              </w:rPr>
              <w:t>生产</w:t>
            </w:r>
            <w:r>
              <w:rPr>
                <w:rFonts w:hint="eastAsia" w:ascii="Times New Roman" w:hAnsi="Times New Roman" w:eastAsia="宋体" w:cs="Times New Roman"/>
                <w:bCs/>
                <w:snapToGrid/>
                <w:color w:val="auto"/>
                <w:kern w:val="2"/>
                <w:sz w:val="24"/>
                <w:szCs w:val="24"/>
                <w:highlight w:val="none"/>
                <w:lang w:val="en-US" w:eastAsia="zh-CN" w:bidi="ar-SA"/>
              </w:rPr>
              <w:t>办公</w:t>
            </w:r>
            <w:r>
              <w:rPr>
                <w:rFonts w:hint="default" w:ascii="Times New Roman" w:hAnsi="Times New Roman" w:eastAsia="宋体" w:cs="Times New Roman"/>
                <w:bCs/>
                <w:snapToGrid/>
                <w:color w:val="auto"/>
                <w:kern w:val="2"/>
                <w:sz w:val="24"/>
                <w:szCs w:val="24"/>
                <w:highlight w:val="none"/>
                <w:lang w:val="en-US" w:eastAsia="zh-CN" w:bidi="ar-SA"/>
              </w:rPr>
              <w:t>，其无土方开挖、结构等施工期作业，施工期污染物主要为设备安装时期施工人员产生的少量生活污水和生活垃圾等，故本次评价对施工期环境影响不做分析。</w:t>
            </w:r>
          </w:p>
          <w:p w14:paraId="2D7EDF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rPr>
            </w:pPr>
          </w:p>
          <w:p w14:paraId="4AF74626">
            <w:pPr>
              <w:pStyle w:val="16"/>
              <w:keepNext w:val="0"/>
              <w:keepLines w:val="0"/>
              <w:suppressLineNumbers w:val="0"/>
              <w:spacing w:before="0" w:beforeAutospacing="0" w:afterAutospacing="0"/>
              <w:ind w:right="0"/>
              <w:rPr>
                <w:rFonts w:hint="default" w:ascii="Times New Roman" w:hAnsi="Times New Roman" w:eastAsia="宋体" w:cs="Times New Roman"/>
                <w:color w:val="auto"/>
                <w:kern w:val="0"/>
                <w:sz w:val="24"/>
                <w:szCs w:val="24"/>
              </w:rPr>
            </w:pPr>
          </w:p>
          <w:p w14:paraId="7E40C71B">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14:paraId="65429EE3">
            <w:pPr>
              <w:pStyle w:val="16"/>
              <w:keepNext w:val="0"/>
              <w:keepLines w:val="0"/>
              <w:suppressLineNumbers w:val="0"/>
              <w:spacing w:before="0" w:beforeAutospacing="0" w:afterAutospacing="0"/>
              <w:ind w:right="0"/>
              <w:rPr>
                <w:rFonts w:hint="default" w:ascii="Times New Roman" w:hAnsi="Times New Roman" w:eastAsia="宋体" w:cs="Times New Roman"/>
                <w:color w:val="auto"/>
                <w:kern w:val="0"/>
                <w:sz w:val="24"/>
                <w:szCs w:val="24"/>
              </w:rPr>
            </w:pPr>
          </w:p>
          <w:p w14:paraId="63335C8A">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14:paraId="209E6E3F">
            <w:pPr>
              <w:pStyle w:val="16"/>
              <w:keepNext w:val="0"/>
              <w:keepLines w:val="0"/>
              <w:suppressLineNumbers w:val="0"/>
              <w:spacing w:before="0" w:beforeAutospacing="0" w:afterAutospacing="0"/>
              <w:ind w:right="0"/>
              <w:rPr>
                <w:rFonts w:hint="default" w:ascii="Times New Roman" w:hAnsi="Times New Roman" w:eastAsia="宋体" w:cs="Times New Roman"/>
                <w:color w:val="auto"/>
                <w:kern w:val="0"/>
                <w:sz w:val="24"/>
                <w:szCs w:val="24"/>
              </w:rPr>
            </w:pPr>
          </w:p>
          <w:p w14:paraId="01B232B7">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14:paraId="1375E194">
            <w:pPr>
              <w:pStyle w:val="16"/>
              <w:keepNext w:val="0"/>
              <w:keepLines w:val="0"/>
              <w:suppressLineNumbers w:val="0"/>
              <w:spacing w:before="0" w:beforeAutospacing="0" w:afterAutospacing="0"/>
              <w:ind w:right="0"/>
              <w:rPr>
                <w:rFonts w:hint="default" w:ascii="Times New Roman" w:hAnsi="Times New Roman" w:eastAsia="宋体" w:cs="Times New Roman"/>
                <w:color w:val="auto"/>
                <w:kern w:val="0"/>
                <w:sz w:val="24"/>
                <w:szCs w:val="24"/>
              </w:rPr>
            </w:pPr>
          </w:p>
          <w:p w14:paraId="40D500E5">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14:paraId="79141D4F">
            <w:pPr>
              <w:pStyle w:val="16"/>
              <w:keepNext w:val="0"/>
              <w:keepLines w:val="0"/>
              <w:suppressLineNumbers w:val="0"/>
              <w:spacing w:before="0" w:beforeAutospacing="0" w:afterAutospacing="0"/>
              <w:ind w:right="0"/>
              <w:rPr>
                <w:rFonts w:hint="default" w:ascii="Times New Roman" w:hAnsi="Times New Roman" w:eastAsia="宋体" w:cs="Times New Roman"/>
                <w:color w:val="auto"/>
                <w:kern w:val="0"/>
                <w:sz w:val="24"/>
                <w:szCs w:val="24"/>
              </w:rPr>
            </w:pPr>
          </w:p>
          <w:p w14:paraId="5C9D0E9D">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14:paraId="73262E7B">
            <w:pPr>
              <w:pStyle w:val="16"/>
              <w:keepNext w:val="0"/>
              <w:keepLines w:val="0"/>
              <w:suppressLineNumbers w:val="0"/>
              <w:spacing w:before="0" w:beforeAutospacing="0" w:afterAutospacing="0"/>
              <w:ind w:right="0"/>
              <w:rPr>
                <w:rFonts w:hint="default" w:ascii="Times New Roman" w:hAnsi="Times New Roman" w:eastAsia="宋体" w:cs="Times New Roman"/>
                <w:color w:val="auto"/>
                <w:kern w:val="0"/>
                <w:sz w:val="24"/>
                <w:szCs w:val="24"/>
              </w:rPr>
            </w:pPr>
          </w:p>
          <w:p w14:paraId="24CC29C0">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14:paraId="0E83D18E">
            <w:pPr>
              <w:pStyle w:val="16"/>
              <w:keepNext w:val="0"/>
              <w:keepLines w:val="0"/>
              <w:suppressLineNumbers w:val="0"/>
              <w:spacing w:before="0" w:beforeAutospacing="0" w:afterAutospacing="0"/>
              <w:ind w:right="0"/>
              <w:rPr>
                <w:rFonts w:hint="default" w:ascii="Times New Roman" w:hAnsi="Times New Roman" w:eastAsia="宋体" w:cs="Times New Roman"/>
                <w:color w:val="auto"/>
                <w:kern w:val="0"/>
                <w:sz w:val="24"/>
                <w:szCs w:val="24"/>
              </w:rPr>
            </w:pPr>
          </w:p>
          <w:p w14:paraId="3836388A">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14:paraId="20B1B139">
            <w:pPr>
              <w:pStyle w:val="16"/>
              <w:keepNext w:val="0"/>
              <w:keepLines w:val="0"/>
              <w:suppressLineNumbers w:val="0"/>
              <w:spacing w:before="0" w:beforeAutospacing="0" w:afterAutospacing="0"/>
              <w:ind w:right="0"/>
              <w:rPr>
                <w:rFonts w:hint="default" w:ascii="Times New Roman" w:hAnsi="Times New Roman" w:eastAsia="宋体" w:cs="Times New Roman"/>
                <w:color w:val="auto"/>
                <w:kern w:val="0"/>
                <w:sz w:val="24"/>
                <w:szCs w:val="24"/>
              </w:rPr>
            </w:pPr>
          </w:p>
          <w:p w14:paraId="1E143A08">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14:paraId="1772E071">
            <w:pPr>
              <w:pStyle w:val="16"/>
              <w:keepNext w:val="0"/>
              <w:keepLines w:val="0"/>
              <w:suppressLineNumbers w:val="0"/>
              <w:spacing w:before="0" w:beforeAutospacing="0" w:afterAutospacing="0"/>
              <w:ind w:right="0"/>
              <w:rPr>
                <w:rFonts w:hint="default"/>
              </w:rPr>
            </w:pPr>
          </w:p>
        </w:tc>
      </w:tr>
    </w:tbl>
    <w:p w14:paraId="6A562F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tbl>
      <w:tblPr>
        <w:tblStyle w:val="39"/>
        <w:tblW w:w="14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
        <w:gridCol w:w="13687"/>
      </w:tblGrid>
      <w:tr w14:paraId="5DFC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29" w:hRule="atLeast"/>
        </w:trPr>
        <w:tc>
          <w:tcPr>
            <w:tcW w:w="352" w:type="dxa"/>
            <w:noWrap w:val="0"/>
            <w:vAlign w:val="center"/>
          </w:tcPr>
          <w:p w14:paraId="3F933B57">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1"/>
                <w:szCs w:val="21"/>
                <w:highlight w:val="none"/>
              </w:rPr>
            </w:pPr>
            <w:r>
              <w:rPr>
                <w:rFonts w:hint="eastAsia" w:ascii="宋体" w:hAnsi="宋体" w:cs="宋体"/>
                <w:bCs/>
                <w:color w:val="auto"/>
                <w:sz w:val="21"/>
                <w:szCs w:val="21"/>
                <w:highlight w:val="none"/>
              </w:rPr>
              <w:t>运营</w:t>
            </w:r>
          </w:p>
          <w:p w14:paraId="4BF6565C">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1"/>
                <w:szCs w:val="21"/>
                <w:highlight w:val="none"/>
              </w:rPr>
            </w:pPr>
            <w:r>
              <w:rPr>
                <w:rFonts w:hint="eastAsia" w:ascii="宋体" w:hAnsi="宋体" w:cs="宋体"/>
                <w:bCs/>
                <w:color w:val="auto"/>
                <w:sz w:val="21"/>
                <w:szCs w:val="21"/>
                <w:highlight w:val="none"/>
              </w:rPr>
              <w:t>期环</w:t>
            </w:r>
          </w:p>
          <w:p w14:paraId="15F132B6">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1"/>
                <w:szCs w:val="21"/>
                <w:highlight w:val="none"/>
              </w:rPr>
            </w:pPr>
            <w:r>
              <w:rPr>
                <w:rFonts w:hint="eastAsia" w:ascii="宋体" w:hAnsi="宋体" w:cs="宋体"/>
                <w:bCs/>
                <w:color w:val="auto"/>
                <w:sz w:val="21"/>
                <w:szCs w:val="21"/>
                <w:highlight w:val="none"/>
              </w:rPr>
              <w:t>境影</w:t>
            </w:r>
          </w:p>
          <w:p w14:paraId="5276F26A">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1"/>
                <w:szCs w:val="21"/>
                <w:highlight w:val="none"/>
              </w:rPr>
            </w:pPr>
            <w:r>
              <w:rPr>
                <w:rFonts w:hint="eastAsia" w:ascii="宋体" w:hAnsi="宋体" w:cs="宋体"/>
                <w:bCs/>
                <w:color w:val="auto"/>
                <w:sz w:val="21"/>
                <w:szCs w:val="21"/>
                <w:highlight w:val="none"/>
              </w:rPr>
              <w:t>响和</w:t>
            </w:r>
          </w:p>
          <w:p w14:paraId="04EAB1D4">
            <w:pPr>
              <w:keepNext w:val="0"/>
              <w:keepLines w:val="0"/>
              <w:suppressLineNumbers w:val="0"/>
              <w:adjustRightInd w:val="0"/>
              <w:snapToGrid w:val="0"/>
              <w:spacing w:before="0" w:beforeAutospacing="0" w:after="0" w:afterAutospacing="0"/>
              <w:ind w:left="0" w:right="0"/>
              <w:jc w:val="center"/>
              <w:rPr>
                <w:rFonts w:hint="eastAsia" w:ascii="黑体" w:hAnsi="黑体" w:eastAsia="黑体"/>
                <w:snapToGrid w:val="0"/>
                <w:color w:val="auto"/>
                <w:sz w:val="30"/>
                <w:szCs w:val="30"/>
                <w:highlight w:val="none"/>
              </w:rPr>
            </w:pPr>
            <w:r>
              <w:rPr>
                <w:rFonts w:hint="eastAsia" w:ascii="宋体" w:hAnsi="宋体" w:cs="宋体"/>
                <w:bCs/>
                <w:color w:val="auto"/>
                <w:sz w:val="21"/>
                <w:szCs w:val="21"/>
                <w:highlight w:val="none"/>
              </w:rPr>
              <w:t>保护措施</w:t>
            </w:r>
          </w:p>
        </w:tc>
        <w:tc>
          <w:tcPr>
            <w:tcW w:w="13687" w:type="dxa"/>
            <w:noWrap w:val="0"/>
            <w:vAlign w:val="top"/>
          </w:tcPr>
          <w:p w14:paraId="22F1F7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1、废气</w:t>
            </w:r>
          </w:p>
          <w:p w14:paraId="54714B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b/>
                <w:bCs/>
                <w:color w:val="auto"/>
                <w:szCs w:val="22"/>
                <w:highlight w:val="none"/>
              </w:rPr>
            </w:pPr>
            <w:r>
              <w:rPr>
                <w:rFonts w:hint="default" w:ascii="Times New Roman" w:hAnsi="Times New Roman" w:eastAsia="宋体" w:cs="Times New Roman"/>
                <w:b/>
                <w:color w:val="auto"/>
                <w:kern w:val="0"/>
                <w:sz w:val="24"/>
                <w:szCs w:val="22"/>
                <w:highlight w:val="none"/>
              </w:rPr>
              <w:t>1.1废气源强</w:t>
            </w:r>
          </w:p>
          <w:p w14:paraId="786CCA4A">
            <w:pPr>
              <w:keepNext w:val="0"/>
              <w:keepLines w:val="0"/>
              <w:widowControl/>
              <w:suppressLineNumbers w:val="0"/>
              <w:spacing w:before="0" w:beforeAutospacing="0" w:after="0" w:afterAutospacing="0"/>
              <w:ind w:left="0" w:right="0"/>
              <w:jc w:val="center"/>
              <w:rPr>
                <w:rFonts w:hint="eastAsia"/>
                <w:b/>
                <w:bCs/>
                <w:color w:val="auto"/>
                <w:szCs w:val="22"/>
                <w:highlight w:val="none"/>
                <w:lang w:eastAsia="zh-CN"/>
              </w:rPr>
            </w:pPr>
            <w:r>
              <w:rPr>
                <w:b/>
                <w:bCs/>
                <w:color w:val="auto"/>
                <w:szCs w:val="22"/>
                <w:highlight w:val="none"/>
              </w:rPr>
              <w:t>表</w:t>
            </w:r>
            <w:r>
              <w:rPr>
                <w:rFonts w:hint="eastAsia"/>
                <w:b/>
                <w:bCs/>
                <w:color w:val="auto"/>
                <w:szCs w:val="22"/>
                <w:highlight w:val="none"/>
              </w:rPr>
              <w:t>4-1</w:t>
            </w:r>
            <w:r>
              <w:rPr>
                <w:rFonts w:hint="eastAsia"/>
                <w:b/>
                <w:bCs/>
                <w:color w:val="auto"/>
                <w:szCs w:val="22"/>
                <w:highlight w:val="none"/>
                <w:lang w:val="en-US" w:eastAsia="zh-CN"/>
              </w:rPr>
              <w:t xml:space="preserve">  </w:t>
            </w:r>
            <w:r>
              <w:rPr>
                <w:rFonts w:hint="eastAsia"/>
                <w:b/>
                <w:bCs/>
                <w:color w:val="auto"/>
                <w:szCs w:val="22"/>
                <w:highlight w:val="none"/>
              </w:rPr>
              <w:t>废气</w:t>
            </w:r>
            <w:r>
              <w:rPr>
                <w:rFonts w:hint="eastAsia"/>
                <w:b/>
                <w:bCs/>
                <w:color w:val="auto"/>
                <w:szCs w:val="22"/>
                <w:highlight w:val="none"/>
                <w:lang w:eastAsia="zh-CN"/>
              </w:rPr>
              <w:t>有组织</w:t>
            </w:r>
            <w:r>
              <w:rPr>
                <w:rFonts w:hint="eastAsia"/>
                <w:b/>
                <w:bCs/>
                <w:color w:val="auto"/>
                <w:szCs w:val="22"/>
                <w:highlight w:val="none"/>
              </w:rPr>
              <w:t>产排污节点、污染物及污染治理设施</w:t>
            </w:r>
            <w:r>
              <w:rPr>
                <w:rFonts w:hint="eastAsia"/>
                <w:b/>
                <w:bCs/>
                <w:color w:val="auto"/>
                <w:szCs w:val="22"/>
                <w:highlight w:val="none"/>
                <w:lang w:eastAsia="zh-CN"/>
              </w:rPr>
              <w:t>情况表</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616"/>
              <w:gridCol w:w="714"/>
              <w:gridCol w:w="757"/>
              <w:gridCol w:w="615"/>
              <w:gridCol w:w="671"/>
              <w:gridCol w:w="600"/>
              <w:gridCol w:w="529"/>
              <w:gridCol w:w="494"/>
              <w:gridCol w:w="517"/>
              <w:gridCol w:w="838"/>
              <w:gridCol w:w="803"/>
              <w:gridCol w:w="644"/>
              <w:gridCol w:w="628"/>
              <w:gridCol w:w="350"/>
              <w:gridCol w:w="321"/>
              <w:gridCol w:w="318"/>
              <w:gridCol w:w="426"/>
              <w:gridCol w:w="1318"/>
              <w:gridCol w:w="688"/>
              <w:gridCol w:w="634"/>
              <w:gridCol w:w="409"/>
            </w:tblGrid>
            <w:tr w14:paraId="7E3A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0" w:type="pct"/>
                  <w:vMerge w:val="restart"/>
                  <w:noWrap w:val="0"/>
                  <w:vAlign w:val="center"/>
                </w:tcPr>
                <w:p w14:paraId="7853B8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eastAsia" w:ascii="Times New Roman" w:hAnsi="Times New Roman" w:eastAsia="宋体" w:cs="Times New Roman"/>
                      <w:b/>
                      <w:bCs/>
                      <w:color w:val="auto"/>
                      <w:kern w:val="0"/>
                      <w:sz w:val="21"/>
                      <w:szCs w:val="21"/>
                      <w:highlight w:val="none"/>
                      <w:lang w:eastAsia="zh-CN"/>
                    </w:rPr>
                  </w:pPr>
                  <w:r>
                    <w:rPr>
                      <w:rFonts w:hint="eastAsia" w:cs="Times New Roman"/>
                      <w:b/>
                      <w:bCs/>
                      <w:color w:val="auto"/>
                      <w:kern w:val="0"/>
                      <w:sz w:val="21"/>
                      <w:szCs w:val="21"/>
                      <w:highlight w:val="none"/>
                      <w:lang w:val="en-US" w:eastAsia="zh-CN"/>
                    </w:rPr>
                    <w:t>污染物名称</w:t>
                  </w:r>
                </w:p>
              </w:tc>
              <w:tc>
                <w:tcPr>
                  <w:tcW w:w="228" w:type="pct"/>
                  <w:vMerge w:val="restart"/>
                  <w:noWrap w:val="0"/>
                  <w:vAlign w:val="center"/>
                </w:tcPr>
                <w:p w14:paraId="4941C1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污染物种类</w:t>
                  </w:r>
                </w:p>
              </w:tc>
              <w:tc>
                <w:tcPr>
                  <w:tcW w:w="775" w:type="pct"/>
                  <w:gridSpan w:val="3"/>
                  <w:noWrap w:val="0"/>
                  <w:vAlign w:val="center"/>
                </w:tcPr>
                <w:p w14:paraId="24E363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产生源强</w:t>
                  </w:r>
                </w:p>
              </w:tc>
              <w:tc>
                <w:tcPr>
                  <w:tcW w:w="249" w:type="pct"/>
                  <w:vMerge w:val="restart"/>
                  <w:noWrap w:val="0"/>
                  <w:vAlign w:val="center"/>
                </w:tcPr>
                <w:p w14:paraId="43BF48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治理设施</w:t>
                  </w:r>
                </w:p>
              </w:tc>
              <w:tc>
                <w:tcPr>
                  <w:tcW w:w="222" w:type="pct"/>
                  <w:vMerge w:val="restart"/>
                  <w:noWrap w:val="0"/>
                  <w:vAlign w:val="center"/>
                </w:tcPr>
                <w:p w14:paraId="66519F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处理能力</w:t>
                  </w:r>
                </w:p>
                <w:p w14:paraId="49C979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m</w:t>
                  </w:r>
                  <w:r>
                    <w:rPr>
                      <w:rFonts w:hint="default" w:ascii="Times New Roman" w:hAnsi="Times New Roman" w:cs="Times New Roman"/>
                      <w:b/>
                      <w:bCs/>
                      <w:color w:val="auto"/>
                      <w:kern w:val="0"/>
                      <w:sz w:val="21"/>
                      <w:szCs w:val="21"/>
                      <w:highlight w:val="none"/>
                      <w:vertAlign w:val="superscript"/>
                    </w:rPr>
                    <w:t>3</w:t>
                  </w:r>
                  <w:r>
                    <w:rPr>
                      <w:rFonts w:hint="default" w:ascii="Times New Roman" w:hAnsi="Times New Roman" w:cs="Times New Roman"/>
                      <w:b/>
                      <w:bCs/>
                      <w:color w:val="auto"/>
                      <w:kern w:val="0"/>
                      <w:sz w:val="21"/>
                      <w:szCs w:val="21"/>
                      <w:highlight w:val="none"/>
                    </w:rPr>
                    <w:t>/h</w:t>
                  </w:r>
                </w:p>
              </w:tc>
              <w:tc>
                <w:tcPr>
                  <w:tcW w:w="196" w:type="pct"/>
                  <w:vMerge w:val="restart"/>
                  <w:noWrap w:val="0"/>
                  <w:vAlign w:val="center"/>
                </w:tcPr>
                <w:p w14:paraId="0C1101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rPr>
                    <w:t>收集效率</w:t>
                  </w:r>
                </w:p>
              </w:tc>
              <w:tc>
                <w:tcPr>
                  <w:tcW w:w="183" w:type="pct"/>
                  <w:vMerge w:val="restart"/>
                  <w:noWrap w:val="0"/>
                  <w:vAlign w:val="center"/>
                </w:tcPr>
                <w:p w14:paraId="1A4A3C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治理工艺去除率</w:t>
                  </w:r>
                </w:p>
              </w:tc>
              <w:tc>
                <w:tcPr>
                  <w:tcW w:w="192" w:type="pct"/>
                  <w:vMerge w:val="restart"/>
                  <w:noWrap w:val="0"/>
                  <w:vAlign w:val="center"/>
                </w:tcPr>
                <w:p w14:paraId="1D978F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是否为可行技术</w:t>
                  </w:r>
                </w:p>
              </w:tc>
              <w:tc>
                <w:tcPr>
                  <w:tcW w:w="849" w:type="pct"/>
                  <w:gridSpan w:val="3"/>
                  <w:noWrap w:val="0"/>
                  <w:vAlign w:val="center"/>
                </w:tcPr>
                <w:p w14:paraId="0C6C2A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排放源强</w:t>
                  </w:r>
                </w:p>
              </w:tc>
              <w:tc>
                <w:tcPr>
                  <w:tcW w:w="1248" w:type="pct"/>
                  <w:gridSpan w:val="6"/>
                  <w:noWrap w:val="0"/>
                  <w:vAlign w:val="center"/>
                </w:tcPr>
                <w:p w14:paraId="49D3FA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排气筒概况</w:t>
                  </w:r>
                </w:p>
              </w:tc>
              <w:tc>
                <w:tcPr>
                  <w:tcW w:w="255" w:type="pct"/>
                  <w:vMerge w:val="restart"/>
                  <w:noWrap w:val="0"/>
                  <w:vAlign w:val="center"/>
                </w:tcPr>
                <w:p w14:paraId="1B28D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排放</w:t>
                  </w:r>
                  <w:r>
                    <w:rPr>
                      <w:rFonts w:hint="eastAsia" w:cs="Times New Roman"/>
                      <w:b/>
                      <w:bCs/>
                      <w:color w:val="auto"/>
                      <w:kern w:val="0"/>
                      <w:sz w:val="21"/>
                      <w:szCs w:val="21"/>
                      <w:highlight w:val="none"/>
                      <w:lang w:val="en-US" w:eastAsia="zh-CN"/>
                    </w:rPr>
                    <w:t>浓度</w:t>
                  </w:r>
                  <w:r>
                    <w:rPr>
                      <w:rFonts w:hint="default" w:ascii="Times New Roman" w:hAnsi="Times New Roman" w:eastAsia="宋体" w:cs="Times New Roman"/>
                      <w:b/>
                      <w:bCs/>
                      <w:i w:val="0"/>
                      <w:color w:val="auto"/>
                      <w:kern w:val="0"/>
                      <w:sz w:val="21"/>
                      <w:szCs w:val="21"/>
                      <w:highlight w:val="none"/>
                      <w:u w:val="none"/>
                      <w:lang w:val="en-US" w:eastAsia="zh-CN" w:bidi="ar"/>
                    </w:rPr>
                    <w:t>（</w:t>
                  </w:r>
                  <w:r>
                    <w:rPr>
                      <w:rFonts w:hint="default" w:ascii="Times New Roman" w:hAnsi="Times New Roman" w:cs="Times New Roman"/>
                      <w:b/>
                      <w:bCs/>
                      <w:color w:val="auto"/>
                      <w:kern w:val="0"/>
                      <w:sz w:val="21"/>
                      <w:szCs w:val="21"/>
                      <w:highlight w:val="none"/>
                      <w:lang w:bidi="ar"/>
                    </w:rPr>
                    <w:t>mg/m</w:t>
                  </w:r>
                  <w:r>
                    <w:rPr>
                      <w:rFonts w:hint="default" w:ascii="Times New Roman" w:hAnsi="Times New Roman" w:cs="Times New Roman"/>
                      <w:b/>
                      <w:bCs/>
                      <w:color w:val="auto"/>
                      <w:kern w:val="0"/>
                      <w:sz w:val="21"/>
                      <w:szCs w:val="21"/>
                      <w:highlight w:val="none"/>
                      <w:vertAlign w:val="superscript"/>
                      <w:lang w:bidi="ar"/>
                    </w:rPr>
                    <w:t>3</w:t>
                  </w:r>
                  <w:r>
                    <w:rPr>
                      <w:rFonts w:hint="default" w:ascii="Times New Roman" w:hAnsi="Times New Roman" w:eastAsia="宋体" w:cs="Times New Roman"/>
                      <w:b/>
                      <w:bCs/>
                      <w:i w:val="0"/>
                      <w:color w:val="auto"/>
                      <w:kern w:val="0"/>
                      <w:sz w:val="21"/>
                      <w:szCs w:val="21"/>
                      <w:highlight w:val="none"/>
                      <w:u w:val="none"/>
                      <w:lang w:val="en-US" w:eastAsia="zh-CN" w:bidi="ar"/>
                    </w:rPr>
                    <w:t>）</w:t>
                  </w:r>
                </w:p>
              </w:tc>
              <w:tc>
                <w:tcPr>
                  <w:tcW w:w="235" w:type="pct"/>
                  <w:vMerge w:val="restart"/>
                  <w:noWrap w:val="0"/>
                  <w:vAlign w:val="center"/>
                </w:tcPr>
                <w:p w14:paraId="61F4BD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color w:val="auto"/>
                      <w:kern w:val="0"/>
                      <w:sz w:val="21"/>
                      <w:szCs w:val="21"/>
                      <w:highlight w:val="none"/>
                    </w:rPr>
                    <w:t>排放</w:t>
                  </w:r>
                  <w:r>
                    <w:rPr>
                      <w:rFonts w:hint="eastAsia" w:cs="Times New Roman"/>
                      <w:b/>
                      <w:bCs/>
                      <w:color w:val="auto"/>
                      <w:kern w:val="0"/>
                      <w:sz w:val="21"/>
                      <w:szCs w:val="21"/>
                      <w:highlight w:val="none"/>
                      <w:lang w:val="en-US" w:eastAsia="zh-CN"/>
                    </w:rPr>
                    <w:t>速率</w:t>
                  </w:r>
                  <w:r>
                    <w:rPr>
                      <w:rFonts w:hint="default" w:ascii="Times New Roman" w:hAnsi="Times New Roman" w:eastAsia="宋体" w:cs="Times New Roman"/>
                      <w:b/>
                      <w:bCs/>
                      <w:i w:val="0"/>
                      <w:color w:val="auto"/>
                      <w:kern w:val="0"/>
                      <w:sz w:val="21"/>
                      <w:szCs w:val="21"/>
                      <w:highlight w:val="none"/>
                      <w:u w:val="none"/>
                      <w:lang w:val="en-US" w:eastAsia="zh-CN" w:bidi="ar"/>
                    </w:rPr>
                    <w:t>（</w:t>
                  </w:r>
                  <w:r>
                    <w:rPr>
                      <w:rFonts w:hint="eastAsia" w:ascii="Times New Roman" w:hAnsi="Times New Roman" w:eastAsia="宋体" w:cs="Times New Roman"/>
                      <w:b/>
                      <w:bCs/>
                      <w:color w:val="auto"/>
                      <w:kern w:val="0"/>
                      <w:sz w:val="21"/>
                      <w:szCs w:val="21"/>
                      <w:highlight w:val="none"/>
                      <w:lang w:val="en-US" w:eastAsia="zh-CN" w:bidi="ar"/>
                    </w:rPr>
                    <w:t>k</w:t>
                  </w:r>
                  <w:r>
                    <w:rPr>
                      <w:rFonts w:hint="default" w:ascii="Times New Roman" w:hAnsi="Times New Roman" w:cs="Times New Roman"/>
                      <w:b/>
                      <w:bCs/>
                      <w:color w:val="auto"/>
                      <w:kern w:val="0"/>
                      <w:sz w:val="21"/>
                      <w:szCs w:val="21"/>
                      <w:highlight w:val="none"/>
                      <w:lang w:bidi="ar"/>
                    </w:rPr>
                    <w:t>g/</w:t>
                  </w:r>
                  <w:r>
                    <w:rPr>
                      <w:rFonts w:hint="eastAsia" w:ascii="Times New Roman" w:hAnsi="Times New Roman" w:cs="Times New Roman"/>
                      <w:b/>
                      <w:bCs/>
                      <w:color w:val="auto"/>
                      <w:kern w:val="0"/>
                      <w:sz w:val="21"/>
                      <w:szCs w:val="21"/>
                      <w:highlight w:val="none"/>
                      <w:lang w:val="en-US" w:eastAsia="zh-CN" w:bidi="ar"/>
                    </w:rPr>
                    <w:t>h</w:t>
                  </w:r>
                  <w:r>
                    <w:rPr>
                      <w:rFonts w:hint="default" w:ascii="Times New Roman" w:hAnsi="Times New Roman" w:eastAsia="宋体" w:cs="Times New Roman"/>
                      <w:b/>
                      <w:bCs/>
                      <w:i w:val="0"/>
                      <w:color w:val="auto"/>
                      <w:kern w:val="0"/>
                      <w:sz w:val="21"/>
                      <w:szCs w:val="21"/>
                      <w:highlight w:val="none"/>
                      <w:u w:val="none"/>
                      <w:lang w:val="en-US" w:eastAsia="zh-CN" w:bidi="ar"/>
                    </w:rPr>
                    <w:t>）</w:t>
                  </w:r>
                </w:p>
              </w:tc>
              <w:tc>
                <w:tcPr>
                  <w:tcW w:w="151" w:type="pct"/>
                  <w:vMerge w:val="restart"/>
                  <w:noWrap w:val="0"/>
                  <w:vAlign w:val="center"/>
                </w:tcPr>
                <w:p w14:paraId="1AC36D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是否达标</w:t>
                  </w:r>
                </w:p>
              </w:tc>
            </w:tr>
            <w:tr w14:paraId="7993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0" w:type="pct"/>
                  <w:vMerge w:val="continue"/>
                  <w:noWrap w:val="0"/>
                  <w:vAlign w:val="center"/>
                </w:tcPr>
                <w:p w14:paraId="571810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p>
              </w:tc>
              <w:tc>
                <w:tcPr>
                  <w:tcW w:w="228" w:type="pct"/>
                  <w:vMerge w:val="continue"/>
                  <w:noWrap w:val="0"/>
                  <w:vAlign w:val="center"/>
                </w:tcPr>
                <w:p w14:paraId="0C24B3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p>
              </w:tc>
              <w:tc>
                <w:tcPr>
                  <w:tcW w:w="265" w:type="pct"/>
                  <w:noWrap w:val="0"/>
                  <w:vAlign w:val="center"/>
                </w:tcPr>
                <w:p w14:paraId="11B184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产生浓度（mg/m</w:t>
                  </w:r>
                  <w:r>
                    <w:rPr>
                      <w:rFonts w:hint="default" w:ascii="Times New Roman" w:hAnsi="Times New Roman" w:cs="Times New Roman"/>
                      <w:b/>
                      <w:bCs/>
                      <w:color w:val="auto"/>
                      <w:kern w:val="0"/>
                      <w:sz w:val="21"/>
                      <w:szCs w:val="21"/>
                      <w:highlight w:val="none"/>
                      <w:vertAlign w:val="superscript"/>
                    </w:rPr>
                    <w:t>3</w:t>
                  </w:r>
                  <w:r>
                    <w:rPr>
                      <w:rFonts w:hint="default" w:ascii="Times New Roman" w:hAnsi="Times New Roman" w:cs="Times New Roman"/>
                      <w:b/>
                      <w:bCs/>
                      <w:color w:val="auto"/>
                      <w:kern w:val="0"/>
                      <w:sz w:val="21"/>
                      <w:szCs w:val="21"/>
                      <w:highlight w:val="none"/>
                    </w:rPr>
                    <w:t>）</w:t>
                  </w:r>
                </w:p>
              </w:tc>
              <w:tc>
                <w:tcPr>
                  <w:tcW w:w="281" w:type="pct"/>
                  <w:noWrap w:val="0"/>
                  <w:vAlign w:val="center"/>
                </w:tcPr>
                <w:p w14:paraId="4FEB70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产生速率</w:t>
                  </w:r>
                </w:p>
                <w:p w14:paraId="1154D1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（kg/h）</w:t>
                  </w:r>
                </w:p>
              </w:tc>
              <w:tc>
                <w:tcPr>
                  <w:tcW w:w="228" w:type="pct"/>
                  <w:noWrap w:val="0"/>
                  <w:vAlign w:val="center"/>
                </w:tcPr>
                <w:p w14:paraId="0D3BAA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产生量</w:t>
                  </w:r>
                </w:p>
                <w:p w14:paraId="23645B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（t/a）</w:t>
                  </w:r>
                </w:p>
              </w:tc>
              <w:tc>
                <w:tcPr>
                  <w:tcW w:w="249" w:type="pct"/>
                  <w:vMerge w:val="continue"/>
                  <w:noWrap w:val="0"/>
                  <w:vAlign w:val="center"/>
                </w:tcPr>
                <w:p w14:paraId="4C6C70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p>
              </w:tc>
              <w:tc>
                <w:tcPr>
                  <w:tcW w:w="222" w:type="pct"/>
                  <w:vMerge w:val="continue"/>
                  <w:noWrap w:val="0"/>
                  <w:vAlign w:val="center"/>
                </w:tcPr>
                <w:p w14:paraId="3C1C2A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p>
              </w:tc>
              <w:tc>
                <w:tcPr>
                  <w:tcW w:w="196" w:type="pct"/>
                  <w:vMerge w:val="continue"/>
                  <w:noWrap w:val="0"/>
                  <w:vAlign w:val="center"/>
                </w:tcPr>
                <w:p w14:paraId="7A63C8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p>
              </w:tc>
              <w:tc>
                <w:tcPr>
                  <w:tcW w:w="183" w:type="pct"/>
                  <w:vMerge w:val="continue"/>
                  <w:noWrap w:val="0"/>
                  <w:vAlign w:val="center"/>
                </w:tcPr>
                <w:p w14:paraId="32ABD4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p>
              </w:tc>
              <w:tc>
                <w:tcPr>
                  <w:tcW w:w="192" w:type="pct"/>
                  <w:vMerge w:val="continue"/>
                  <w:noWrap w:val="0"/>
                  <w:vAlign w:val="center"/>
                </w:tcPr>
                <w:p w14:paraId="1EDAEB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p>
              </w:tc>
              <w:tc>
                <w:tcPr>
                  <w:tcW w:w="311" w:type="pct"/>
                  <w:noWrap w:val="0"/>
                  <w:vAlign w:val="center"/>
                </w:tcPr>
                <w:p w14:paraId="52B74C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i w:val="0"/>
                      <w:color w:val="auto"/>
                      <w:kern w:val="0"/>
                      <w:sz w:val="21"/>
                      <w:szCs w:val="21"/>
                      <w:highlight w:val="none"/>
                      <w:u w:val="none"/>
                      <w:lang w:val="en-US" w:eastAsia="zh-CN" w:bidi="ar"/>
                    </w:rPr>
                    <w:t>排放</w:t>
                  </w:r>
                  <w:r>
                    <w:rPr>
                      <w:rFonts w:hint="default" w:ascii="Times New Roman" w:hAnsi="Times New Roman" w:eastAsia="宋体" w:cs="Times New Roman"/>
                      <w:b/>
                      <w:bCs/>
                      <w:i w:val="0"/>
                      <w:color w:val="auto"/>
                      <w:kern w:val="0"/>
                      <w:sz w:val="21"/>
                      <w:szCs w:val="21"/>
                      <w:highlight w:val="none"/>
                      <w:u w:val="none"/>
                      <w:lang w:val="en-US" w:eastAsia="zh-CN" w:bidi="ar"/>
                    </w:rPr>
                    <w:t>浓度（</w:t>
                  </w:r>
                  <w:r>
                    <w:rPr>
                      <w:rStyle w:val="102"/>
                      <w:rFonts w:hint="default" w:ascii="Times New Roman" w:hAnsi="Times New Roman" w:eastAsia="宋体" w:cs="Times New Roman"/>
                      <w:b/>
                      <w:bCs/>
                      <w:color w:val="auto"/>
                      <w:sz w:val="21"/>
                      <w:szCs w:val="21"/>
                      <w:highlight w:val="none"/>
                      <w:lang w:val="en-US" w:eastAsia="zh-CN" w:bidi="ar"/>
                    </w:rPr>
                    <w:t>mg/m</w:t>
                  </w:r>
                  <w:r>
                    <w:rPr>
                      <w:rStyle w:val="102"/>
                      <w:rFonts w:hint="default" w:ascii="Times New Roman" w:hAnsi="Times New Roman" w:eastAsia="宋体" w:cs="Times New Roman"/>
                      <w:b/>
                      <w:bCs/>
                      <w:color w:val="auto"/>
                      <w:sz w:val="21"/>
                      <w:szCs w:val="21"/>
                      <w:highlight w:val="none"/>
                      <w:vertAlign w:val="superscript"/>
                      <w:lang w:val="en-US" w:eastAsia="zh-CN" w:bidi="ar"/>
                    </w:rPr>
                    <w:t>3</w:t>
                  </w:r>
                  <w:r>
                    <w:rPr>
                      <w:rStyle w:val="105"/>
                      <w:rFonts w:hint="default" w:ascii="Times New Roman" w:hAnsi="Times New Roman" w:eastAsia="宋体" w:cs="Times New Roman"/>
                      <w:b/>
                      <w:bCs/>
                      <w:color w:val="auto"/>
                      <w:sz w:val="21"/>
                      <w:szCs w:val="21"/>
                      <w:highlight w:val="none"/>
                      <w:vertAlign w:val="baseline"/>
                      <w:lang w:val="en-US" w:eastAsia="zh-CN" w:bidi="ar"/>
                    </w:rPr>
                    <w:t>）</w:t>
                  </w:r>
                </w:p>
              </w:tc>
              <w:tc>
                <w:tcPr>
                  <w:tcW w:w="298" w:type="pct"/>
                  <w:noWrap w:val="0"/>
                  <w:vAlign w:val="center"/>
                </w:tcPr>
                <w:p w14:paraId="683B94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outlineLvl w:val="9"/>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排放</w:t>
                  </w:r>
                  <w:r>
                    <w:rPr>
                      <w:rFonts w:hint="default" w:ascii="Times New Roman" w:hAnsi="Times New Roman" w:eastAsia="宋体" w:cs="Times New Roman"/>
                      <w:b/>
                      <w:bCs/>
                      <w:i w:val="0"/>
                      <w:color w:val="auto"/>
                      <w:kern w:val="0"/>
                      <w:sz w:val="21"/>
                      <w:szCs w:val="21"/>
                      <w:highlight w:val="none"/>
                      <w:u w:val="none"/>
                      <w:lang w:val="en-US" w:eastAsia="zh-CN" w:bidi="ar"/>
                    </w:rPr>
                    <w:t>速率</w:t>
                  </w:r>
                </w:p>
                <w:p w14:paraId="6EF690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eastAsia="宋体" w:cs="Times New Roman"/>
                      <w:b/>
                      <w:bCs/>
                      <w:i w:val="0"/>
                      <w:color w:val="auto"/>
                      <w:kern w:val="0"/>
                      <w:sz w:val="21"/>
                      <w:szCs w:val="21"/>
                      <w:highlight w:val="none"/>
                      <w:u w:val="none"/>
                      <w:lang w:val="en-US" w:eastAsia="zh-CN" w:bidi="ar"/>
                    </w:rPr>
                    <w:t>（</w:t>
                  </w:r>
                  <w:r>
                    <w:rPr>
                      <w:rStyle w:val="344"/>
                      <w:rFonts w:hint="default" w:ascii="Times New Roman" w:hAnsi="Times New Roman" w:eastAsia="宋体" w:cs="Times New Roman"/>
                      <w:b/>
                      <w:bCs/>
                      <w:color w:val="auto"/>
                      <w:sz w:val="21"/>
                      <w:szCs w:val="21"/>
                      <w:highlight w:val="none"/>
                      <w:vertAlign w:val="baseline"/>
                      <w:lang w:val="en-US" w:eastAsia="zh-CN" w:bidi="ar"/>
                    </w:rPr>
                    <w:t>kg/h</w:t>
                  </w:r>
                  <w:r>
                    <w:rPr>
                      <w:rStyle w:val="332"/>
                      <w:rFonts w:hint="default" w:ascii="Times New Roman" w:hAnsi="Times New Roman" w:eastAsia="宋体" w:cs="Times New Roman"/>
                      <w:b/>
                      <w:bCs/>
                      <w:color w:val="auto"/>
                      <w:sz w:val="21"/>
                      <w:szCs w:val="21"/>
                      <w:highlight w:val="none"/>
                      <w:lang w:val="en-US" w:eastAsia="zh-CN" w:bidi="ar"/>
                    </w:rPr>
                    <w:t>）</w:t>
                  </w:r>
                </w:p>
              </w:tc>
              <w:tc>
                <w:tcPr>
                  <w:tcW w:w="239" w:type="pct"/>
                  <w:noWrap w:val="0"/>
                  <w:vAlign w:val="center"/>
                </w:tcPr>
                <w:p w14:paraId="19889F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outlineLvl w:val="9"/>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排放</w:t>
                  </w:r>
                  <w:r>
                    <w:rPr>
                      <w:rFonts w:hint="default" w:ascii="Times New Roman" w:hAnsi="Times New Roman" w:eastAsia="宋体" w:cs="Times New Roman"/>
                      <w:b/>
                      <w:bCs/>
                      <w:i w:val="0"/>
                      <w:color w:val="auto"/>
                      <w:kern w:val="0"/>
                      <w:sz w:val="21"/>
                      <w:szCs w:val="21"/>
                      <w:highlight w:val="none"/>
                      <w:u w:val="none"/>
                      <w:lang w:val="en-US" w:eastAsia="zh-CN" w:bidi="ar"/>
                    </w:rPr>
                    <w:t>量</w:t>
                  </w:r>
                </w:p>
                <w:p w14:paraId="400404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eastAsia="宋体" w:cs="Times New Roman"/>
                      <w:b/>
                      <w:bCs/>
                      <w:i w:val="0"/>
                      <w:color w:val="auto"/>
                      <w:kern w:val="0"/>
                      <w:sz w:val="21"/>
                      <w:szCs w:val="21"/>
                      <w:highlight w:val="none"/>
                      <w:u w:val="none"/>
                      <w:lang w:val="en-US" w:eastAsia="zh-CN" w:bidi="ar"/>
                    </w:rPr>
                    <w:t>（</w:t>
                  </w:r>
                  <w:r>
                    <w:rPr>
                      <w:rStyle w:val="343"/>
                      <w:rFonts w:hint="default" w:ascii="Times New Roman" w:hAnsi="Times New Roman" w:eastAsia="宋体" w:cs="Times New Roman"/>
                      <w:b/>
                      <w:bCs/>
                      <w:color w:val="auto"/>
                      <w:sz w:val="21"/>
                      <w:szCs w:val="21"/>
                      <w:highlight w:val="none"/>
                      <w:lang w:val="en-US" w:eastAsia="zh-CN" w:bidi="ar"/>
                    </w:rPr>
                    <w:t>t/a</w:t>
                  </w:r>
                  <w:r>
                    <w:rPr>
                      <w:rStyle w:val="332"/>
                      <w:rFonts w:hint="default" w:ascii="Times New Roman" w:hAnsi="Times New Roman" w:eastAsia="宋体" w:cs="Times New Roman"/>
                      <w:b/>
                      <w:bCs/>
                      <w:color w:val="auto"/>
                      <w:sz w:val="21"/>
                      <w:szCs w:val="21"/>
                      <w:highlight w:val="none"/>
                      <w:lang w:val="en-US" w:eastAsia="zh-CN" w:bidi="ar"/>
                    </w:rPr>
                    <w:t>）</w:t>
                  </w:r>
                </w:p>
              </w:tc>
              <w:tc>
                <w:tcPr>
                  <w:tcW w:w="233" w:type="pct"/>
                  <w:noWrap w:val="0"/>
                  <w:vAlign w:val="center"/>
                </w:tcPr>
                <w:p w14:paraId="36EE07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编号及名称</w:t>
                  </w:r>
                </w:p>
              </w:tc>
              <w:tc>
                <w:tcPr>
                  <w:tcW w:w="130" w:type="pct"/>
                  <w:noWrap w:val="0"/>
                  <w:vAlign w:val="center"/>
                </w:tcPr>
                <w:p w14:paraId="6E41D6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高度m</w:t>
                  </w:r>
                </w:p>
              </w:tc>
              <w:tc>
                <w:tcPr>
                  <w:tcW w:w="119" w:type="pct"/>
                  <w:noWrap w:val="0"/>
                  <w:vAlign w:val="center"/>
                </w:tcPr>
                <w:p w14:paraId="342A97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内径m</w:t>
                  </w:r>
                </w:p>
              </w:tc>
              <w:tc>
                <w:tcPr>
                  <w:tcW w:w="118" w:type="pct"/>
                  <w:noWrap w:val="0"/>
                  <w:vAlign w:val="center"/>
                </w:tcPr>
                <w:p w14:paraId="20A1F8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温度</w:t>
                  </w:r>
                </w:p>
                <w:p w14:paraId="10DD13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w:t>
                  </w:r>
                </w:p>
              </w:tc>
              <w:tc>
                <w:tcPr>
                  <w:tcW w:w="158" w:type="pct"/>
                  <w:noWrap w:val="0"/>
                  <w:vAlign w:val="center"/>
                </w:tcPr>
                <w:p w14:paraId="0721B9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类型</w:t>
                  </w:r>
                </w:p>
              </w:tc>
              <w:tc>
                <w:tcPr>
                  <w:tcW w:w="489" w:type="pct"/>
                  <w:noWrap w:val="0"/>
                  <w:vAlign w:val="center"/>
                </w:tcPr>
                <w:p w14:paraId="4A0D4B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rPr>
                    <w:t>地理坐标</w:t>
                  </w:r>
                </w:p>
              </w:tc>
              <w:tc>
                <w:tcPr>
                  <w:tcW w:w="255" w:type="pct"/>
                  <w:vMerge w:val="continue"/>
                  <w:noWrap w:val="0"/>
                  <w:vAlign w:val="center"/>
                </w:tcPr>
                <w:p w14:paraId="3CC2BD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p>
              </w:tc>
              <w:tc>
                <w:tcPr>
                  <w:tcW w:w="235" w:type="pct"/>
                  <w:vMerge w:val="continue"/>
                  <w:noWrap w:val="0"/>
                  <w:vAlign w:val="center"/>
                </w:tcPr>
                <w:p w14:paraId="48677A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p>
              </w:tc>
              <w:tc>
                <w:tcPr>
                  <w:tcW w:w="151" w:type="pct"/>
                  <w:vMerge w:val="continue"/>
                  <w:noWrap w:val="0"/>
                  <w:vAlign w:val="center"/>
                </w:tcPr>
                <w:p w14:paraId="7B04B7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b/>
                      <w:bCs/>
                      <w:color w:val="auto"/>
                      <w:kern w:val="0"/>
                      <w:sz w:val="21"/>
                      <w:szCs w:val="21"/>
                      <w:highlight w:val="none"/>
                    </w:rPr>
                  </w:pPr>
                </w:p>
              </w:tc>
            </w:tr>
            <w:tr w14:paraId="16BC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0" w:type="pct"/>
                  <w:noWrap w:val="0"/>
                  <w:vAlign w:val="center"/>
                </w:tcPr>
                <w:p w14:paraId="01D8E33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投料粉尘</w:t>
                  </w:r>
                </w:p>
              </w:tc>
              <w:tc>
                <w:tcPr>
                  <w:tcW w:w="228" w:type="pct"/>
                  <w:noWrap w:val="0"/>
                  <w:vAlign w:val="center"/>
                </w:tcPr>
                <w:p w14:paraId="2C968E7B">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颗粒物</w:t>
                  </w:r>
                </w:p>
              </w:tc>
              <w:tc>
                <w:tcPr>
                  <w:tcW w:w="265" w:type="pct"/>
                  <w:noWrap w:val="0"/>
                  <w:vAlign w:val="center"/>
                </w:tcPr>
                <w:p w14:paraId="564AAE2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119.493</w:t>
                  </w:r>
                </w:p>
              </w:tc>
              <w:tc>
                <w:tcPr>
                  <w:tcW w:w="281" w:type="pct"/>
                  <w:noWrap w:val="0"/>
                  <w:vAlign w:val="center"/>
                </w:tcPr>
                <w:p w14:paraId="01A0104C">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1.314</w:t>
                  </w:r>
                </w:p>
              </w:tc>
              <w:tc>
                <w:tcPr>
                  <w:tcW w:w="228" w:type="pct"/>
                  <w:noWrap w:val="0"/>
                  <w:vAlign w:val="center"/>
                </w:tcPr>
                <w:p w14:paraId="0A8E72B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2.734</w:t>
                  </w:r>
                </w:p>
              </w:tc>
              <w:tc>
                <w:tcPr>
                  <w:tcW w:w="249" w:type="pct"/>
                  <w:noWrap w:val="0"/>
                  <w:vAlign w:val="center"/>
                </w:tcPr>
                <w:p w14:paraId="64F65855">
                  <w:pPr>
                    <w:pStyle w:val="203"/>
                    <w:keepNext w:val="0"/>
                    <w:keepLines w:val="0"/>
                    <w:pageBreakBefore w:val="0"/>
                    <w:widowControl w:val="0"/>
                    <w:suppressLineNumbers w:val="0"/>
                    <w:tabs>
                      <w:tab w:val="left" w:pos="1061"/>
                    </w:tabs>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袋式除尘器</w:t>
                  </w:r>
                </w:p>
              </w:tc>
              <w:tc>
                <w:tcPr>
                  <w:tcW w:w="222" w:type="pct"/>
                  <w:noWrap w:val="0"/>
                  <w:vAlign w:val="center"/>
                </w:tcPr>
                <w:p w14:paraId="2C945076">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11000</w:t>
                  </w:r>
                </w:p>
              </w:tc>
              <w:tc>
                <w:tcPr>
                  <w:tcW w:w="196" w:type="pct"/>
                  <w:noWrap w:val="0"/>
                  <w:vAlign w:val="center"/>
                </w:tcPr>
                <w:p w14:paraId="06A2EAD6">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90%</w:t>
                  </w:r>
                </w:p>
              </w:tc>
              <w:tc>
                <w:tcPr>
                  <w:tcW w:w="183" w:type="pct"/>
                  <w:noWrap w:val="0"/>
                  <w:vAlign w:val="center"/>
                </w:tcPr>
                <w:p w14:paraId="7747F623">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90%</w:t>
                  </w:r>
                </w:p>
              </w:tc>
              <w:tc>
                <w:tcPr>
                  <w:tcW w:w="192" w:type="pct"/>
                  <w:noWrap w:val="0"/>
                  <w:vAlign w:val="center"/>
                </w:tcPr>
                <w:p w14:paraId="312C480C">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是</w:t>
                  </w:r>
                </w:p>
              </w:tc>
              <w:tc>
                <w:tcPr>
                  <w:tcW w:w="311" w:type="pct"/>
                  <w:noWrap w:val="0"/>
                  <w:vAlign w:val="center"/>
                </w:tcPr>
                <w:p w14:paraId="27BF02C5">
                  <w:pPr>
                    <w:pStyle w:val="203"/>
                    <w:keepNext w:val="0"/>
                    <w:keepLines w:val="0"/>
                    <w:pageBreakBefore w:val="0"/>
                    <w:widowControl w:val="0"/>
                    <w:suppressLineNumbers w:val="0"/>
                    <w:tabs>
                      <w:tab w:val="left" w:pos="1061"/>
                    </w:tabs>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color w:val="auto"/>
                      <w:sz w:val="21"/>
                      <w:szCs w:val="21"/>
                      <w:highlight w:val="none"/>
                      <w:lang w:val="en-US" w:eastAsia="zh-CN"/>
                    </w:rPr>
                    <w:t>11.932</w:t>
                  </w:r>
                </w:p>
              </w:tc>
              <w:tc>
                <w:tcPr>
                  <w:tcW w:w="298" w:type="pct"/>
                  <w:noWrap w:val="0"/>
                  <w:vAlign w:val="center"/>
                </w:tcPr>
                <w:p w14:paraId="7460FE6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0.131</w:t>
                  </w:r>
                </w:p>
              </w:tc>
              <w:tc>
                <w:tcPr>
                  <w:tcW w:w="239" w:type="pct"/>
                  <w:noWrap w:val="0"/>
                  <w:vAlign w:val="center"/>
                </w:tcPr>
                <w:p w14:paraId="4A3B8B1C">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0.273</w:t>
                  </w:r>
                </w:p>
              </w:tc>
              <w:tc>
                <w:tcPr>
                  <w:tcW w:w="233" w:type="pct"/>
                  <w:noWrap w:val="0"/>
                  <w:vAlign w:val="center"/>
                </w:tcPr>
                <w:p w14:paraId="3EC4AF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DA001</w:t>
                  </w:r>
                </w:p>
              </w:tc>
              <w:tc>
                <w:tcPr>
                  <w:tcW w:w="130" w:type="pct"/>
                  <w:noWrap w:val="0"/>
                  <w:vAlign w:val="center"/>
                </w:tcPr>
                <w:p w14:paraId="22CE03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15</w:t>
                  </w:r>
                </w:p>
              </w:tc>
              <w:tc>
                <w:tcPr>
                  <w:tcW w:w="119" w:type="pct"/>
                  <w:noWrap w:val="0"/>
                  <w:vAlign w:val="center"/>
                </w:tcPr>
                <w:p w14:paraId="45B72C10">
                  <w:pPr>
                    <w:pStyle w:val="162"/>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0.5</w:t>
                  </w:r>
                </w:p>
              </w:tc>
              <w:tc>
                <w:tcPr>
                  <w:tcW w:w="118" w:type="pct"/>
                  <w:noWrap w:val="0"/>
                  <w:vAlign w:val="center"/>
                </w:tcPr>
                <w:p w14:paraId="490D5EEE">
                  <w:pPr>
                    <w:pStyle w:val="162"/>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25</w:t>
                  </w:r>
                </w:p>
              </w:tc>
              <w:tc>
                <w:tcPr>
                  <w:tcW w:w="158" w:type="pct"/>
                  <w:noWrap w:val="0"/>
                  <w:vAlign w:val="center"/>
                </w:tcPr>
                <w:p w14:paraId="0C4D75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一般排放口</w:t>
                  </w:r>
                </w:p>
              </w:tc>
              <w:tc>
                <w:tcPr>
                  <w:tcW w:w="489" w:type="pct"/>
                  <w:noWrap w:val="0"/>
                  <w:vAlign w:val="center"/>
                </w:tcPr>
                <w:p w14:paraId="6943C9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11</w:t>
                  </w:r>
                  <w:r>
                    <w:rPr>
                      <w:rFonts w:hint="eastAsia" w:cs="Times New Roman"/>
                      <w:color w:val="auto"/>
                      <w:kern w:val="0"/>
                      <w:sz w:val="21"/>
                      <w:szCs w:val="21"/>
                      <w:highlight w:val="none"/>
                      <w:lang w:val="en-US" w:eastAsia="zh-CN" w:bidi="ar"/>
                    </w:rPr>
                    <w:t>7</w:t>
                  </w: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51</w:t>
                  </w: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39.705</w:t>
                  </w:r>
                  <w:r>
                    <w:rPr>
                      <w:rFonts w:hint="default" w:ascii="Times New Roman" w:hAnsi="Times New Roman" w:eastAsia="宋体" w:cs="Times New Roman"/>
                      <w:color w:val="auto"/>
                      <w:kern w:val="0"/>
                      <w:sz w:val="21"/>
                      <w:szCs w:val="21"/>
                      <w:highlight w:val="none"/>
                      <w:lang w:val="en-US" w:eastAsia="zh-CN" w:bidi="ar"/>
                    </w:rPr>
                    <w:t>"</w:t>
                  </w:r>
                </w:p>
                <w:p w14:paraId="6DBC34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w:t>
                  </w:r>
                  <w:r>
                    <w:rPr>
                      <w:rFonts w:hint="eastAsia"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6</w:t>
                  </w: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3.</w:t>
                  </w:r>
                  <w:r>
                    <w:rPr>
                      <w:rFonts w:hint="eastAsia" w:cs="Times New Roman"/>
                      <w:color w:val="auto"/>
                      <w:kern w:val="0"/>
                      <w:sz w:val="21"/>
                      <w:szCs w:val="21"/>
                      <w:highlight w:val="none"/>
                      <w:lang w:val="en-US" w:eastAsia="zh-CN" w:bidi="ar"/>
                    </w:rPr>
                    <w:t>401</w:t>
                  </w:r>
                  <w:r>
                    <w:rPr>
                      <w:rFonts w:hint="default" w:ascii="Times New Roman" w:hAnsi="Times New Roman" w:eastAsia="宋体" w:cs="Times New Roman"/>
                      <w:color w:val="auto"/>
                      <w:kern w:val="0"/>
                      <w:sz w:val="21"/>
                      <w:szCs w:val="21"/>
                      <w:highlight w:val="none"/>
                      <w:lang w:val="en-US" w:eastAsia="zh-CN" w:bidi="ar"/>
                    </w:rPr>
                    <w:t>"</w:t>
                  </w:r>
                </w:p>
              </w:tc>
              <w:tc>
                <w:tcPr>
                  <w:tcW w:w="255" w:type="pct"/>
                  <w:noWrap w:val="0"/>
                  <w:vAlign w:val="center"/>
                </w:tcPr>
                <w:p w14:paraId="667225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30</w:t>
                  </w:r>
                </w:p>
              </w:tc>
              <w:tc>
                <w:tcPr>
                  <w:tcW w:w="235" w:type="pct"/>
                  <w:noWrap w:val="0"/>
                  <w:vAlign w:val="center"/>
                </w:tcPr>
                <w:p w14:paraId="34788D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51" w:type="pct"/>
                  <w:noWrap w:val="0"/>
                  <w:vAlign w:val="center"/>
                </w:tcPr>
                <w:p w14:paraId="417918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达标</w:t>
                  </w:r>
                </w:p>
              </w:tc>
            </w:tr>
            <w:tr w14:paraId="20B4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0" w:type="pct"/>
                  <w:vMerge w:val="restart"/>
                  <w:noWrap w:val="0"/>
                  <w:vAlign w:val="center"/>
                </w:tcPr>
                <w:p w14:paraId="2D6F1CB7">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注塑、浇注、脱模剂废气</w:t>
                  </w:r>
                </w:p>
              </w:tc>
              <w:tc>
                <w:tcPr>
                  <w:tcW w:w="228" w:type="pct"/>
                  <w:noWrap w:val="0"/>
                  <w:vAlign w:val="center"/>
                </w:tcPr>
                <w:p w14:paraId="22363197">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非甲烷总烃</w:t>
                  </w:r>
                </w:p>
              </w:tc>
              <w:tc>
                <w:tcPr>
                  <w:tcW w:w="265" w:type="pct"/>
                  <w:noWrap w:val="0"/>
                  <w:vAlign w:val="center"/>
                </w:tcPr>
                <w:p w14:paraId="21F3E7A8">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46.202</w:t>
                  </w:r>
                </w:p>
              </w:tc>
              <w:tc>
                <w:tcPr>
                  <w:tcW w:w="281" w:type="pct"/>
                  <w:noWrap w:val="0"/>
                  <w:vAlign w:val="center"/>
                </w:tcPr>
                <w:p w14:paraId="0C0717E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0.462</w:t>
                  </w:r>
                </w:p>
              </w:tc>
              <w:tc>
                <w:tcPr>
                  <w:tcW w:w="228" w:type="pct"/>
                  <w:noWrap w:val="0"/>
                  <w:vAlign w:val="center"/>
                </w:tcPr>
                <w:p w14:paraId="29CC02A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0.961</w:t>
                  </w:r>
                </w:p>
              </w:tc>
              <w:tc>
                <w:tcPr>
                  <w:tcW w:w="249" w:type="pct"/>
                  <w:vMerge w:val="restart"/>
                  <w:noWrap w:val="0"/>
                  <w:vAlign w:val="center"/>
                </w:tcPr>
                <w:p w14:paraId="2A118436">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二级活性炭吸附</w:t>
                  </w:r>
                </w:p>
              </w:tc>
              <w:tc>
                <w:tcPr>
                  <w:tcW w:w="222" w:type="pct"/>
                  <w:vMerge w:val="restart"/>
                  <w:noWrap w:val="0"/>
                  <w:vAlign w:val="center"/>
                </w:tcPr>
                <w:p w14:paraId="673C047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10000</w:t>
                  </w:r>
                </w:p>
              </w:tc>
              <w:tc>
                <w:tcPr>
                  <w:tcW w:w="196" w:type="pct"/>
                  <w:vMerge w:val="restart"/>
                  <w:noWrap w:val="0"/>
                  <w:vAlign w:val="center"/>
                </w:tcPr>
                <w:p w14:paraId="364062F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90%</w:t>
                  </w:r>
                </w:p>
              </w:tc>
              <w:tc>
                <w:tcPr>
                  <w:tcW w:w="183" w:type="pct"/>
                  <w:noWrap w:val="0"/>
                  <w:vAlign w:val="center"/>
                </w:tcPr>
                <w:p w14:paraId="631D4C1A">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90%</w:t>
                  </w:r>
                </w:p>
              </w:tc>
              <w:tc>
                <w:tcPr>
                  <w:tcW w:w="192" w:type="pct"/>
                  <w:noWrap w:val="0"/>
                  <w:vAlign w:val="center"/>
                </w:tcPr>
                <w:p w14:paraId="238D125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rPr>
                    <w:t>是</w:t>
                  </w:r>
                </w:p>
              </w:tc>
              <w:tc>
                <w:tcPr>
                  <w:tcW w:w="311" w:type="pct"/>
                  <w:noWrap w:val="0"/>
                  <w:vAlign w:val="center"/>
                </w:tcPr>
                <w:p w14:paraId="48ACAB56">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4.615</w:t>
                  </w:r>
                </w:p>
              </w:tc>
              <w:tc>
                <w:tcPr>
                  <w:tcW w:w="298" w:type="pct"/>
                  <w:noWrap w:val="0"/>
                  <w:vAlign w:val="center"/>
                </w:tcPr>
                <w:p w14:paraId="12F62572">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0.046</w:t>
                  </w:r>
                </w:p>
              </w:tc>
              <w:tc>
                <w:tcPr>
                  <w:tcW w:w="239" w:type="pct"/>
                  <w:noWrap w:val="0"/>
                  <w:vAlign w:val="center"/>
                </w:tcPr>
                <w:p w14:paraId="42560532">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0.096</w:t>
                  </w:r>
                </w:p>
              </w:tc>
              <w:tc>
                <w:tcPr>
                  <w:tcW w:w="233" w:type="pct"/>
                  <w:vMerge w:val="restart"/>
                  <w:noWrap w:val="0"/>
                  <w:vAlign w:val="center"/>
                </w:tcPr>
                <w:p w14:paraId="311DFF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DA002</w:t>
                  </w:r>
                </w:p>
              </w:tc>
              <w:tc>
                <w:tcPr>
                  <w:tcW w:w="130" w:type="pct"/>
                  <w:vMerge w:val="restart"/>
                  <w:noWrap w:val="0"/>
                  <w:vAlign w:val="center"/>
                </w:tcPr>
                <w:p w14:paraId="3710E1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15</w:t>
                  </w:r>
                </w:p>
              </w:tc>
              <w:tc>
                <w:tcPr>
                  <w:tcW w:w="119" w:type="pct"/>
                  <w:vMerge w:val="restart"/>
                  <w:noWrap w:val="0"/>
                  <w:vAlign w:val="center"/>
                </w:tcPr>
                <w:p w14:paraId="4CEA493A">
                  <w:pPr>
                    <w:pStyle w:val="162"/>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0.4</w:t>
                  </w:r>
                </w:p>
              </w:tc>
              <w:tc>
                <w:tcPr>
                  <w:tcW w:w="118" w:type="pct"/>
                  <w:vMerge w:val="restart"/>
                  <w:shd w:val="clear" w:color="auto" w:fill="auto"/>
                  <w:noWrap w:val="0"/>
                  <w:vAlign w:val="center"/>
                </w:tcPr>
                <w:p w14:paraId="0E7E26F8">
                  <w:pPr>
                    <w:pStyle w:val="162"/>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25</w:t>
                  </w:r>
                </w:p>
              </w:tc>
              <w:tc>
                <w:tcPr>
                  <w:tcW w:w="158" w:type="pct"/>
                  <w:vMerge w:val="restart"/>
                  <w:noWrap w:val="0"/>
                  <w:vAlign w:val="center"/>
                </w:tcPr>
                <w:p w14:paraId="0FE051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一般排放口</w:t>
                  </w:r>
                </w:p>
              </w:tc>
              <w:tc>
                <w:tcPr>
                  <w:tcW w:w="489" w:type="pct"/>
                  <w:vMerge w:val="restart"/>
                  <w:noWrap w:val="0"/>
                  <w:vAlign w:val="center"/>
                </w:tcPr>
                <w:p w14:paraId="4C9D53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11</w:t>
                  </w:r>
                  <w:r>
                    <w:rPr>
                      <w:rFonts w:hint="eastAsia" w:cs="Times New Roman"/>
                      <w:color w:val="auto"/>
                      <w:kern w:val="0"/>
                      <w:sz w:val="21"/>
                      <w:szCs w:val="21"/>
                      <w:highlight w:val="none"/>
                      <w:lang w:val="en-US" w:eastAsia="zh-CN" w:bidi="ar"/>
                    </w:rPr>
                    <w:t>7</w:t>
                  </w: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51</w:t>
                  </w: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38.44</w:t>
                  </w:r>
                  <w:r>
                    <w:rPr>
                      <w:rFonts w:hint="default" w:ascii="Times New Roman" w:hAnsi="Times New Roman" w:eastAsia="宋体" w:cs="Times New Roman"/>
                      <w:color w:val="auto"/>
                      <w:kern w:val="0"/>
                      <w:sz w:val="21"/>
                      <w:szCs w:val="21"/>
                      <w:highlight w:val="none"/>
                      <w:lang w:val="en-US" w:eastAsia="zh-CN" w:bidi="ar"/>
                    </w:rPr>
                    <w:t>"</w:t>
                  </w:r>
                </w:p>
                <w:p w14:paraId="5C0C96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w:t>
                  </w:r>
                  <w:r>
                    <w:rPr>
                      <w:rFonts w:hint="eastAsia"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6</w:t>
                  </w: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43.469</w:t>
                  </w:r>
                  <w:r>
                    <w:rPr>
                      <w:rFonts w:hint="default" w:ascii="Times New Roman" w:hAnsi="Times New Roman" w:eastAsia="宋体" w:cs="Times New Roman"/>
                      <w:color w:val="auto"/>
                      <w:kern w:val="0"/>
                      <w:sz w:val="21"/>
                      <w:szCs w:val="21"/>
                      <w:highlight w:val="none"/>
                      <w:lang w:val="en-US" w:eastAsia="zh-CN" w:bidi="ar"/>
                    </w:rPr>
                    <w:t>"</w:t>
                  </w:r>
                </w:p>
              </w:tc>
              <w:tc>
                <w:tcPr>
                  <w:tcW w:w="255" w:type="pct"/>
                  <w:shd w:val="clear" w:color="auto" w:fill="auto"/>
                  <w:noWrap w:val="0"/>
                  <w:vAlign w:val="center"/>
                </w:tcPr>
                <w:p w14:paraId="0401A7C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60</w:t>
                  </w:r>
                </w:p>
              </w:tc>
              <w:tc>
                <w:tcPr>
                  <w:tcW w:w="235" w:type="pct"/>
                  <w:shd w:val="clear" w:color="auto" w:fill="auto"/>
                  <w:noWrap w:val="0"/>
                  <w:vAlign w:val="center"/>
                </w:tcPr>
                <w:p w14:paraId="2ACDF44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51" w:type="pct"/>
                  <w:noWrap w:val="0"/>
                  <w:vAlign w:val="center"/>
                </w:tcPr>
                <w:p w14:paraId="65F4E7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达标</w:t>
                  </w:r>
                </w:p>
              </w:tc>
            </w:tr>
            <w:tr w14:paraId="56CDE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0" w:type="pct"/>
                  <w:vMerge w:val="continue"/>
                  <w:noWrap w:val="0"/>
                  <w:vAlign w:val="center"/>
                </w:tcPr>
                <w:p w14:paraId="50A9AB3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cs="Times New Roman"/>
                      <w:color w:val="auto"/>
                      <w:kern w:val="0"/>
                      <w:sz w:val="21"/>
                      <w:szCs w:val="21"/>
                      <w:highlight w:val="none"/>
                      <w:lang w:bidi="ar"/>
                    </w:rPr>
                  </w:pPr>
                </w:p>
              </w:tc>
              <w:tc>
                <w:tcPr>
                  <w:tcW w:w="228" w:type="pct"/>
                  <w:noWrap w:val="0"/>
                  <w:vAlign w:val="center"/>
                </w:tcPr>
                <w:p w14:paraId="620AC7E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氯乙烯</w:t>
                  </w:r>
                </w:p>
              </w:tc>
              <w:tc>
                <w:tcPr>
                  <w:tcW w:w="265" w:type="pct"/>
                  <w:noWrap w:val="0"/>
                  <w:vAlign w:val="center"/>
                </w:tcPr>
                <w:p w14:paraId="069591DD">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0.375</w:t>
                  </w:r>
                </w:p>
              </w:tc>
              <w:tc>
                <w:tcPr>
                  <w:tcW w:w="281" w:type="pct"/>
                  <w:noWrap w:val="0"/>
                  <w:vAlign w:val="center"/>
                </w:tcPr>
                <w:p w14:paraId="7EAD8954">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0.004</w:t>
                  </w:r>
                </w:p>
              </w:tc>
              <w:tc>
                <w:tcPr>
                  <w:tcW w:w="228" w:type="pct"/>
                  <w:noWrap w:val="0"/>
                  <w:vAlign w:val="center"/>
                </w:tcPr>
                <w:p w14:paraId="5127CFED">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0.0078</w:t>
                  </w:r>
                </w:p>
              </w:tc>
              <w:tc>
                <w:tcPr>
                  <w:tcW w:w="249" w:type="pct"/>
                  <w:vMerge w:val="continue"/>
                  <w:noWrap w:val="0"/>
                  <w:vAlign w:val="center"/>
                </w:tcPr>
                <w:p w14:paraId="5F22A95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cs="Times New Roman"/>
                      <w:color w:val="auto"/>
                      <w:kern w:val="0"/>
                      <w:sz w:val="21"/>
                      <w:szCs w:val="21"/>
                      <w:highlight w:val="none"/>
                      <w:lang w:bidi="ar"/>
                    </w:rPr>
                  </w:pPr>
                </w:p>
              </w:tc>
              <w:tc>
                <w:tcPr>
                  <w:tcW w:w="222" w:type="pct"/>
                  <w:vMerge w:val="continue"/>
                  <w:noWrap w:val="0"/>
                  <w:vAlign w:val="center"/>
                </w:tcPr>
                <w:p w14:paraId="6E440213">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cs="Times New Roman"/>
                      <w:color w:val="auto"/>
                      <w:kern w:val="0"/>
                      <w:sz w:val="21"/>
                      <w:szCs w:val="21"/>
                      <w:highlight w:val="none"/>
                      <w:lang w:bidi="ar"/>
                    </w:rPr>
                  </w:pPr>
                </w:p>
              </w:tc>
              <w:tc>
                <w:tcPr>
                  <w:tcW w:w="196" w:type="pct"/>
                  <w:vMerge w:val="continue"/>
                  <w:noWrap w:val="0"/>
                  <w:vAlign w:val="center"/>
                </w:tcPr>
                <w:p w14:paraId="5B4D1C6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color w:val="auto"/>
                      <w:kern w:val="0"/>
                      <w:sz w:val="21"/>
                      <w:szCs w:val="21"/>
                      <w:highlight w:val="none"/>
                      <w:lang w:val="en-US" w:eastAsia="zh-CN" w:bidi="ar"/>
                    </w:rPr>
                  </w:pPr>
                </w:p>
              </w:tc>
              <w:tc>
                <w:tcPr>
                  <w:tcW w:w="183" w:type="pct"/>
                  <w:noWrap w:val="0"/>
                  <w:vAlign w:val="center"/>
                </w:tcPr>
                <w:p w14:paraId="21DAED9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w:t>
                  </w:r>
                </w:p>
              </w:tc>
              <w:tc>
                <w:tcPr>
                  <w:tcW w:w="192" w:type="pct"/>
                  <w:noWrap w:val="0"/>
                  <w:vAlign w:val="center"/>
                </w:tcPr>
                <w:p w14:paraId="569A03B6">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311" w:type="pct"/>
                  <w:noWrap w:val="0"/>
                  <w:vAlign w:val="center"/>
                </w:tcPr>
                <w:p w14:paraId="775682F9">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0.375</w:t>
                  </w:r>
                </w:p>
              </w:tc>
              <w:tc>
                <w:tcPr>
                  <w:tcW w:w="298" w:type="pct"/>
                  <w:noWrap w:val="0"/>
                  <w:vAlign w:val="center"/>
                </w:tcPr>
                <w:p w14:paraId="6CF36166">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0.004</w:t>
                  </w:r>
                </w:p>
              </w:tc>
              <w:tc>
                <w:tcPr>
                  <w:tcW w:w="239" w:type="pct"/>
                  <w:noWrap w:val="0"/>
                  <w:vAlign w:val="center"/>
                </w:tcPr>
                <w:p w14:paraId="679CFD2F">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0.0078</w:t>
                  </w:r>
                </w:p>
              </w:tc>
              <w:tc>
                <w:tcPr>
                  <w:tcW w:w="233" w:type="pct"/>
                  <w:vMerge w:val="continue"/>
                  <w:noWrap w:val="0"/>
                  <w:vAlign w:val="center"/>
                </w:tcPr>
                <w:p w14:paraId="25DF47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cs="Times New Roman"/>
                      <w:color w:val="auto"/>
                      <w:kern w:val="0"/>
                      <w:sz w:val="21"/>
                      <w:szCs w:val="21"/>
                      <w:highlight w:val="none"/>
                      <w:lang w:val="en-US" w:eastAsia="zh-CN" w:bidi="ar"/>
                    </w:rPr>
                  </w:pPr>
                </w:p>
              </w:tc>
              <w:tc>
                <w:tcPr>
                  <w:tcW w:w="130" w:type="pct"/>
                  <w:vMerge w:val="continue"/>
                  <w:noWrap w:val="0"/>
                  <w:vAlign w:val="center"/>
                </w:tcPr>
                <w:p w14:paraId="44FA27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cs="Times New Roman"/>
                      <w:color w:val="auto"/>
                      <w:sz w:val="21"/>
                      <w:szCs w:val="21"/>
                      <w:highlight w:val="none"/>
                      <w:lang w:val="en-US" w:eastAsia="zh-CN"/>
                    </w:rPr>
                  </w:pPr>
                </w:p>
              </w:tc>
              <w:tc>
                <w:tcPr>
                  <w:tcW w:w="119" w:type="pct"/>
                  <w:vMerge w:val="continue"/>
                  <w:noWrap w:val="0"/>
                  <w:vAlign w:val="center"/>
                </w:tcPr>
                <w:p w14:paraId="770FA5FE">
                  <w:pPr>
                    <w:pStyle w:val="162"/>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i w:val="0"/>
                      <w:color w:val="auto"/>
                      <w:kern w:val="0"/>
                      <w:sz w:val="21"/>
                      <w:szCs w:val="21"/>
                      <w:highlight w:val="none"/>
                      <w:u w:val="none"/>
                      <w:lang w:val="en-US" w:eastAsia="zh-CN" w:bidi="ar"/>
                    </w:rPr>
                  </w:pPr>
                </w:p>
              </w:tc>
              <w:tc>
                <w:tcPr>
                  <w:tcW w:w="118" w:type="pct"/>
                  <w:vMerge w:val="continue"/>
                  <w:noWrap w:val="0"/>
                  <w:vAlign w:val="center"/>
                </w:tcPr>
                <w:p w14:paraId="5F14FC6B">
                  <w:pPr>
                    <w:pStyle w:val="162"/>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i w:val="0"/>
                      <w:color w:val="auto"/>
                      <w:kern w:val="0"/>
                      <w:sz w:val="21"/>
                      <w:szCs w:val="21"/>
                      <w:highlight w:val="none"/>
                      <w:u w:val="none"/>
                      <w:lang w:val="en-US" w:eastAsia="zh-CN" w:bidi="ar"/>
                    </w:rPr>
                  </w:pPr>
                </w:p>
              </w:tc>
              <w:tc>
                <w:tcPr>
                  <w:tcW w:w="158" w:type="pct"/>
                  <w:vMerge w:val="continue"/>
                  <w:noWrap w:val="0"/>
                  <w:vAlign w:val="center"/>
                </w:tcPr>
                <w:p w14:paraId="0975C8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p>
              </w:tc>
              <w:tc>
                <w:tcPr>
                  <w:tcW w:w="489" w:type="pct"/>
                  <w:vMerge w:val="continue"/>
                  <w:noWrap w:val="0"/>
                  <w:vAlign w:val="center"/>
                </w:tcPr>
                <w:p w14:paraId="079EEE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cs="Times New Roman"/>
                      <w:color w:val="auto"/>
                      <w:kern w:val="2"/>
                      <w:sz w:val="21"/>
                      <w:szCs w:val="21"/>
                      <w:highlight w:val="none"/>
                      <w:lang w:val="en-US" w:eastAsia="zh-CN" w:bidi="ar-SA"/>
                    </w:rPr>
                  </w:pPr>
                </w:p>
              </w:tc>
              <w:tc>
                <w:tcPr>
                  <w:tcW w:w="255" w:type="pct"/>
                  <w:shd w:val="clear" w:color="auto" w:fill="auto"/>
                  <w:noWrap w:val="0"/>
                  <w:vAlign w:val="center"/>
                </w:tcPr>
                <w:p w14:paraId="18788AD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w:t>
                  </w:r>
                </w:p>
              </w:tc>
              <w:tc>
                <w:tcPr>
                  <w:tcW w:w="235" w:type="pct"/>
                  <w:shd w:val="clear" w:color="auto" w:fill="auto"/>
                  <w:noWrap w:val="0"/>
                  <w:vAlign w:val="center"/>
                </w:tcPr>
                <w:p w14:paraId="3DE0A8B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0.77</w:t>
                  </w:r>
                </w:p>
              </w:tc>
              <w:tc>
                <w:tcPr>
                  <w:tcW w:w="151" w:type="pct"/>
                  <w:noWrap w:val="0"/>
                  <w:vAlign w:val="center"/>
                </w:tcPr>
                <w:p w14:paraId="1A824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bidi="ar"/>
                    </w:rPr>
                    <w:t>达标</w:t>
                  </w:r>
                </w:p>
              </w:tc>
            </w:tr>
            <w:tr w14:paraId="6651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0" w:type="pct"/>
                  <w:vMerge w:val="continue"/>
                  <w:noWrap w:val="0"/>
                  <w:vAlign w:val="center"/>
                </w:tcPr>
                <w:p w14:paraId="2FCA3B47">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cs="Times New Roman"/>
                      <w:color w:val="auto"/>
                      <w:kern w:val="0"/>
                      <w:sz w:val="21"/>
                      <w:szCs w:val="21"/>
                      <w:highlight w:val="none"/>
                      <w:lang w:bidi="ar"/>
                    </w:rPr>
                  </w:pPr>
                </w:p>
              </w:tc>
              <w:tc>
                <w:tcPr>
                  <w:tcW w:w="228" w:type="pct"/>
                  <w:noWrap w:val="0"/>
                  <w:vAlign w:val="center"/>
                </w:tcPr>
                <w:p w14:paraId="096BC431">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氯化氢</w:t>
                  </w:r>
                </w:p>
              </w:tc>
              <w:tc>
                <w:tcPr>
                  <w:tcW w:w="265" w:type="pct"/>
                  <w:noWrap w:val="0"/>
                  <w:vAlign w:val="center"/>
                </w:tcPr>
                <w:p w14:paraId="7893C78D">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0.308</w:t>
                  </w:r>
                </w:p>
              </w:tc>
              <w:tc>
                <w:tcPr>
                  <w:tcW w:w="281" w:type="pct"/>
                  <w:noWrap w:val="0"/>
                  <w:vAlign w:val="center"/>
                </w:tcPr>
                <w:p w14:paraId="16C36177">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0.003</w:t>
                  </w:r>
                </w:p>
              </w:tc>
              <w:tc>
                <w:tcPr>
                  <w:tcW w:w="228" w:type="pct"/>
                  <w:noWrap w:val="0"/>
                  <w:vAlign w:val="center"/>
                </w:tcPr>
                <w:p w14:paraId="66B6A862">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0.0064</w:t>
                  </w:r>
                </w:p>
              </w:tc>
              <w:tc>
                <w:tcPr>
                  <w:tcW w:w="249" w:type="pct"/>
                  <w:vMerge w:val="continue"/>
                  <w:noWrap w:val="0"/>
                  <w:vAlign w:val="center"/>
                </w:tcPr>
                <w:p w14:paraId="2AEFB58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cs="Times New Roman"/>
                      <w:color w:val="auto"/>
                      <w:kern w:val="0"/>
                      <w:sz w:val="21"/>
                      <w:szCs w:val="21"/>
                      <w:highlight w:val="none"/>
                      <w:lang w:bidi="ar"/>
                    </w:rPr>
                  </w:pPr>
                </w:p>
              </w:tc>
              <w:tc>
                <w:tcPr>
                  <w:tcW w:w="222" w:type="pct"/>
                  <w:vMerge w:val="continue"/>
                  <w:noWrap w:val="0"/>
                  <w:vAlign w:val="center"/>
                </w:tcPr>
                <w:p w14:paraId="1994CF29">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cs="Times New Roman"/>
                      <w:color w:val="auto"/>
                      <w:kern w:val="0"/>
                      <w:sz w:val="21"/>
                      <w:szCs w:val="21"/>
                      <w:highlight w:val="none"/>
                      <w:lang w:bidi="ar"/>
                    </w:rPr>
                  </w:pPr>
                </w:p>
              </w:tc>
              <w:tc>
                <w:tcPr>
                  <w:tcW w:w="196" w:type="pct"/>
                  <w:vMerge w:val="continue"/>
                  <w:noWrap w:val="0"/>
                  <w:vAlign w:val="center"/>
                </w:tcPr>
                <w:p w14:paraId="6624ADAF">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color w:val="auto"/>
                      <w:kern w:val="0"/>
                      <w:sz w:val="21"/>
                      <w:szCs w:val="21"/>
                      <w:highlight w:val="none"/>
                      <w:lang w:val="en-US" w:eastAsia="zh-CN" w:bidi="ar"/>
                    </w:rPr>
                  </w:pPr>
                </w:p>
              </w:tc>
              <w:tc>
                <w:tcPr>
                  <w:tcW w:w="183" w:type="pct"/>
                  <w:noWrap w:val="0"/>
                  <w:vAlign w:val="center"/>
                </w:tcPr>
                <w:p w14:paraId="00BF7997">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w:t>
                  </w:r>
                </w:p>
              </w:tc>
              <w:tc>
                <w:tcPr>
                  <w:tcW w:w="192" w:type="pct"/>
                  <w:noWrap w:val="0"/>
                  <w:vAlign w:val="center"/>
                </w:tcPr>
                <w:p w14:paraId="03D81603">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color w:val="auto"/>
                      <w:sz w:val="21"/>
                      <w:szCs w:val="21"/>
                      <w:highlight w:val="none"/>
                    </w:rPr>
                  </w:pPr>
                  <w:r>
                    <w:rPr>
                      <w:rFonts w:hint="eastAsia" w:cs="Times New Roman"/>
                      <w:color w:val="auto"/>
                      <w:kern w:val="0"/>
                      <w:sz w:val="21"/>
                      <w:szCs w:val="21"/>
                      <w:highlight w:val="none"/>
                      <w:lang w:val="en-US" w:eastAsia="zh-CN" w:bidi="ar"/>
                    </w:rPr>
                    <w:t>/</w:t>
                  </w:r>
                </w:p>
              </w:tc>
              <w:tc>
                <w:tcPr>
                  <w:tcW w:w="311" w:type="pct"/>
                  <w:shd w:val="clear" w:color="auto" w:fill="auto"/>
                  <w:noWrap w:val="0"/>
                  <w:vAlign w:val="center"/>
                </w:tcPr>
                <w:p w14:paraId="5D41351A">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0.308</w:t>
                  </w:r>
                </w:p>
              </w:tc>
              <w:tc>
                <w:tcPr>
                  <w:tcW w:w="298" w:type="pct"/>
                  <w:shd w:val="clear" w:color="auto" w:fill="auto"/>
                  <w:noWrap w:val="0"/>
                  <w:vAlign w:val="center"/>
                </w:tcPr>
                <w:p w14:paraId="082B335D">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0.003</w:t>
                  </w:r>
                </w:p>
              </w:tc>
              <w:tc>
                <w:tcPr>
                  <w:tcW w:w="239" w:type="pct"/>
                  <w:shd w:val="clear" w:color="auto" w:fill="auto"/>
                  <w:noWrap w:val="0"/>
                  <w:vAlign w:val="center"/>
                </w:tcPr>
                <w:p w14:paraId="77A0AA23">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0.0064</w:t>
                  </w:r>
                </w:p>
              </w:tc>
              <w:tc>
                <w:tcPr>
                  <w:tcW w:w="233" w:type="pct"/>
                  <w:vMerge w:val="continue"/>
                  <w:noWrap w:val="0"/>
                  <w:vAlign w:val="center"/>
                </w:tcPr>
                <w:p w14:paraId="2C076B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cs="Times New Roman"/>
                      <w:color w:val="auto"/>
                      <w:kern w:val="0"/>
                      <w:sz w:val="21"/>
                      <w:szCs w:val="21"/>
                      <w:highlight w:val="none"/>
                      <w:lang w:val="en-US" w:eastAsia="zh-CN" w:bidi="ar"/>
                    </w:rPr>
                  </w:pPr>
                </w:p>
              </w:tc>
              <w:tc>
                <w:tcPr>
                  <w:tcW w:w="130" w:type="pct"/>
                  <w:vMerge w:val="continue"/>
                  <w:noWrap w:val="0"/>
                  <w:vAlign w:val="center"/>
                </w:tcPr>
                <w:p w14:paraId="3B3968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cs="Times New Roman"/>
                      <w:color w:val="auto"/>
                      <w:sz w:val="21"/>
                      <w:szCs w:val="21"/>
                      <w:highlight w:val="none"/>
                      <w:lang w:val="en-US" w:eastAsia="zh-CN"/>
                    </w:rPr>
                  </w:pPr>
                </w:p>
              </w:tc>
              <w:tc>
                <w:tcPr>
                  <w:tcW w:w="119" w:type="pct"/>
                  <w:vMerge w:val="continue"/>
                  <w:noWrap w:val="0"/>
                  <w:vAlign w:val="center"/>
                </w:tcPr>
                <w:p w14:paraId="0D72DD95">
                  <w:pPr>
                    <w:pStyle w:val="162"/>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i w:val="0"/>
                      <w:color w:val="auto"/>
                      <w:kern w:val="0"/>
                      <w:sz w:val="21"/>
                      <w:szCs w:val="21"/>
                      <w:highlight w:val="none"/>
                      <w:u w:val="none"/>
                      <w:lang w:val="en-US" w:eastAsia="zh-CN" w:bidi="ar"/>
                    </w:rPr>
                  </w:pPr>
                </w:p>
              </w:tc>
              <w:tc>
                <w:tcPr>
                  <w:tcW w:w="118" w:type="pct"/>
                  <w:vMerge w:val="continue"/>
                  <w:noWrap w:val="0"/>
                  <w:vAlign w:val="center"/>
                </w:tcPr>
                <w:p w14:paraId="1C755C3B">
                  <w:pPr>
                    <w:pStyle w:val="162"/>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i w:val="0"/>
                      <w:color w:val="auto"/>
                      <w:kern w:val="0"/>
                      <w:sz w:val="21"/>
                      <w:szCs w:val="21"/>
                      <w:highlight w:val="none"/>
                      <w:u w:val="none"/>
                      <w:lang w:val="en-US" w:eastAsia="zh-CN" w:bidi="ar"/>
                    </w:rPr>
                  </w:pPr>
                </w:p>
              </w:tc>
              <w:tc>
                <w:tcPr>
                  <w:tcW w:w="158" w:type="pct"/>
                  <w:vMerge w:val="continue"/>
                  <w:noWrap w:val="0"/>
                  <w:vAlign w:val="center"/>
                </w:tcPr>
                <w:p w14:paraId="3E74F7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p>
              </w:tc>
              <w:tc>
                <w:tcPr>
                  <w:tcW w:w="489" w:type="pct"/>
                  <w:vMerge w:val="continue"/>
                  <w:noWrap w:val="0"/>
                  <w:vAlign w:val="center"/>
                </w:tcPr>
                <w:p w14:paraId="5DBAD5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cs="Times New Roman"/>
                      <w:color w:val="auto"/>
                      <w:kern w:val="2"/>
                      <w:sz w:val="21"/>
                      <w:szCs w:val="21"/>
                      <w:highlight w:val="none"/>
                      <w:lang w:val="en-US" w:eastAsia="zh-CN" w:bidi="ar-SA"/>
                    </w:rPr>
                  </w:pPr>
                </w:p>
              </w:tc>
              <w:tc>
                <w:tcPr>
                  <w:tcW w:w="255" w:type="pct"/>
                  <w:shd w:val="clear" w:color="auto" w:fill="auto"/>
                  <w:noWrap w:val="0"/>
                  <w:vAlign w:val="center"/>
                </w:tcPr>
                <w:p w14:paraId="3F87BE56">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235" w:type="pct"/>
                  <w:shd w:val="clear" w:color="auto" w:fill="auto"/>
                  <w:noWrap w:val="0"/>
                  <w:vAlign w:val="center"/>
                </w:tcPr>
                <w:p w14:paraId="15F5DC33">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0.26</w:t>
                  </w:r>
                </w:p>
              </w:tc>
              <w:tc>
                <w:tcPr>
                  <w:tcW w:w="151" w:type="pct"/>
                  <w:noWrap w:val="0"/>
                  <w:vAlign w:val="center"/>
                </w:tcPr>
                <w:p w14:paraId="79EEF6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达标</w:t>
                  </w:r>
                </w:p>
              </w:tc>
            </w:tr>
            <w:tr w14:paraId="44DA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0" w:type="pct"/>
                  <w:shd w:val="clear" w:color="auto" w:fill="auto"/>
                  <w:noWrap w:val="0"/>
                  <w:vAlign w:val="center"/>
                </w:tcPr>
                <w:p w14:paraId="1B482211">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食堂油烟</w:t>
                  </w:r>
                </w:p>
              </w:tc>
              <w:tc>
                <w:tcPr>
                  <w:tcW w:w="228" w:type="pct"/>
                  <w:shd w:val="clear" w:color="auto" w:fill="auto"/>
                  <w:noWrap w:val="0"/>
                  <w:vAlign w:val="center"/>
                </w:tcPr>
                <w:p w14:paraId="142789C0">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油烟</w:t>
                  </w:r>
                </w:p>
              </w:tc>
              <w:tc>
                <w:tcPr>
                  <w:tcW w:w="265" w:type="pct"/>
                  <w:noWrap w:val="0"/>
                  <w:vAlign w:val="center"/>
                </w:tcPr>
                <w:p w14:paraId="5A5794B8">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3.8</w:t>
                  </w:r>
                </w:p>
              </w:tc>
              <w:tc>
                <w:tcPr>
                  <w:tcW w:w="281" w:type="pct"/>
                  <w:noWrap w:val="0"/>
                  <w:vAlign w:val="center"/>
                </w:tcPr>
                <w:p w14:paraId="4CD77C3B">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0.019</w:t>
                  </w:r>
                </w:p>
              </w:tc>
              <w:tc>
                <w:tcPr>
                  <w:tcW w:w="228" w:type="pct"/>
                  <w:shd w:val="clear" w:color="auto" w:fill="auto"/>
                  <w:noWrap w:val="0"/>
                  <w:vAlign w:val="center"/>
                </w:tcPr>
                <w:p w14:paraId="3D5B65C7">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0.01</w:t>
                  </w:r>
                </w:p>
              </w:tc>
              <w:tc>
                <w:tcPr>
                  <w:tcW w:w="249" w:type="pct"/>
                  <w:shd w:val="clear" w:color="auto" w:fill="auto"/>
                  <w:noWrap w:val="0"/>
                  <w:vAlign w:val="center"/>
                </w:tcPr>
                <w:p w14:paraId="005CB80C">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油烟净化器</w:t>
                  </w:r>
                </w:p>
              </w:tc>
              <w:tc>
                <w:tcPr>
                  <w:tcW w:w="222" w:type="pct"/>
                  <w:noWrap w:val="0"/>
                  <w:vAlign w:val="center"/>
                </w:tcPr>
                <w:p w14:paraId="314B717E">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5000</w:t>
                  </w:r>
                </w:p>
              </w:tc>
              <w:tc>
                <w:tcPr>
                  <w:tcW w:w="196" w:type="pct"/>
                  <w:noWrap w:val="0"/>
                  <w:vAlign w:val="center"/>
                </w:tcPr>
                <w:p w14:paraId="683C301A">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183" w:type="pct"/>
                  <w:noWrap w:val="0"/>
                  <w:vAlign w:val="center"/>
                </w:tcPr>
                <w:p w14:paraId="6390B85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60%</w:t>
                  </w:r>
                </w:p>
              </w:tc>
              <w:tc>
                <w:tcPr>
                  <w:tcW w:w="192" w:type="pct"/>
                  <w:shd w:val="clear" w:color="auto" w:fill="auto"/>
                  <w:noWrap w:val="0"/>
                  <w:vAlign w:val="center"/>
                </w:tcPr>
                <w:p w14:paraId="48B031AF">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是</w:t>
                  </w:r>
                </w:p>
              </w:tc>
              <w:tc>
                <w:tcPr>
                  <w:tcW w:w="311" w:type="pct"/>
                  <w:shd w:val="clear" w:color="auto" w:fill="auto"/>
                  <w:noWrap w:val="0"/>
                  <w:vAlign w:val="center"/>
                </w:tcPr>
                <w:p w14:paraId="373F6DCA">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1.54</w:t>
                  </w:r>
                </w:p>
              </w:tc>
              <w:tc>
                <w:tcPr>
                  <w:tcW w:w="298" w:type="pct"/>
                  <w:shd w:val="clear" w:color="auto" w:fill="auto"/>
                  <w:noWrap w:val="0"/>
                  <w:vAlign w:val="center"/>
                </w:tcPr>
                <w:p w14:paraId="38AB2D22">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0.0077</w:t>
                  </w:r>
                </w:p>
              </w:tc>
              <w:tc>
                <w:tcPr>
                  <w:tcW w:w="239" w:type="pct"/>
                  <w:shd w:val="clear" w:color="auto" w:fill="auto"/>
                  <w:noWrap w:val="0"/>
                  <w:vAlign w:val="center"/>
                </w:tcPr>
                <w:p w14:paraId="44B97B7C">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0.004</w:t>
                  </w:r>
                </w:p>
              </w:tc>
              <w:tc>
                <w:tcPr>
                  <w:tcW w:w="233" w:type="pct"/>
                  <w:noWrap w:val="0"/>
                  <w:vAlign w:val="center"/>
                </w:tcPr>
                <w:p w14:paraId="5F3081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烟道</w:t>
                  </w:r>
                </w:p>
              </w:tc>
              <w:tc>
                <w:tcPr>
                  <w:tcW w:w="130" w:type="pct"/>
                  <w:noWrap w:val="0"/>
                  <w:vAlign w:val="center"/>
                </w:tcPr>
                <w:p w14:paraId="58C52D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119" w:type="pct"/>
                  <w:noWrap w:val="0"/>
                  <w:vAlign w:val="center"/>
                </w:tcPr>
                <w:p w14:paraId="037F4B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cs="Times New Roman"/>
                      <w:color w:val="auto"/>
                      <w:kern w:val="0"/>
                      <w:sz w:val="21"/>
                      <w:szCs w:val="21"/>
                      <w:highlight w:val="none"/>
                      <w:lang w:bidi="ar"/>
                    </w:rPr>
                  </w:pPr>
                  <w:r>
                    <w:rPr>
                      <w:rFonts w:hint="eastAsia" w:cs="Times New Roman"/>
                      <w:color w:val="auto"/>
                      <w:kern w:val="0"/>
                      <w:sz w:val="21"/>
                      <w:szCs w:val="21"/>
                      <w:highlight w:val="none"/>
                      <w:lang w:val="en-US" w:eastAsia="zh-CN" w:bidi="ar"/>
                    </w:rPr>
                    <w:t>/</w:t>
                  </w:r>
                </w:p>
              </w:tc>
              <w:tc>
                <w:tcPr>
                  <w:tcW w:w="118" w:type="pct"/>
                  <w:noWrap w:val="0"/>
                  <w:vAlign w:val="center"/>
                </w:tcPr>
                <w:p w14:paraId="221D89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cs="Times New Roman"/>
                      <w:color w:val="auto"/>
                      <w:kern w:val="0"/>
                      <w:sz w:val="21"/>
                      <w:szCs w:val="21"/>
                      <w:highlight w:val="none"/>
                      <w:lang w:bidi="ar"/>
                    </w:rPr>
                  </w:pPr>
                  <w:r>
                    <w:rPr>
                      <w:rFonts w:hint="eastAsia" w:cs="Times New Roman"/>
                      <w:color w:val="auto"/>
                      <w:kern w:val="0"/>
                      <w:sz w:val="21"/>
                      <w:szCs w:val="21"/>
                      <w:highlight w:val="none"/>
                      <w:lang w:val="en-US" w:eastAsia="zh-CN" w:bidi="ar"/>
                    </w:rPr>
                    <w:t>/</w:t>
                  </w:r>
                </w:p>
              </w:tc>
              <w:tc>
                <w:tcPr>
                  <w:tcW w:w="158" w:type="pct"/>
                  <w:noWrap w:val="0"/>
                  <w:vAlign w:val="center"/>
                </w:tcPr>
                <w:p w14:paraId="1F904C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489" w:type="pct"/>
                  <w:noWrap w:val="0"/>
                  <w:vAlign w:val="center"/>
                </w:tcPr>
                <w:p w14:paraId="1BD610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cs="Times New Roman"/>
                      <w:color w:val="auto"/>
                      <w:kern w:val="0"/>
                      <w:sz w:val="21"/>
                      <w:szCs w:val="21"/>
                      <w:highlight w:val="none"/>
                      <w:lang w:bidi="ar"/>
                    </w:rPr>
                  </w:pPr>
                  <w:r>
                    <w:rPr>
                      <w:rFonts w:hint="eastAsia" w:cs="Times New Roman"/>
                      <w:color w:val="auto"/>
                      <w:kern w:val="0"/>
                      <w:sz w:val="21"/>
                      <w:szCs w:val="21"/>
                      <w:highlight w:val="none"/>
                      <w:lang w:val="en-US" w:eastAsia="zh-CN" w:bidi="ar"/>
                    </w:rPr>
                    <w:t>/</w:t>
                  </w:r>
                </w:p>
              </w:tc>
              <w:tc>
                <w:tcPr>
                  <w:tcW w:w="255" w:type="pct"/>
                  <w:shd w:val="clear" w:color="auto" w:fill="auto"/>
                  <w:noWrap w:val="0"/>
                  <w:vAlign w:val="center"/>
                </w:tcPr>
                <w:p w14:paraId="3FB5B5E2">
                  <w:pPr>
                    <w:keepNext w:val="0"/>
                    <w:keepLines w:val="0"/>
                    <w:suppressLineNumbers w:val="0"/>
                    <w:adjustRightInd w:val="0"/>
                    <w:snapToGrid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235" w:type="pct"/>
                  <w:shd w:val="clear" w:color="auto" w:fill="auto"/>
                  <w:noWrap w:val="0"/>
                  <w:vAlign w:val="center"/>
                </w:tcPr>
                <w:p w14:paraId="75E35EC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51" w:type="pct"/>
                  <w:shd w:val="clear" w:color="auto" w:fill="auto"/>
                  <w:noWrap w:val="0"/>
                  <w:vAlign w:val="center"/>
                </w:tcPr>
                <w:p w14:paraId="07983E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center"/>
                    <w:outlineLvl w:val="9"/>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bidi="ar"/>
                    </w:rPr>
                    <w:t>达标</w:t>
                  </w:r>
                </w:p>
              </w:tc>
            </w:tr>
          </w:tbl>
          <w:p w14:paraId="38622BFB">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firstLine="105" w:firstLine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 </w:t>
            </w:r>
            <w:r>
              <w:rPr>
                <w:rFonts w:hint="eastAsia" w:ascii="Times New Roman" w:hAnsi="Times New Roman" w:eastAsia="宋体" w:cs="Times New Roman"/>
                <w:b/>
                <w:bCs/>
                <w:color w:val="auto"/>
                <w:sz w:val="21"/>
                <w:szCs w:val="21"/>
                <w:highlight w:val="none"/>
                <w:lang w:val="en-US" w:eastAsia="zh-CN"/>
              </w:rPr>
              <w:t xml:space="preserve"> 项目无组织废气</w:t>
            </w:r>
            <w:r>
              <w:rPr>
                <w:rFonts w:hint="default" w:ascii="Times New Roman" w:hAnsi="Times New Roman" w:eastAsia="宋体" w:cs="Times New Roman"/>
                <w:b/>
                <w:bCs/>
                <w:color w:val="auto"/>
                <w:sz w:val="21"/>
                <w:szCs w:val="21"/>
                <w:highlight w:val="none"/>
              </w:rPr>
              <w:t>产生及排放情况一览表</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758"/>
              <w:gridCol w:w="754"/>
              <w:gridCol w:w="975"/>
              <w:gridCol w:w="1974"/>
              <w:gridCol w:w="1064"/>
              <w:gridCol w:w="1950"/>
              <w:gridCol w:w="2033"/>
              <w:gridCol w:w="1950"/>
            </w:tblGrid>
            <w:tr w14:paraId="54DF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370" w:type="pct"/>
                  <w:tcBorders>
                    <w:tl2br w:val="nil"/>
                    <w:tr2bl w:val="nil"/>
                  </w:tcBorders>
                  <w:noWrap w:val="0"/>
                  <w:vAlign w:val="center"/>
                </w:tcPr>
                <w:p w14:paraId="367B884C">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outlineLvl w:val="9"/>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i w:val="0"/>
                      <w:color w:val="auto"/>
                      <w:kern w:val="0"/>
                      <w:sz w:val="21"/>
                      <w:szCs w:val="21"/>
                      <w:highlight w:val="none"/>
                      <w:u w:val="none"/>
                      <w:lang w:val="en-US" w:eastAsia="zh-CN" w:bidi="ar"/>
                    </w:rPr>
                    <w:t>污染源</w:t>
                  </w:r>
                </w:p>
              </w:tc>
              <w:tc>
                <w:tcPr>
                  <w:tcW w:w="653" w:type="pct"/>
                  <w:tcBorders>
                    <w:tl2br w:val="nil"/>
                    <w:tr2bl w:val="nil"/>
                  </w:tcBorders>
                  <w:noWrap w:val="0"/>
                  <w:vAlign w:val="center"/>
                </w:tcPr>
                <w:p w14:paraId="4D91AD8D">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outlineLvl w:val="9"/>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污染工序</w:t>
                  </w:r>
                </w:p>
              </w:tc>
              <w:tc>
                <w:tcPr>
                  <w:tcW w:w="280" w:type="pct"/>
                  <w:tcBorders>
                    <w:tl2br w:val="nil"/>
                    <w:tr2bl w:val="nil"/>
                  </w:tcBorders>
                  <w:noWrap w:val="0"/>
                  <w:vAlign w:val="center"/>
                </w:tcPr>
                <w:p w14:paraId="088B233B">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outlineLvl w:val="9"/>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i w:val="0"/>
                      <w:color w:val="auto"/>
                      <w:kern w:val="0"/>
                      <w:sz w:val="21"/>
                      <w:szCs w:val="21"/>
                      <w:highlight w:val="none"/>
                      <w:u w:val="none"/>
                      <w:lang w:val="en-US" w:eastAsia="zh-CN" w:bidi="ar"/>
                    </w:rPr>
                    <w:t>污染物</w:t>
                  </w:r>
                </w:p>
              </w:tc>
              <w:tc>
                <w:tcPr>
                  <w:tcW w:w="362" w:type="pct"/>
                  <w:tcBorders>
                    <w:tl2br w:val="nil"/>
                    <w:tr2bl w:val="nil"/>
                  </w:tcBorders>
                  <w:noWrap w:val="0"/>
                  <w:vAlign w:val="center"/>
                </w:tcPr>
                <w:p w14:paraId="7D089C09">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outlineLvl w:val="9"/>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产生量</w:t>
                  </w:r>
                </w:p>
                <w:p w14:paraId="51C539F3">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outlineLvl w:val="9"/>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（t/a）</w:t>
                  </w:r>
                </w:p>
              </w:tc>
              <w:tc>
                <w:tcPr>
                  <w:tcW w:w="733" w:type="pct"/>
                  <w:tcBorders>
                    <w:tl2br w:val="nil"/>
                    <w:tr2bl w:val="nil"/>
                  </w:tcBorders>
                  <w:noWrap w:val="0"/>
                  <w:vAlign w:val="center"/>
                </w:tcPr>
                <w:p w14:paraId="6EDF7D21">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治理措施</w:t>
                  </w:r>
                </w:p>
              </w:tc>
              <w:tc>
                <w:tcPr>
                  <w:tcW w:w="395" w:type="pct"/>
                  <w:tcBorders>
                    <w:tl2br w:val="nil"/>
                    <w:tr2bl w:val="nil"/>
                  </w:tcBorders>
                  <w:noWrap w:val="0"/>
                  <w:vAlign w:val="center"/>
                </w:tcPr>
                <w:p w14:paraId="7AEF2AAA">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outlineLvl w:val="9"/>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排放量</w:t>
                  </w:r>
                </w:p>
                <w:p w14:paraId="71138252">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outlineLvl w:val="9"/>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i w:val="0"/>
                      <w:color w:val="auto"/>
                      <w:kern w:val="0"/>
                      <w:sz w:val="21"/>
                      <w:szCs w:val="21"/>
                      <w:highlight w:val="none"/>
                      <w:u w:val="none"/>
                      <w:lang w:val="en-US" w:eastAsia="zh-CN" w:bidi="ar"/>
                    </w:rPr>
                    <w:t>（t/a）</w:t>
                  </w:r>
                </w:p>
              </w:tc>
              <w:tc>
                <w:tcPr>
                  <w:tcW w:w="724" w:type="pct"/>
                  <w:tcBorders>
                    <w:tl2br w:val="nil"/>
                    <w:tr2bl w:val="nil"/>
                  </w:tcBorders>
                  <w:noWrap w:val="0"/>
                  <w:vAlign w:val="center"/>
                </w:tcPr>
                <w:p w14:paraId="2AA406BD">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outlineLvl w:val="9"/>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排放速率</w:t>
                  </w:r>
                  <w:r>
                    <w:rPr>
                      <w:rFonts w:hint="default" w:ascii="Times New Roman" w:hAnsi="Times New Roman" w:eastAsia="宋体" w:cs="Times New Roman"/>
                      <w:b/>
                      <w:bCs/>
                      <w:i w:val="0"/>
                      <w:color w:val="auto"/>
                      <w:kern w:val="0"/>
                      <w:sz w:val="21"/>
                      <w:szCs w:val="21"/>
                      <w:highlight w:val="none"/>
                      <w:u w:val="none"/>
                      <w:lang w:val="en-US" w:eastAsia="zh-CN" w:bidi="ar"/>
                    </w:rPr>
                    <w:t>（</w:t>
                  </w:r>
                  <w:r>
                    <w:rPr>
                      <w:rFonts w:hint="default" w:ascii="Times New Roman" w:hAnsi="Times New Roman" w:cs="Times New Roman"/>
                      <w:b/>
                      <w:bCs/>
                      <w:color w:val="auto"/>
                      <w:kern w:val="0"/>
                      <w:sz w:val="21"/>
                      <w:szCs w:val="21"/>
                      <w:highlight w:val="none"/>
                      <w:lang w:val="en-US" w:eastAsia="zh-CN" w:bidi="ar"/>
                    </w:rPr>
                    <w:t>kg/h</w:t>
                  </w:r>
                  <w:r>
                    <w:rPr>
                      <w:rFonts w:hint="default" w:ascii="Times New Roman" w:hAnsi="Times New Roman" w:eastAsia="宋体" w:cs="Times New Roman"/>
                      <w:b/>
                      <w:bCs/>
                      <w:i w:val="0"/>
                      <w:color w:val="auto"/>
                      <w:kern w:val="0"/>
                      <w:sz w:val="21"/>
                      <w:szCs w:val="21"/>
                      <w:highlight w:val="none"/>
                      <w:u w:val="none"/>
                      <w:lang w:val="en-US" w:eastAsia="zh-CN" w:bidi="ar"/>
                    </w:rPr>
                    <w:t>）</w:t>
                  </w:r>
                </w:p>
              </w:tc>
              <w:tc>
                <w:tcPr>
                  <w:tcW w:w="755" w:type="pct"/>
                  <w:tcBorders>
                    <w:tl2br w:val="nil"/>
                    <w:tr2bl w:val="nil"/>
                  </w:tcBorders>
                  <w:noWrap w:val="0"/>
                  <w:vAlign w:val="center"/>
                </w:tcPr>
                <w:p w14:paraId="649836D5">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车间</w:t>
                  </w:r>
                  <w:r>
                    <w:rPr>
                      <w:rFonts w:hint="default" w:ascii="Times New Roman" w:hAnsi="Times New Roman" w:eastAsia="宋体" w:cs="Times New Roman"/>
                      <w:b/>
                      <w:bCs/>
                      <w:i w:val="0"/>
                      <w:color w:val="auto"/>
                      <w:kern w:val="0"/>
                      <w:sz w:val="21"/>
                      <w:szCs w:val="21"/>
                      <w:highlight w:val="none"/>
                      <w:u w:val="none"/>
                      <w:lang w:val="en-US" w:eastAsia="zh-CN" w:bidi="ar"/>
                    </w:rPr>
                    <w:t>面积（m</w:t>
                  </w:r>
                  <w:r>
                    <w:rPr>
                      <w:rFonts w:hint="default" w:ascii="Times New Roman" w:hAnsi="Times New Roman" w:cs="Times New Roman"/>
                      <w:b/>
                      <w:bCs/>
                      <w:i w:val="0"/>
                      <w:color w:val="auto"/>
                      <w:kern w:val="0"/>
                      <w:sz w:val="21"/>
                      <w:szCs w:val="21"/>
                      <w:highlight w:val="none"/>
                      <w:u w:val="none"/>
                      <w:vertAlign w:val="superscript"/>
                      <w:lang w:val="en-US" w:eastAsia="zh-CN" w:bidi="ar"/>
                    </w:rPr>
                    <w:t>2</w:t>
                  </w:r>
                  <w:r>
                    <w:rPr>
                      <w:rFonts w:hint="default" w:ascii="Times New Roman" w:hAnsi="Times New Roman" w:eastAsia="宋体" w:cs="Times New Roman"/>
                      <w:b/>
                      <w:bCs/>
                      <w:i w:val="0"/>
                      <w:color w:val="auto"/>
                      <w:kern w:val="0"/>
                      <w:sz w:val="21"/>
                      <w:szCs w:val="21"/>
                      <w:highlight w:val="none"/>
                      <w:u w:val="none"/>
                      <w:lang w:val="en-US" w:eastAsia="zh-CN" w:bidi="ar"/>
                    </w:rPr>
                    <w:t>）</w:t>
                  </w:r>
                </w:p>
              </w:tc>
              <w:tc>
                <w:tcPr>
                  <w:tcW w:w="724" w:type="pct"/>
                  <w:tcBorders>
                    <w:tl2br w:val="nil"/>
                    <w:tr2bl w:val="nil"/>
                  </w:tcBorders>
                  <w:noWrap w:val="0"/>
                  <w:vAlign w:val="center"/>
                </w:tcPr>
                <w:p w14:paraId="4A33C7F2">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i w:val="0"/>
                      <w:color w:val="auto"/>
                      <w:kern w:val="0"/>
                      <w:sz w:val="21"/>
                      <w:szCs w:val="21"/>
                      <w:highlight w:val="none"/>
                      <w:u w:val="none"/>
                      <w:lang w:val="en-US" w:eastAsia="zh-CN" w:bidi="ar"/>
                    </w:rPr>
                    <w:t>排放源高度（m）</w:t>
                  </w:r>
                </w:p>
              </w:tc>
            </w:tr>
            <w:tr w14:paraId="694E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0" w:type="pct"/>
                  <w:vMerge w:val="restart"/>
                  <w:tcBorders>
                    <w:tl2br w:val="nil"/>
                    <w:tr2bl w:val="nil"/>
                  </w:tcBorders>
                  <w:noWrap w:val="0"/>
                  <w:vAlign w:val="center"/>
                </w:tcPr>
                <w:p w14:paraId="08AE0128">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outlineLvl w:val="9"/>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r>
                    <w:rPr>
                      <w:rFonts w:hint="default" w:ascii="Times New Roman" w:hAnsi="Times New Roman"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厂房</w:t>
                  </w:r>
                </w:p>
              </w:tc>
              <w:tc>
                <w:tcPr>
                  <w:tcW w:w="653" w:type="pct"/>
                  <w:tcBorders>
                    <w:tl2br w:val="nil"/>
                    <w:tr2bl w:val="nil"/>
                  </w:tcBorders>
                  <w:noWrap w:val="0"/>
                  <w:vAlign w:val="center"/>
                </w:tcPr>
                <w:p w14:paraId="6502FAA9">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投料</w:t>
                  </w:r>
                  <w:r>
                    <w:rPr>
                      <w:rFonts w:hint="eastAsia" w:cs="Times New Roman"/>
                      <w:i w:val="0"/>
                      <w:color w:val="auto"/>
                      <w:kern w:val="0"/>
                      <w:sz w:val="21"/>
                      <w:szCs w:val="21"/>
                      <w:highlight w:val="none"/>
                      <w:u w:val="none"/>
                      <w:lang w:val="en-US" w:eastAsia="zh-CN" w:bidi="ar"/>
                    </w:rPr>
                    <w:t>、破碎</w:t>
                  </w:r>
                </w:p>
              </w:tc>
              <w:tc>
                <w:tcPr>
                  <w:tcW w:w="280" w:type="pct"/>
                  <w:tcBorders>
                    <w:tl2br w:val="nil"/>
                    <w:tr2bl w:val="nil"/>
                  </w:tcBorders>
                  <w:noWrap w:val="0"/>
                  <w:vAlign w:val="center"/>
                </w:tcPr>
                <w:p w14:paraId="7245FC9A">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颗粒物</w:t>
                  </w:r>
                </w:p>
              </w:tc>
              <w:tc>
                <w:tcPr>
                  <w:tcW w:w="362" w:type="pct"/>
                  <w:tcBorders>
                    <w:tl2br w:val="nil"/>
                    <w:tr2bl w:val="nil"/>
                  </w:tcBorders>
                  <w:shd w:val="clear" w:color="auto" w:fill="auto"/>
                  <w:noWrap w:val="0"/>
                  <w:vAlign w:val="center"/>
                </w:tcPr>
                <w:p w14:paraId="4C218E63">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0.305</w:t>
                  </w:r>
                </w:p>
              </w:tc>
              <w:tc>
                <w:tcPr>
                  <w:tcW w:w="733" w:type="pct"/>
                  <w:vMerge w:val="restart"/>
                  <w:tcBorders>
                    <w:tl2br w:val="nil"/>
                    <w:tr2bl w:val="nil"/>
                  </w:tcBorders>
                  <w:noWrap w:val="0"/>
                  <w:vAlign w:val="center"/>
                </w:tcPr>
                <w:p w14:paraId="1F54BCF0">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车间通风，无组织排放</w:t>
                  </w:r>
                </w:p>
              </w:tc>
              <w:tc>
                <w:tcPr>
                  <w:tcW w:w="395" w:type="pct"/>
                  <w:tcBorders>
                    <w:tl2br w:val="nil"/>
                    <w:tr2bl w:val="nil"/>
                  </w:tcBorders>
                  <w:shd w:val="clear" w:color="auto" w:fill="auto"/>
                  <w:noWrap w:val="0"/>
                  <w:vAlign w:val="center"/>
                </w:tcPr>
                <w:p w14:paraId="0AEC1D17">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0.305</w:t>
                  </w:r>
                </w:p>
              </w:tc>
              <w:tc>
                <w:tcPr>
                  <w:tcW w:w="724" w:type="pct"/>
                  <w:tcBorders>
                    <w:tl2br w:val="nil"/>
                    <w:tr2bl w:val="nil"/>
                  </w:tcBorders>
                  <w:noWrap w:val="0"/>
                  <w:vAlign w:val="center"/>
                </w:tcPr>
                <w:p w14:paraId="33931E46">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outlineLvl w:val="9"/>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0.147</w:t>
                  </w:r>
                </w:p>
              </w:tc>
              <w:tc>
                <w:tcPr>
                  <w:tcW w:w="755" w:type="pct"/>
                  <w:vMerge w:val="restart"/>
                  <w:tcBorders>
                    <w:tl2br w:val="nil"/>
                    <w:tr2bl w:val="nil"/>
                  </w:tcBorders>
                  <w:noWrap w:val="0"/>
                  <w:vAlign w:val="center"/>
                </w:tcPr>
                <w:p w14:paraId="3D72E758">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1500</w:t>
                  </w:r>
                </w:p>
              </w:tc>
              <w:tc>
                <w:tcPr>
                  <w:tcW w:w="724" w:type="pct"/>
                  <w:vMerge w:val="restart"/>
                  <w:tcBorders>
                    <w:tl2br w:val="nil"/>
                    <w:tr2bl w:val="nil"/>
                  </w:tcBorders>
                  <w:noWrap w:val="0"/>
                  <w:vAlign w:val="center"/>
                </w:tcPr>
                <w:p w14:paraId="2295E249">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4</w:t>
                  </w:r>
                </w:p>
              </w:tc>
            </w:tr>
            <w:tr w14:paraId="413D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0" w:type="pct"/>
                  <w:vMerge w:val="continue"/>
                  <w:tcBorders>
                    <w:tl2br w:val="nil"/>
                    <w:tr2bl w:val="nil"/>
                  </w:tcBorders>
                  <w:noWrap w:val="0"/>
                  <w:vAlign w:val="center"/>
                </w:tcPr>
                <w:p w14:paraId="1C878D6F">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outlineLvl w:val="9"/>
                    <w:rPr>
                      <w:rFonts w:hint="default" w:ascii="Times New Roman" w:hAnsi="Times New Roman" w:cs="Times New Roman"/>
                      <w:color w:val="auto"/>
                      <w:kern w:val="0"/>
                      <w:sz w:val="21"/>
                      <w:szCs w:val="21"/>
                      <w:highlight w:val="none"/>
                      <w:lang w:val="en-US" w:eastAsia="zh-CN" w:bidi="ar"/>
                    </w:rPr>
                  </w:pPr>
                </w:p>
              </w:tc>
              <w:tc>
                <w:tcPr>
                  <w:tcW w:w="653" w:type="pct"/>
                  <w:vMerge w:val="restart"/>
                  <w:tcBorders>
                    <w:tl2br w:val="nil"/>
                    <w:tr2bl w:val="nil"/>
                  </w:tcBorders>
                  <w:noWrap w:val="0"/>
                  <w:vAlign w:val="center"/>
                </w:tcPr>
                <w:p w14:paraId="48CD8D47">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b w:val="0"/>
                      <w:bCs w:val="0"/>
                      <w:i w:val="0"/>
                      <w:color w:val="auto"/>
                      <w:sz w:val="21"/>
                      <w:szCs w:val="21"/>
                      <w:highlight w:val="none"/>
                      <w:u w:val="none"/>
                      <w:lang w:val="en-US" w:eastAsia="zh-CN"/>
                    </w:rPr>
                  </w:pPr>
                  <w:r>
                    <w:rPr>
                      <w:rFonts w:hint="eastAsia" w:cs="Times New Roman"/>
                      <w:color w:val="auto"/>
                      <w:kern w:val="0"/>
                      <w:sz w:val="21"/>
                      <w:szCs w:val="21"/>
                      <w:highlight w:val="none"/>
                      <w:lang w:val="en-US" w:eastAsia="zh-CN"/>
                    </w:rPr>
                    <w:t>注塑、浇注、脱模、清洗枪头</w:t>
                  </w:r>
                </w:p>
              </w:tc>
              <w:tc>
                <w:tcPr>
                  <w:tcW w:w="280" w:type="pct"/>
                  <w:tcBorders>
                    <w:tl2br w:val="nil"/>
                    <w:tr2bl w:val="nil"/>
                  </w:tcBorders>
                  <w:noWrap w:val="0"/>
                  <w:vAlign w:val="center"/>
                </w:tcPr>
                <w:p w14:paraId="25409C6B">
                  <w:pPr>
                    <w:pStyle w:val="277"/>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outlineLvl w:val="9"/>
                    <w:rPr>
                      <w:rFonts w:hint="default" w:ascii="Times New Roman" w:hAnsi="Times New Roman" w:cs="Times New Roman"/>
                      <w:b w:val="0"/>
                      <w:bCs w:val="0"/>
                      <w:i w:val="0"/>
                      <w:color w:val="auto"/>
                      <w:sz w:val="21"/>
                      <w:szCs w:val="21"/>
                      <w:highlight w:val="none"/>
                      <w:u w:val="none"/>
                      <w:lang w:val="en-US" w:eastAsia="zh-CN"/>
                    </w:rPr>
                  </w:pPr>
                  <w:r>
                    <w:rPr>
                      <w:rFonts w:hint="default" w:ascii="Times New Roman" w:hAnsi="Times New Roman" w:cs="Times New Roman"/>
                      <w:color w:val="auto"/>
                      <w:kern w:val="0"/>
                      <w:sz w:val="21"/>
                      <w:szCs w:val="21"/>
                      <w:highlight w:val="none"/>
                      <w:lang w:val="en-US" w:eastAsia="zh-CN" w:bidi="ar"/>
                    </w:rPr>
                    <w:t>非甲烷总烃</w:t>
                  </w:r>
                </w:p>
              </w:tc>
              <w:tc>
                <w:tcPr>
                  <w:tcW w:w="362" w:type="pct"/>
                  <w:tcBorders>
                    <w:tl2br w:val="nil"/>
                    <w:tr2bl w:val="nil"/>
                  </w:tcBorders>
                  <w:shd w:val="clear" w:color="auto" w:fill="auto"/>
                  <w:noWrap w:val="0"/>
                  <w:vAlign w:val="center"/>
                </w:tcPr>
                <w:p w14:paraId="263AF424">
                  <w:pPr>
                    <w:pStyle w:val="277"/>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rPr>
                      <w:rFonts w:hint="default" w:ascii="Times New Roman" w:hAnsi="Times New Roman" w:eastAsia="宋体" w:cs="Times New Roman"/>
                      <w:b w:val="0"/>
                      <w:bCs w:val="0"/>
                      <w:i w:val="0"/>
                      <w:color w:val="auto"/>
                      <w:kern w:val="0"/>
                      <w:sz w:val="21"/>
                      <w:szCs w:val="21"/>
                      <w:highlight w:val="none"/>
                      <w:u w:val="none"/>
                      <w:lang w:val="en-US" w:eastAsia="zh-CN" w:bidi="zh-CN"/>
                    </w:rPr>
                  </w:pPr>
                  <w:r>
                    <w:rPr>
                      <w:rFonts w:hint="eastAsia" w:ascii="Times New Roman" w:hAnsi="Times New Roman" w:cs="Times New Roman"/>
                      <w:b w:val="0"/>
                      <w:bCs w:val="0"/>
                      <w:i w:val="0"/>
                      <w:color w:val="auto"/>
                      <w:kern w:val="0"/>
                      <w:sz w:val="21"/>
                      <w:szCs w:val="21"/>
                      <w:highlight w:val="none"/>
                      <w:u w:val="none"/>
                      <w:lang w:val="en-US" w:eastAsia="zh-CN" w:bidi="zh-CN"/>
                    </w:rPr>
                    <w:t>0.107</w:t>
                  </w:r>
                </w:p>
              </w:tc>
              <w:tc>
                <w:tcPr>
                  <w:tcW w:w="733" w:type="pct"/>
                  <w:vMerge w:val="continue"/>
                  <w:tcBorders>
                    <w:tl2br w:val="nil"/>
                    <w:tr2bl w:val="nil"/>
                  </w:tcBorders>
                  <w:noWrap w:val="0"/>
                  <w:vAlign w:val="center"/>
                </w:tcPr>
                <w:p w14:paraId="0E7E709A">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395" w:type="pct"/>
                  <w:tcBorders>
                    <w:tl2br w:val="nil"/>
                    <w:tr2bl w:val="nil"/>
                  </w:tcBorders>
                  <w:shd w:val="clear" w:color="auto" w:fill="auto"/>
                  <w:noWrap w:val="0"/>
                  <w:vAlign w:val="center"/>
                </w:tcPr>
                <w:p w14:paraId="2E444ECE">
                  <w:pPr>
                    <w:pStyle w:val="277"/>
                    <w:keepNext w:val="0"/>
                    <w:keepLines w:val="0"/>
                    <w:pageBreakBefore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rPr>
                      <w:rFonts w:hint="default" w:ascii="Times New Roman" w:hAnsi="Times New Roman" w:eastAsia="宋体" w:cs="Times New Roman"/>
                      <w:b w:val="0"/>
                      <w:bCs w:val="0"/>
                      <w:i w:val="0"/>
                      <w:color w:val="auto"/>
                      <w:kern w:val="0"/>
                      <w:sz w:val="21"/>
                      <w:szCs w:val="21"/>
                      <w:highlight w:val="none"/>
                      <w:u w:val="none"/>
                      <w:lang w:val="en-US" w:eastAsia="zh-CN" w:bidi="zh-CN"/>
                    </w:rPr>
                  </w:pPr>
                  <w:r>
                    <w:rPr>
                      <w:rFonts w:hint="eastAsia" w:ascii="Times New Roman" w:hAnsi="Times New Roman" w:cs="Times New Roman"/>
                      <w:b w:val="0"/>
                      <w:bCs w:val="0"/>
                      <w:i w:val="0"/>
                      <w:color w:val="auto"/>
                      <w:kern w:val="0"/>
                      <w:sz w:val="21"/>
                      <w:szCs w:val="21"/>
                      <w:highlight w:val="none"/>
                      <w:u w:val="none"/>
                      <w:lang w:val="en-US" w:eastAsia="zh-CN" w:bidi="zh-CN"/>
                    </w:rPr>
                    <w:t>0.107</w:t>
                  </w:r>
                </w:p>
              </w:tc>
              <w:tc>
                <w:tcPr>
                  <w:tcW w:w="724" w:type="pct"/>
                  <w:tcBorders>
                    <w:tl2br w:val="nil"/>
                    <w:tr2bl w:val="nil"/>
                  </w:tcBorders>
                  <w:noWrap w:val="0"/>
                  <w:vAlign w:val="center"/>
                </w:tcPr>
                <w:p w14:paraId="0129DBD1">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outlineLvl w:val="9"/>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0.051</w:t>
                  </w:r>
                </w:p>
              </w:tc>
              <w:tc>
                <w:tcPr>
                  <w:tcW w:w="755" w:type="pct"/>
                  <w:vMerge w:val="continue"/>
                  <w:tcBorders>
                    <w:tl2br w:val="nil"/>
                    <w:tr2bl w:val="nil"/>
                  </w:tcBorders>
                  <w:noWrap w:val="0"/>
                  <w:vAlign w:val="center"/>
                </w:tcPr>
                <w:p w14:paraId="34E6F8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outlineLvl w:val="9"/>
                    <w:rPr>
                      <w:rStyle w:val="342"/>
                      <w:rFonts w:hint="default" w:ascii="Times New Roman" w:hAnsi="Times New Roman" w:cs="Times New Roman"/>
                      <w:b w:val="0"/>
                      <w:bCs w:val="0"/>
                      <w:color w:val="auto"/>
                      <w:sz w:val="21"/>
                      <w:szCs w:val="21"/>
                      <w:highlight w:val="none"/>
                      <w:vertAlign w:val="baseline"/>
                      <w:lang w:val="en-US" w:eastAsia="zh-CN" w:bidi="ar"/>
                    </w:rPr>
                  </w:pPr>
                </w:p>
              </w:tc>
              <w:tc>
                <w:tcPr>
                  <w:tcW w:w="724" w:type="pct"/>
                  <w:vMerge w:val="continue"/>
                  <w:tcBorders>
                    <w:tl2br w:val="nil"/>
                    <w:tr2bl w:val="nil"/>
                  </w:tcBorders>
                  <w:noWrap w:val="0"/>
                  <w:vAlign w:val="center"/>
                </w:tcPr>
                <w:p w14:paraId="75F829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outlineLvl w:val="9"/>
                    <w:rPr>
                      <w:rStyle w:val="342"/>
                      <w:rFonts w:hint="default" w:ascii="Times New Roman" w:hAnsi="Times New Roman" w:cs="Times New Roman"/>
                      <w:b w:val="0"/>
                      <w:bCs w:val="0"/>
                      <w:color w:val="auto"/>
                      <w:sz w:val="21"/>
                      <w:szCs w:val="21"/>
                      <w:highlight w:val="none"/>
                      <w:vertAlign w:val="baseline"/>
                      <w:lang w:val="en-US" w:eastAsia="zh-CN" w:bidi="ar"/>
                    </w:rPr>
                  </w:pPr>
                </w:p>
              </w:tc>
            </w:tr>
            <w:tr w14:paraId="7A27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70" w:type="pct"/>
                  <w:vMerge w:val="continue"/>
                  <w:tcBorders>
                    <w:tl2br w:val="nil"/>
                    <w:tr2bl w:val="nil"/>
                  </w:tcBorders>
                  <w:noWrap w:val="0"/>
                  <w:vAlign w:val="center"/>
                </w:tcPr>
                <w:p w14:paraId="515E1407">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outlineLvl w:val="9"/>
                    <w:rPr>
                      <w:rFonts w:hint="default" w:ascii="Times New Roman" w:hAnsi="Times New Roman" w:cs="Times New Roman"/>
                      <w:color w:val="auto"/>
                      <w:kern w:val="0"/>
                      <w:sz w:val="21"/>
                      <w:szCs w:val="21"/>
                      <w:highlight w:val="none"/>
                      <w:lang w:val="en-US" w:eastAsia="zh-CN" w:bidi="ar"/>
                    </w:rPr>
                  </w:pPr>
                </w:p>
              </w:tc>
              <w:tc>
                <w:tcPr>
                  <w:tcW w:w="653" w:type="pct"/>
                  <w:vMerge w:val="continue"/>
                  <w:tcBorders>
                    <w:tl2br w:val="nil"/>
                    <w:tr2bl w:val="nil"/>
                  </w:tcBorders>
                  <w:noWrap w:val="0"/>
                  <w:vAlign w:val="center"/>
                </w:tcPr>
                <w:p w14:paraId="6A34ADBD">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outlineLvl w:val="9"/>
                    <w:rPr>
                      <w:rFonts w:hint="default" w:ascii="Times New Roman" w:hAnsi="Times New Roman" w:eastAsia="宋体" w:cs="Times New Roman"/>
                      <w:b w:val="0"/>
                      <w:bCs w:val="0"/>
                      <w:i w:val="0"/>
                      <w:color w:val="auto"/>
                      <w:sz w:val="21"/>
                      <w:szCs w:val="21"/>
                      <w:highlight w:val="none"/>
                      <w:u w:val="none"/>
                      <w:lang w:val="en-US" w:eastAsia="zh-CN"/>
                    </w:rPr>
                  </w:pPr>
                </w:p>
              </w:tc>
              <w:tc>
                <w:tcPr>
                  <w:tcW w:w="280" w:type="pct"/>
                  <w:tcBorders>
                    <w:tl2br w:val="nil"/>
                    <w:tr2bl w:val="nil"/>
                  </w:tcBorders>
                  <w:shd w:val="clear" w:color="auto" w:fill="auto"/>
                  <w:noWrap w:val="0"/>
                  <w:vAlign w:val="center"/>
                </w:tcPr>
                <w:p w14:paraId="0502EA7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氯乙烯</w:t>
                  </w:r>
                </w:p>
              </w:tc>
              <w:tc>
                <w:tcPr>
                  <w:tcW w:w="362" w:type="pct"/>
                  <w:tcBorders>
                    <w:tl2br w:val="nil"/>
                    <w:tr2bl w:val="nil"/>
                  </w:tcBorders>
                  <w:shd w:val="clear" w:color="auto" w:fill="auto"/>
                  <w:noWrap w:val="0"/>
                  <w:vAlign w:val="center"/>
                </w:tcPr>
                <w:p w14:paraId="1BEB2439">
                  <w:pPr>
                    <w:pStyle w:val="33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i w:val="0"/>
                      <w:color w:val="auto"/>
                      <w:kern w:val="0"/>
                      <w:sz w:val="21"/>
                      <w:szCs w:val="21"/>
                      <w:highlight w:val="none"/>
                      <w:u w:val="none"/>
                      <w:lang w:val="en-US" w:eastAsia="zh-CN" w:bidi="zh-CN"/>
                    </w:rPr>
                  </w:pPr>
                  <w:r>
                    <w:rPr>
                      <w:rFonts w:hint="eastAsia" w:cs="Times New Roman"/>
                      <w:b w:val="0"/>
                      <w:bCs w:val="0"/>
                      <w:i w:val="0"/>
                      <w:color w:val="auto"/>
                      <w:kern w:val="0"/>
                      <w:sz w:val="21"/>
                      <w:szCs w:val="21"/>
                      <w:highlight w:val="none"/>
                      <w:u w:val="none"/>
                      <w:lang w:val="en-US" w:eastAsia="zh-CN" w:bidi="zh-CN"/>
                    </w:rPr>
                    <w:t>0.0009</w:t>
                  </w:r>
                </w:p>
              </w:tc>
              <w:tc>
                <w:tcPr>
                  <w:tcW w:w="733" w:type="pct"/>
                  <w:vMerge w:val="continue"/>
                  <w:tcBorders>
                    <w:tl2br w:val="nil"/>
                    <w:tr2bl w:val="nil"/>
                  </w:tcBorders>
                  <w:noWrap w:val="0"/>
                  <w:vAlign w:val="center"/>
                </w:tcPr>
                <w:p w14:paraId="07FB8F62">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395" w:type="pct"/>
                  <w:tcBorders>
                    <w:tl2br w:val="nil"/>
                    <w:tr2bl w:val="nil"/>
                  </w:tcBorders>
                  <w:shd w:val="clear" w:color="auto" w:fill="auto"/>
                  <w:noWrap w:val="0"/>
                  <w:vAlign w:val="center"/>
                </w:tcPr>
                <w:p w14:paraId="571CFE9F">
                  <w:pPr>
                    <w:pStyle w:val="33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i w:val="0"/>
                      <w:color w:val="auto"/>
                      <w:kern w:val="0"/>
                      <w:sz w:val="21"/>
                      <w:szCs w:val="21"/>
                      <w:highlight w:val="none"/>
                      <w:u w:val="none"/>
                      <w:lang w:val="en-US" w:eastAsia="zh-CN" w:bidi="zh-CN"/>
                    </w:rPr>
                  </w:pPr>
                  <w:r>
                    <w:rPr>
                      <w:rFonts w:hint="eastAsia" w:cs="Times New Roman"/>
                      <w:b w:val="0"/>
                      <w:bCs w:val="0"/>
                      <w:i w:val="0"/>
                      <w:color w:val="auto"/>
                      <w:kern w:val="0"/>
                      <w:sz w:val="21"/>
                      <w:szCs w:val="21"/>
                      <w:highlight w:val="none"/>
                      <w:u w:val="none"/>
                      <w:lang w:val="en-US" w:eastAsia="zh-CN" w:bidi="zh-CN"/>
                    </w:rPr>
                    <w:t>0.0009</w:t>
                  </w:r>
                </w:p>
              </w:tc>
              <w:tc>
                <w:tcPr>
                  <w:tcW w:w="724" w:type="pct"/>
                  <w:tcBorders>
                    <w:tl2br w:val="nil"/>
                    <w:tr2bl w:val="nil"/>
                  </w:tcBorders>
                  <w:shd w:val="clear" w:color="auto" w:fill="auto"/>
                  <w:noWrap w:val="0"/>
                  <w:vAlign w:val="center"/>
                </w:tcPr>
                <w:p w14:paraId="18901F30">
                  <w:pPr>
                    <w:pStyle w:val="33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i w:val="0"/>
                      <w:color w:val="auto"/>
                      <w:kern w:val="0"/>
                      <w:sz w:val="21"/>
                      <w:szCs w:val="21"/>
                      <w:highlight w:val="none"/>
                      <w:u w:val="none"/>
                      <w:lang w:val="en-US" w:eastAsia="zh-CN" w:bidi="zh-CN"/>
                    </w:rPr>
                  </w:pPr>
                  <w:r>
                    <w:rPr>
                      <w:rFonts w:hint="eastAsia" w:cs="Times New Roman"/>
                      <w:b w:val="0"/>
                      <w:bCs w:val="0"/>
                      <w:i w:val="0"/>
                      <w:color w:val="auto"/>
                      <w:kern w:val="0"/>
                      <w:sz w:val="21"/>
                      <w:szCs w:val="21"/>
                      <w:highlight w:val="none"/>
                      <w:u w:val="none"/>
                      <w:lang w:val="en-US" w:eastAsia="zh-CN" w:bidi="zh-CN"/>
                    </w:rPr>
                    <w:t>0.0004</w:t>
                  </w:r>
                </w:p>
              </w:tc>
              <w:tc>
                <w:tcPr>
                  <w:tcW w:w="755" w:type="pct"/>
                  <w:vMerge w:val="continue"/>
                  <w:tcBorders>
                    <w:tl2br w:val="nil"/>
                    <w:tr2bl w:val="nil"/>
                  </w:tcBorders>
                  <w:noWrap w:val="0"/>
                  <w:vAlign w:val="center"/>
                </w:tcPr>
                <w:p w14:paraId="0203A8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outlineLvl w:val="9"/>
                    <w:rPr>
                      <w:rStyle w:val="342"/>
                      <w:rFonts w:hint="default" w:ascii="Times New Roman" w:hAnsi="Times New Roman" w:cs="Times New Roman"/>
                      <w:b w:val="0"/>
                      <w:bCs w:val="0"/>
                      <w:color w:val="auto"/>
                      <w:sz w:val="21"/>
                      <w:szCs w:val="21"/>
                      <w:highlight w:val="none"/>
                      <w:vertAlign w:val="baseline"/>
                      <w:lang w:val="en-US" w:eastAsia="zh-CN" w:bidi="ar"/>
                    </w:rPr>
                  </w:pPr>
                </w:p>
              </w:tc>
              <w:tc>
                <w:tcPr>
                  <w:tcW w:w="724" w:type="pct"/>
                  <w:vMerge w:val="continue"/>
                  <w:tcBorders>
                    <w:tl2br w:val="nil"/>
                    <w:tr2bl w:val="nil"/>
                  </w:tcBorders>
                  <w:noWrap w:val="0"/>
                  <w:vAlign w:val="center"/>
                </w:tcPr>
                <w:p w14:paraId="5C913A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outlineLvl w:val="9"/>
                    <w:rPr>
                      <w:rStyle w:val="342"/>
                      <w:rFonts w:hint="default" w:ascii="Times New Roman" w:hAnsi="Times New Roman" w:cs="Times New Roman"/>
                      <w:b w:val="0"/>
                      <w:bCs w:val="0"/>
                      <w:color w:val="auto"/>
                      <w:sz w:val="21"/>
                      <w:szCs w:val="21"/>
                      <w:highlight w:val="none"/>
                      <w:vertAlign w:val="baseline"/>
                      <w:lang w:val="en-US" w:eastAsia="zh-CN" w:bidi="ar"/>
                    </w:rPr>
                  </w:pPr>
                </w:p>
              </w:tc>
            </w:tr>
            <w:tr w14:paraId="3B76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0" w:type="pct"/>
                  <w:vMerge w:val="continue"/>
                  <w:tcBorders>
                    <w:tl2br w:val="nil"/>
                    <w:tr2bl w:val="nil"/>
                  </w:tcBorders>
                  <w:noWrap w:val="0"/>
                  <w:vAlign w:val="center"/>
                </w:tcPr>
                <w:p w14:paraId="6561D476">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outlineLvl w:val="9"/>
                    <w:rPr>
                      <w:rFonts w:hint="default" w:ascii="Times New Roman" w:hAnsi="Times New Roman" w:cs="Times New Roman"/>
                      <w:color w:val="auto"/>
                      <w:kern w:val="0"/>
                      <w:sz w:val="21"/>
                      <w:szCs w:val="21"/>
                      <w:highlight w:val="none"/>
                      <w:lang w:val="en-US" w:eastAsia="zh-CN" w:bidi="ar"/>
                    </w:rPr>
                  </w:pPr>
                </w:p>
              </w:tc>
              <w:tc>
                <w:tcPr>
                  <w:tcW w:w="653" w:type="pct"/>
                  <w:vMerge w:val="continue"/>
                  <w:tcBorders>
                    <w:tl2br w:val="nil"/>
                    <w:tr2bl w:val="nil"/>
                  </w:tcBorders>
                  <w:noWrap w:val="0"/>
                  <w:vAlign w:val="center"/>
                </w:tcPr>
                <w:p w14:paraId="631E8C31">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outlineLvl w:val="9"/>
                    <w:rPr>
                      <w:rFonts w:hint="default" w:ascii="Times New Roman" w:hAnsi="Times New Roman" w:eastAsia="宋体" w:cs="Times New Roman"/>
                      <w:b w:val="0"/>
                      <w:bCs w:val="0"/>
                      <w:i w:val="0"/>
                      <w:color w:val="auto"/>
                      <w:sz w:val="21"/>
                      <w:szCs w:val="21"/>
                      <w:highlight w:val="none"/>
                      <w:u w:val="none"/>
                      <w:lang w:val="en-US" w:eastAsia="zh-CN"/>
                    </w:rPr>
                  </w:pPr>
                </w:p>
              </w:tc>
              <w:tc>
                <w:tcPr>
                  <w:tcW w:w="280" w:type="pct"/>
                  <w:tcBorders>
                    <w:tl2br w:val="nil"/>
                    <w:tr2bl w:val="nil"/>
                  </w:tcBorders>
                  <w:shd w:val="clear" w:color="auto" w:fill="auto"/>
                  <w:noWrap w:val="0"/>
                  <w:vAlign w:val="center"/>
                </w:tcPr>
                <w:p w14:paraId="7152DCF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氯化氢</w:t>
                  </w:r>
                </w:p>
              </w:tc>
              <w:tc>
                <w:tcPr>
                  <w:tcW w:w="362" w:type="pct"/>
                  <w:tcBorders>
                    <w:tl2br w:val="nil"/>
                    <w:tr2bl w:val="nil"/>
                  </w:tcBorders>
                  <w:shd w:val="clear" w:color="auto" w:fill="auto"/>
                  <w:noWrap w:val="0"/>
                  <w:vAlign w:val="center"/>
                </w:tcPr>
                <w:p w14:paraId="6E3D4A74">
                  <w:pPr>
                    <w:pStyle w:val="336"/>
                    <w:keepNext w:val="0"/>
                    <w:keepLines w:val="0"/>
                    <w:suppressLineNumbers w:val="0"/>
                    <w:spacing w:before="0" w:beforeAutospacing="0" w:after="0" w:afterAutospacing="0"/>
                    <w:ind w:left="0" w:leftChars="0" w:right="0" w:rightChars="0" w:firstLine="0" w:firstLineChars="0"/>
                    <w:jc w:val="center"/>
                    <w:rPr>
                      <w:rFonts w:hint="default" w:cs="Times New Roman"/>
                      <w:b w:val="0"/>
                      <w:bCs w:val="0"/>
                      <w:i w:val="0"/>
                      <w:color w:val="auto"/>
                      <w:kern w:val="0"/>
                      <w:sz w:val="21"/>
                      <w:szCs w:val="21"/>
                      <w:highlight w:val="none"/>
                      <w:u w:val="none"/>
                      <w:lang w:val="en-US" w:eastAsia="zh-CN" w:bidi="zh-CN"/>
                    </w:rPr>
                  </w:pPr>
                  <w:r>
                    <w:rPr>
                      <w:rFonts w:hint="eastAsia" w:cs="Times New Roman"/>
                      <w:b w:val="0"/>
                      <w:bCs w:val="0"/>
                      <w:i w:val="0"/>
                      <w:color w:val="auto"/>
                      <w:kern w:val="0"/>
                      <w:sz w:val="21"/>
                      <w:szCs w:val="21"/>
                      <w:highlight w:val="none"/>
                      <w:u w:val="none"/>
                      <w:lang w:val="en-US" w:eastAsia="zh-CN" w:bidi="zh-CN"/>
                    </w:rPr>
                    <w:t>0.0007</w:t>
                  </w:r>
                </w:p>
              </w:tc>
              <w:tc>
                <w:tcPr>
                  <w:tcW w:w="733" w:type="pct"/>
                  <w:vMerge w:val="continue"/>
                  <w:tcBorders>
                    <w:tl2br w:val="nil"/>
                    <w:tr2bl w:val="nil"/>
                  </w:tcBorders>
                  <w:noWrap w:val="0"/>
                  <w:vAlign w:val="center"/>
                </w:tcPr>
                <w:p w14:paraId="4B88EF20">
                  <w:pPr>
                    <w:keepNext w:val="0"/>
                    <w:keepLines w:val="0"/>
                    <w:pageBreakBefore w:val="0"/>
                    <w:widowControl/>
                    <w:suppressLineNumbers w:val="0"/>
                    <w:kinsoku/>
                    <w:wordWrap/>
                    <w:overflowPunct/>
                    <w:topLinePunct w:val="0"/>
                    <w:bidi w:val="0"/>
                    <w:adjustRightInd/>
                    <w:snapToGrid/>
                    <w:spacing w:before="0" w:beforeAutospacing="0" w:after="0" w:afterAutospacing="0"/>
                    <w:ind w:left="-105" w:leftChars="-50" w:right="-105" w:rightChars="-5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395" w:type="pct"/>
                  <w:tcBorders>
                    <w:tl2br w:val="nil"/>
                    <w:tr2bl w:val="nil"/>
                  </w:tcBorders>
                  <w:shd w:val="clear" w:color="auto" w:fill="auto"/>
                  <w:noWrap w:val="0"/>
                  <w:vAlign w:val="center"/>
                </w:tcPr>
                <w:p w14:paraId="640FF593">
                  <w:pPr>
                    <w:pStyle w:val="336"/>
                    <w:keepNext w:val="0"/>
                    <w:keepLines w:val="0"/>
                    <w:suppressLineNumbers w:val="0"/>
                    <w:spacing w:before="0" w:beforeAutospacing="0" w:after="0" w:afterAutospacing="0"/>
                    <w:ind w:left="0" w:leftChars="0" w:right="0" w:rightChars="0" w:firstLine="0" w:firstLineChars="0"/>
                    <w:jc w:val="center"/>
                    <w:rPr>
                      <w:rFonts w:hint="eastAsia" w:cs="Times New Roman"/>
                      <w:b w:val="0"/>
                      <w:bCs w:val="0"/>
                      <w:i w:val="0"/>
                      <w:color w:val="auto"/>
                      <w:kern w:val="0"/>
                      <w:sz w:val="21"/>
                      <w:szCs w:val="21"/>
                      <w:highlight w:val="none"/>
                      <w:u w:val="none"/>
                      <w:lang w:val="en-US" w:eastAsia="zh-CN" w:bidi="zh-CN"/>
                    </w:rPr>
                  </w:pPr>
                  <w:r>
                    <w:rPr>
                      <w:rFonts w:hint="eastAsia" w:cs="Times New Roman"/>
                      <w:b w:val="0"/>
                      <w:bCs w:val="0"/>
                      <w:i w:val="0"/>
                      <w:color w:val="auto"/>
                      <w:kern w:val="0"/>
                      <w:sz w:val="21"/>
                      <w:szCs w:val="21"/>
                      <w:highlight w:val="none"/>
                      <w:u w:val="none"/>
                      <w:lang w:val="en-US" w:eastAsia="zh-CN" w:bidi="zh-CN"/>
                    </w:rPr>
                    <w:t>0.0007</w:t>
                  </w:r>
                </w:p>
              </w:tc>
              <w:tc>
                <w:tcPr>
                  <w:tcW w:w="724" w:type="pct"/>
                  <w:tcBorders>
                    <w:tl2br w:val="nil"/>
                    <w:tr2bl w:val="nil"/>
                  </w:tcBorders>
                  <w:shd w:val="clear" w:color="auto" w:fill="auto"/>
                  <w:noWrap w:val="0"/>
                  <w:vAlign w:val="center"/>
                </w:tcPr>
                <w:p w14:paraId="47EF5B0F">
                  <w:pPr>
                    <w:pStyle w:val="336"/>
                    <w:keepNext w:val="0"/>
                    <w:keepLines w:val="0"/>
                    <w:suppressLineNumbers w:val="0"/>
                    <w:spacing w:before="0" w:beforeAutospacing="0" w:after="0" w:afterAutospacing="0"/>
                    <w:ind w:left="0" w:leftChars="0" w:right="0" w:rightChars="0" w:firstLine="0" w:firstLineChars="0"/>
                    <w:jc w:val="center"/>
                    <w:rPr>
                      <w:rFonts w:hint="default" w:cs="Times New Roman"/>
                      <w:b w:val="0"/>
                      <w:bCs w:val="0"/>
                      <w:i w:val="0"/>
                      <w:color w:val="auto"/>
                      <w:kern w:val="0"/>
                      <w:sz w:val="21"/>
                      <w:szCs w:val="21"/>
                      <w:highlight w:val="none"/>
                      <w:u w:val="none"/>
                      <w:lang w:val="en-US" w:eastAsia="zh-CN" w:bidi="zh-CN"/>
                    </w:rPr>
                  </w:pPr>
                  <w:r>
                    <w:rPr>
                      <w:rFonts w:hint="eastAsia" w:cs="Times New Roman"/>
                      <w:b w:val="0"/>
                      <w:bCs w:val="0"/>
                      <w:i w:val="0"/>
                      <w:color w:val="auto"/>
                      <w:kern w:val="0"/>
                      <w:sz w:val="21"/>
                      <w:szCs w:val="21"/>
                      <w:highlight w:val="none"/>
                      <w:u w:val="none"/>
                      <w:lang w:val="en-US" w:eastAsia="zh-CN" w:bidi="zh-CN"/>
                    </w:rPr>
                    <w:t>0.0003</w:t>
                  </w:r>
                </w:p>
              </w:tc>
              <w:tc>
                <w:tcPr>
                  <w:tcW w:w="755" w:type="pct"/>
                  <w:vMerge w:val="continue"/>
                  <w:tcBorders>
                    <w:tl2br w:val="nil"/>
                    <w:tr2bl w:val="nil"/>
                  </w:tcBorders>
                  <w:noWrap w:val="0"/>
                  <w:vAlign w:val="center"/>
                </w:tcPr>
                <w:p w14:paraId="77C614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outlineLvl w:val="9"/>
                    <w:rPr>
                      <w:rStyle w:val="342"/>
                      <w:rFonts w:hint="default" w:ascii="Times New Roman" w:hAnsi="Times New Roman" w:cs="Times New Roman"/>
                      <w:b w:val="0"/>
                      <w:bCs w:val="0"/>
                      <w:color w:val="auto"/>
                      <w:sz w:val="21"/>
                      <w:szCs w:val="21"/>
                      <w:highlight w:val="none"/>
                      <w:vertAlign w:val="baseline"/>
                      <w:lang w:val="en-US" w:eastAsia="zh-CN" w:bidi="ar"/>
                    </w:rPr>
                  </w:pPr>
                </w:p>
              </w:tc>
              <w:tc>
                <w:tcPr>
                  <w:tcW w:w="724" w:type="pct"/>
                  <w:vMerge w:val="continue"/>
                  <w:tcBorders>
                    <w:tl2br w:val="nil"/>
                    <w:tr2bl w:val="nil"/>
                  </w:tcBorders>
                  <w:noWrap w:val="0"/>
                  <w:vAlign w:val="center"/>
                </w:tcPr>
                <w:p w14:paraId="345B89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center"/>
                    <w:outlineLvl w:val="9"/>
                    <w:rPr>
                      <w:rStyle w:val="342"/>
                      <w:rFonts w:hint="default" w:ascii="Times New Roman" w:hAnsi="Times New Roman" w:cs="Times New Roman"/>
                      <w:b w:val="0"/>
                      <w:bCs w:val="0"/>
                      <w:color w:val="auto"/>
                      <w:sz w:val="21"/>
                      <w:szCs w:val="21"/>
                      <w:highlight w:val="none"/>
                      <w:vertAlign w:val="baseline"/>
                      <w:lang w:val="en-US" w:eastAsia="zh-CN" w:bidi="ar"/>
                    </w:rPr>
                  </w:pPr>
                </w:p>
              </w:tc>
            </w:tr>
          </w:tbl>
          <w:p w14:paraId="525EB189">
            <w:pPr>
              <w:pStyle w:val="345"/>
              <w:keepNext w:val="0"/>
              <w:keepLines w:val="0"/>
              <w:suppressLineNumbers w:val="0"/>
              <w:spacing w:beforeAutospacing="0" w:afterAutospacing="0"/>
              <w:ind w:left="0" w:right="0"/>
              <w:rPr>
                <w:rFonts w:hint="eastAsia"/>
                <w:color w:val="auto"/>
                <w:kern w:val="2"/>
                <w:highlight w:val="none"/>
              </w:rPr>
            </w:pPr>
          </w:p>
        </w:tc>
      </w:tr>
    </w:tbl>
    <w:p w14:paraId="21204B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sectPr>
          <w:pgSz w:w="16838" w:h="11906" w:orient="landscape"/>
          <w:pgMar w:top="1531" w:right="1417" w:bottom="1417" w:left="1417"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tbl>
      <w:tblPr>
        <w:tblStyle w:val="39"/>
        <w:tblW w:w="963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8"/>
        <w:gridCol w:w="9307"/>
      </w:tblGrid>
      <w:tr w14:paraId="1511D6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31" w:hRule="atLeast"/>
          <w:jc w:val="center"/>
        </w:trPr>
        <w:tc>
          <w:tcPr>
            <w:tcW w:w="341" w:type="dxa"/>
            <w:noWrap w:val="0"/>
            <w:tcMar>
              <w:left w:w="28" w:type="dxa"/>
              <w:right w:w="28" w:type="dxa"/>
            </w:tcMar>
            <w:vAlign w:val="center"/>
          </w:tcPr>
          <w:p w14:paraId="255C82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14:paraId="4DCBD3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14:paraId="7BCB65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14:paraId="6D33E4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14:paraId="39E77A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14:paraId="2F9F69B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9294" w:type="dxa"/>
            <w:noWrap w:val="0"/>
            <w:vAlign w:val="center"/>
          </w:tcPr>
          <w:p w14:paraId="16AD1CCE">
            <w:pPr>
              <w:pStyle w:val="203"/>
              <w:keepNext w:val="0"/>
              <w:keepLines w:val="0"/>
              <w:pageBreakBefore w:val="0"/>
              <w:widowControl w:val="0"/>
              <w:suppressLineNumbers w:val="0"/>
              <w:tabs>
                <w:tab w:val="left" w:pos="1061"/>
              </w:tabs>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default" w:cs="Times New Roman"/>
                <w:b/>
                <w:bCs/>
                <w:color w:val="auto"/>
                <w:sz w:val="24"/>
                <w:szCs w:val="24"/>
                <w:highlight w:val="none"/>
                <w:lang w:val="en-US" w:eastAsia="zh-CN"/>
              </w:rPr>
            </w:pPr>
            <w:bookmarkStart w:id="12" w:name="_Hlk531261279"/>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sz w:val="24"/>
                <w:szCs w:val="24"/>
                <w:highlight w:val="none"/>
                <w:lang w:val="en-US" w:eastAsia="zh-CN"/>
              </w:rPr>
              <w:t>投料粉尘G1-1</w:t>
            </w:r>
          </w:p>
          <w:p w14:paraId="6D9214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粉料PVC树脂粉、碳酸钙均为袋装，人工开袋投入</w:t>
            </w:r>
            <w:r>
              <w:rPr>
                <w:rFonts w:hint="eastAsia" w:cs="Times New Roman"/>
                <w:b w:val="0"/>
                <w:bCs w:val="0"/>
                <w:color w:val="auto"/>
                <w:sz w:val="24"/>
                <w:szCs w:val="24"/>
                <w:highlight w:val="none"/>
                <w:lang w:val="en-US" w:eastAsia="zh-CN"/>
              </w:rPr>
              <w:t>搅拌罐</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树脂边角料和不合格品经</w:t>
            </w:r>
            <w:r>
              <w:rPr>
                <w:rFonts w:hint="eastAsia" w:ascii="Times New Roman" w:hAnsi="Times New Roman" w:eastAsia="宋体" w:cs="Times New Roman"/>
                <w:b w:val="0"/>
                <w:bCs w:val="0"/>
                <w:color w:val="auto"/>
                <w:sz w:val="24"/>
                <w:szCs w:val="24"/>
                <w:highlight w:val="none"/>
                <w:lang w:val="en-US" w:eastAsia="zh-CN"/>
              </w:rPr>
              <w:t>破碎回用于</w:t>
            </w:r>
            <w:r>
              <w:rPr>
                <w:rFonts w:hint="eastAsia" w:cs="Times New Roman"/>
                <w:b w:val="0"/>
                <w:bCs w:val="0"/>
                <w:color w:val="auto"/>
                <w:sz w:val="24"/>
                <w:szCs w:val="24"/>
                <w:highlight w:val="none"/>
                <w:lang w:val="en-US" w:eastAsia="zh-CN"/>
              </w:rPr>
              <w:t>搅拌罐</w:t>
            </w:r>
            <w:r>
              <w:rPr>
                <w:rFonts w:hint="eastAsia" w:ascii="Times New Roman" w:hAnsi="Times New Roman" w:eastAsia="宋体" w:cs="Times New Roman"/>
                <w:b w:val="0"/>
                <w:bCs w:val="0"/>
                <w:color w:val="auto"/>
                <w:sz w:val="24"/>
                <w:szCs w:val="24"/>
                <w:highlight w:val="none"/>
                <w:lang w:val="en-US" w:eastAsia="zh-CN"/>
              </w:rPr>
              <w:t>作为原料，以上投料过程中会产生投料粉尘。投料</w:t>
            </w:r>
            <w:r>
              <w:rPr>
                <w:rFonts w:hint="default" w:ascii="Times New Roman" w:hAnsi="Times New Roman" w:eastAsia="宋体" w:cs="Times New Roman"/>
                <w:b w:val="0"/>
                <w:bCs w:val="0"/>
                <w:color w:val="auto"/>
                <w:sz w:val="24"/>
                <w:szCs w:val="24"/>
                <w:highlight w:val="none"/>
                <w:lang w:val="en-US" w:eastAsia="zh-CN"/>
              </w:rPr>
              <w:t>粉尘</w:t>
            </w:r>
            <w:r>
              <w:rPr>
                <w:rFonts w:hint="eastAsia" w:ascii="Times New Roman" w:hAnsi="Times New Roman" w:eastAsia="宋体" w:cs="Times New Roman"/>
                <w:b w:val="0"/>
                <w:bCs w:val="0"/>
                <w:color w:val="auto"/>
                <w:sz w:val="24"/>
                <w:szCs w:val="24"/>
                <w:highlight w:val="none"/>
                <w:lang w:val="en-US" w:eastAsia="zh-CN"/>
              </w:rPr>
              <w:t>产生源强</w:t>
            </w:r>
            <w:r>
              <w:rPr>
                <w:rFonts w:hint="default" w:ascii="Times New Roman" w:hAnsi="Times New Roman" w:eastAsia="宋体" w:cs="Times New Roman"/>
                <w:b w:val="0"/>
                <w:bCs w:val="0"/>
                <w:color w:val="auto"/>
                <w:sz w:val="24"/>
                <w:szCs w:val="24"/>
                <w:highlight w:val="none"/>
                <w:lang w:val="en-US" w:eastAsia="zh-CN"/>
              </w:rPr>
              <w:t>参照《排放源统计调查产排污核算方法和系数手册》中“</w:t>
            </w:r>
            <w:r>
              <w:rPr>
                <w:rFonts w:hint="eastAsia" w:cs="Times New Roman"/>
                <w:b w:val="0"/>
                <w:bCs w:val="0"/>
                <w:color w:val="auto"/>
                <w:sz w:val="24"/>
                <w:szCs w:val="24"/>
                <w:highlight w:val="none"/>
                <w:lang w:val="en-US" w:eastAsia="zh-CN"/>
              </w:rPr>
              <w:t>195</w:t>
            </w:r>
            <w:r>
              <w:rPr>
                <w:rFonts w:hint="default" w:ascii="Times New Roman" w:hAnsi="Times New Roman" w:eastAsia="宋体" w:cs="Times New Roman"/>
                <w:b w:val="0"/>
                <w:bCs w:val="0"/>
                <w:color w:val="auto"/>
                <w:sz w:val="24"/>
                <w:szCs w:val="24"/>
                <w:highlight w:val="none"/>
                <w:lang w:val="en-US" w:eastAsia="zh-CN"/>
              </w:rPr>
              <w:t xml:space="preserve"> </w:t>
            </w:r>
            <w:r>
              <w:rPr>
                <w:rFonts w:hint="eastAsia" w:cs="Times New Roman"/>
                <w:b w:val="0"/>
                <w:bCs w:val="0"/>
                <w:color w:val="auto"/>
                <w:sz w:val="24"/>
                <w:szCs w:val="24"/>
                <w:highlight w:val="none"/>
                <w:lang w:val="en-US" w:eastAsia="zh-CN"/>
              </w:rPr>
              <w:t>制鞋</w:t>
            </w:r>
            <w:r>
              <w:rPr>
                <w:rFonts w:hint="default" w:ascii="Times New Roman" w:hAnsi="Times New Roman" w:eastAsia="宋体" w:cs="Times New Roman"/>
                <w:b w:val="0"/>
                <w:bCs w:val="0"/>
                <w:color w:val="auto"/>
                <w:sz w:val="24"/>
                <w:szCs w:val="24"/>
                <w:highlight w:val="none"/>
                <w:lang w:val="en-US" w:eastAsia="zh-CN"/>
              </w:rPr>
              <w:t>行业系数手册”中“</w:t>
            </w:r>
            <w:r>
              <w:rPr>
                <w:rFonts w:hint="eastAsia" w:cs="Times New Roman"/>
                <w:b w:val="0"/>
                <w:bCs w:val="0"/>
                <w:color w:val="auto"/>
                <w:sz w:val="24"/>
                <w:szCs w:val="24"/>
                <w:highlight w:val="none"/>
                <w:lang w:val="en-US" w:eastAsia="zh-CN"/>
              </w:rPr>
              <w:t>1953</w:t>
            </w:r>
            <w:r>
              <w:rPr>
                <w:rFonts w:hint="default" w:ascii="Times New Roman" w:hAnsi="Times New Roman" w:eastAsia="宋体" w:cs="Times New Roman"/>
                <w:b w:val="0"/>
                <w:bCs w:val="0"/>
                <w:color w:val="auto"/>
                <w:sz w:val="24"/>
                <w:szCs w:val="24"/>
                <w:highlight w:val="none"/>
                <w:lang w:val="en-US" w:eastAsia="zh-CN"/>
              </w:rPr>
              <w:t xml:space="preserve"> 塑料</w:t>
            </w:r>
            <w:r>
              <w:rPr>
                <w:rFonts w:hint="eastAsia" w:cs="Times New Roman"/>
                <w:b w:val="0"/>
                <w:bCs w:val="0"/>
                <w:color w:val="auto"/>
                <w:sz w:val="24"/>
                <w:szCs w:val="24"/>
                <w:highlight w:val="none"/>
                <w:lang w:val="en-US" w:eastAsia="zh-CN"/>
              </w:rPr>
              <w:t>鞋</w:t>
            </w:r>
            <w:r>
              <w:rPr>
                <w:rFonts w:hint="default" w:ascii="Times New Roman" w:hAnsi="Times New Roman" w:eastAsia="宋体" w:cs="Times New Roman"/>
                <w:b w:val="0"/>
                <w:bCs w:val="0"/>
                <w:color w:val="auto"/>
                <w:sz w:val="24"/>
                <w:szCs w:val="24"/>
                <w:highlight w:val="none"/>
                <w:lang w:val="en-US" w:eastAsia="zh-CN"/>
              </w:rPr>
              <w:t>制造行业系数表”</w:t>
            </w:r>
            <w:r>
              <w:rPr>
                <w:rFonts w:hint="eastAsia" w:ascii="Times New Roman" w:hAnsi="Times New Roman" w:eastAsia="宋体" w:cs="Times New Roman"/>
                <w:b w:val="0"/>
                <w:bCs w:val="0"/>
                <w:color w:val="auto"/>
                <w:sz w:val="24"/>
                <w:szCs w:val="24"/>
                <w:highlight w:val="none"/>
                <w:lang w:val="en-US" w:eastAsia="zh-CN"/>
              </w:rPr>
              <w:t>，使用</w:t>
            </w:r>
            <w:r>
              <w:rPr>
                <w:rFonts w:hint="eastAsia" w:cs="Times New Roman"/>
                <w:b w:val="0"/>
                <w:bCs w:val="0"/>
                <w:color w:val="auto"/>
                <w:sz w:val="24"/>
                <w:szCs w:val="24"/>
                <w:highlight w:val="none"/>
                <w:lang w:val="en-US" w:eastAsia="zh-CN"/>
              </w:rPr>
              <w:t>聚氯乙烯原料颗粒物的</w:t>
            </w:r>
            <w:r>
              <w:rPr>
                <w:rFonts w:hint="eastAsia" w:ascii="Times New Roman" w:hAnsi="Times New Roman" w:eastAsia="宋体" w:cs="Times New Roman"/>
                <w:b w:val="0"/>
                <w:bCs w:val="0"/>
                <w:color w:val="auto"/>
                <w:sz w:val="24"/>
                <w:szCs w:val="24"/>
                <w:highlight w:val="none"/>
                <w:lang w:val="en-US" w:eastAsia="zh-CN"/>
              </w:rPr>
              <w:t>产污系数为</w:t>
            </w:r>
            <w:r>
              <w:rPr>
                <w:rFonts w:hint="eastAsia" w:cs="Times New Roman"/>
                <w:b w:val="0"/>
                <w:bCs w:val="0"/>
                <w:color w:val="auto"/>
                <w:sz w:val="24"/>
                <w:szCs w:val="24"/>
                <w:highlight w:val="none"/>
                <w:lang w:val="en-US" w:eastAsia="zh-CN"/>
              </w:rPr>
              <w:t>4050mg</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双</w:t>
            </w:r>
            <w:r>
              <w:rPr>
                <w:rFonts w:hint="eastAsia" w:ascii="Times New Roman" w:hAnsi="Times New Roman" w:eastAsia="宋体" w:cs="Times New Roman"/>
                <w:b w:val="0"/>
                <w:bCs w:val="0"/>
                <w:color w:val="auto"/>
                <w:sz w:val="24"/>
                <w:szCs w:val="24"/>
                <w:highlight w:val="none"/>
                <w:lang w:val="en-US" w:eastAsia="zh-CN"/>
              </w:rPr>
              <w:t>-产品</w:t>
            </w:r>
            <w:r>
              <w:rPr>
                <w:rFonts w:hint="eastAsia" w:cs="Times New Roman"/>
                <w:b w:val="0"/>
                <w:bCs w:val="0"/>
                <w:color w:val="auto"/>
                <w:sz w:val="24"/>
                <w:szCs w:val="24"/>
                <w:highlight w:val="none"/>
                <w:lang w:val="en-US" w:eastAsia="zh-CN"/>
              </w:rPr>
              <w:t>。本项目PVC连帮鞋年产75万双</w:t>
            </w:r>
            <w:r>
              <w:rPr>
                <w:rFonts w:hint="default" w:ascii="Times New Roman" w:hAnsi="Times New Roman" w:eastAsia="宋体" w:cs="Times New Roman"/>
                <w:b w:val="0"/>
                <w:bCs w:val="0"/>
                <w:color w:val="auto"/>
                <w:sz w:val="24"/>
                <w:szCs w:val="24"/>
                <w:highlight w:val="none"/>
                <w:lang w:val="en-US" w:eastAsia="zh-CN"/>
              </w:rPr>
              <w:t>，则</w:t>
            </w:r>
            <w:r>
              <w:rPr>
                <w:rFonts w:hint="eastAsia" w:ascii="Times New Roman" w:hAnsi="Times New Roman" w:eastAsia="宋体" w:cs="Times New Roman"/>
                <w:b w:val="0"/>
                <w:bCs w:val="0"/>
                <w:color w:val="auto"/>
                <w:sz w:val="24"/>
                <w:szCs w:val="24"/>
                <w:highlight w:val="none"/>
                <w:lang w:val="en-US" w:eastAsia="zh-CN"/>
              </w:rPr>
              <w:t>投料</w:t>
            </w:r>
            <w:r>
              <w:rPr>
                <w:rFonts w:hint="default" w:ascii="Times New Roman" w:hAnsi="Times New Roman" w:eastAsia="宋体" w:cs="Times New Roman"/>
                <w:b w:val="0"/>
                <w:bCs w:val="0"/>
                <w:color w:val="auto"/>
                <w:sz w:val="24"/>
                <w:szCs w:val="24"/>
                <w:highlight w:val="none"/>
                <w:lang w:val="en-US" w:eastAsia="zh-CN"/>
              </w:rPr>
              <w:t>粉尘产生量为</w:t>
            </w:r>
            <w:r>
              <w:rPr>
                <w:rFonts w:hint="eastAsia" w:cs="Times New Roman"/>
                <w:b w:val="0"/>
                <w:bCs w:val="0"/>
                <w:color w:val="auto"/>
                <w:sz w:val="24"/>
                <w:szCs w:val="24"/>
                <w:highlight w:val="none"/>
                <w:lang w:val="en-US" w:eastAsia="zh-CN"/>
              </w:rPr>
              <w:t>75</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10000</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4050mg/a</w:t>
            </w:r>
            <w:r>
              <w:rPr>
                <w:rFonts w:hint="default" w:ascii="Times New Roman" w:hAnsi="Times New Roman" w:cs="Times New Roman"/>
                <w:b w:val="0"/>
                <w:bCs w:val="0"/>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3.038</w:t>
            </w:r>
            <w:r>
              <w:rPr>
                <w:rFonts w:hint="default" w:ascii="Times New Roman" w:hAnsi="Times New Roman" w:eastAsia="宋体" w:cs="Times New Roman"/>
                <w:b w:val="0"/>
                <w:bCs w:val="0"/>
                <w:color w:val="auto"/>
                <w:sz w:val="24"/>
                <w:szCs w:val="24"/>
                <w:highlight w:val="none"/>
                <w:lang w:val="en-US" w:eastAsia="zh-CN"/>
              </w:rPr>
              <w:t>t/a</w:t>
            </w:r>
            <w:r>
              <w:rPr>
                <w:rFonts w:hint="eastAsia" w:ascii="Times New Roman" w:hAnsi="Times New Roman" w:eastAsia="宋体" w:cs="Times New Roman"/>
                <w:b w:val="0"/>
                <w:bCs w:val="0"/>
                <w:color w:val="auto"/>
                <w:sz w:val="24"/>
                <w:szCs w:val="24"/>
                <w:highlight w:val="none"/>
                <w:lang w:val="en-US" w:eastAsia="zh-CN"/>
              </w:rPr>
              <w:t>。</w:t>
            </w:r>
          </w:p>
          <w:p w14:paraId="4758A6F3">
            <w:pPr>
              <w:pStyle w:val="203"/>
              <w:keepNext w:val="0"/>
              <w:keepLines w:val="0"/>
              <w:pageBreakBefore w:val="0"/>
              <w:widowControl w:val="0"/>
              <w:suppressLineNumbers w:val="0"/>
              <w:tabs>
                <w:tab w:val="left" w:pos="1061"/>
              </w:tabs>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outlineLvl w:val="9"/>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2、破碎粉尘G1-3</w:t>
            </w:r>
          </w:p>
          <w:p w14:paraId="0653D2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边角料和不合格品进入粉碎机中进行破碎磨粉，破碎和磨粉工序在机器内封闭环境进行，出料过程会产生少量粉尘。</w:t>
            </w:r>
          </w:p>
          <w:p w14:paraId="5C454D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参照《排放源统计调查产排污核算方法和系数手册》中“42 废弃资源综合利用行业系数手册”中“4220 非金属废料和碎屑加工处理行业系数表”中“废PVC干法破碎”产污系数，破碎</w:t>
            </w:r>
            <w:r>
              <w:rPr>
                <w:rFonts w:hint="eastAsia" w:cs="Times New Roman"/>
                <w:color w:val="auto"/>
                <w:sz w:val="24"/>
                <w:szCs w:val="24"/>
                <w:highlight w:val="none"/>
                <w:lang w:val="en-US" w:eastAsia="zh-CN"/>
              </w:rPr>
              <w:t>粉尘</w:t>
            </w:r>
            <w:r>
              <w:rPr>
                <w:rFonts w:hint="default" w:ascii="Times New Roman" w:hAnsi="Times New Roman" w:eastAsia="宋体" w:cs="Times New Roman"/>
                <w:color w:val="auto"/>
                <w:sz w:val="24"/>
                <w:szCs w:val="24"/>
                <w:highlight w:val="none"/>
              </w:rPr>
              <w:t>产污系数为450</w:t>
            </w:r>
            <w:r>
              <w:rPr>
                <w:rFonts w:hint="eastAsia" w:ascii="Times New Roman" w:hAnsi="Times New Roman" w:eastAsia="宋体" w:cs="Times New Roman"/>
                <w:color w:val="auto"/>
                <w:sz w:val="24"/>
                <w:szCs w:val="24"/>
                <w:highlight w:val="none"/>
                <w:lang w:val="en-US" w:eastAsia="zh-CN"/>
              </w:rPr>
              <w:t>g</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-原料</w:t>
            </w:r>
            <w:r>
              <w:rPr>
                <w:rFonts w:hint="eastAsia" w:cs="Times New Roman"/>
                <w:color w:val="auto"/>
                <w:sz w:val="24"/>
                <w:szCs w:val="24"/>
                <w:highlight w:val="none"/>
                <w:lang w:eastAsia="zh-CN"/>
              </w:rPr>
              <w:t>。</w:t>
            </w:r>
            <w:r>
              <w:rPr>
                <w:rFonts w:hint="eastAsia" w:cs="Times New Roman"/>
                <w:color w:val="auto"/>
                <w:sz w:val="24"/>
                <w:szCs w:val="22"/>
                <w:highlight w:val="none"/>
                <w:lang w:val="en-US" w:eastAsia="zh-CN"/>
              </w:rPr>
              <w:t>边角料及不合格品产生量</w:t>
            </w:r>
            <w:r>
              <w:rPr>
                <w:rFonts w:hint="eastAsia" w:ascii="Times New Roman" w:hAnsi="Times New Roman" w:eastAsia="宋体" w:cs="Times New Roman"/>
                <w:color w:val="auto"/>
                <w:sz w:val="24"/>
                <w:szCs w:val="22"/>
                <w:highlight w:val="none"/>
                <w:lang w:val="en-US" w:eastAsia="zh-CN"/>
              </w:rPr>
              <w:t>参照《195制鞋行业系数手册》中“1953塑料鞋制造行业系数表”：一般</w:t>
            </w:r>
            <w:r>
              <w:rPr>
                <w:rFonts w:hint="eastAsia" w:cs="Times New Roman"/>
                <w:color w:val="auto"/>
                <w:sz w:val="24"/>
                <w:szCs w:val="22"/>
                <w:highlight w:val="none"/>
                <w:lang w:val="en-US" w:eastAsia="zh-CN"/>
              </w:rPr>
              <w:t>工业固体废物产污系数3620mg/双-产品</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则</w:t>
            </w:r>
            <w:r>
              <w:rPr>
                <w:rFonts w:hint="eastAsia" w:cs="Times New Roman"/>
                <w:color w:val="auto"/>
                <w:sz w:val="24"/>
                <w:szCs w:val="22"/>
                <w:highlight w:val="none"/>
                <w:lang w:val="en-US" w:eastAsia="zh-CN"/>
              </w:rPr>
              <w:t>边角料及不合格品产生量为3620</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color w:val="auto"/>
                <w:sz w:val="24"/>
                <w:szCs w:val="24"/>
                <w:highlight w:val="none"/>
                <w:lang w:val="en-US" w:eastAsia="zh-CN"/>
              </w:rPr>
              <w:t>75/100000=2.715t/a，破碎</w:t>
            </w:r>
            <w:r>
              <w:rPr>
                <w:rFonts w:hint="default" w:ascii="Times New Roman" w:hAnsi="Times New Roman" w:eastAsia="宋体" w:cs="Times New Roman"/>
                <w:color w:val="auto"/>
                <w:sz w:val="24"/>
                <w:szCs w:val="24"/>
                <w:highlight w:val="none"/>
              </w:rPr>
              <w:t>粉尘产生量为</w:t>
            </w:r>
            <w:r>
              <w:rPr>
                <w:rFonts w:hint="eastAsia" w:cs="Times New Roman"/>
                <w:color w:val="auto"/>
                <w:sz w:val="24"/>
                <w:szCs w:val="24"/>
                <w:highlight w:val="none"/>
                <w:lang w:val="en-US" w:eastAsia="zh-CN"/>
              </w:rPr>
              <w:t>2.715</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450/1000000</w:t>
            </w:r>
            <w:r>
              <w:rPr>
                <w:rFonts w:hint="eastAsia" w:cs="Times New Roman"/>
                <w:color w:val="auto"/>
                <w:sz w:val="24"/>
                <w:szCs w:val="24"/>
                <w:highlight w:val="none"/>
                <w:lang w:val="en-US" w:eastAsia="zh-CN"/>
              </w:rPr>
              <w:t>=0.0012</w:t>
            </w:r>
            <w:r>
              <w:rPr>
                <w:rFonts w:hint="default" w:ascii="Times New Roman" w:hAnsi="Times New Roman" w:eastAsia="宋体" w:cs="Times New Roman"/>
                <w:color w:val="auto"/>
                <w:sz w:val="24"/>
                <w:szCs w:val="24"/>
                <w:highlight w:val="none"/>
              </w:rPr>
              <w:t>t/a。</w:t>
            </w:r>
            <w:r>
              <w:rPr>
                <w:rFonts w:hint="eastAsia" w:cs="Times New Roman"/>
                <w:color w:val="auto"/>
                <w:sz w:val="24"/>
                <w:szCs w:val="24"/>
                <w:highlight w:val="none"/>
                <w:lang w:val="en-US" w:eastAsia="zh-CN"/>
              </w:rPr>
              <w:t>破碎粉尘排放量很少，本次作无组织排放。</w:t>
            </w:r>
          </w:p>
          <w:p w14:paraId="3FA4E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default" w:ascii="Times New Roman" w:hAnsi="Times New Roman" w:cs="Times New Roman"/>
                <w:color w:val="auto"/>
                <w:kern w:val="0"/>
                <w:sz w:val="24"/>
                <w:szCs w:val="24"/>
                <w:highlight w:val="none"/>
              </w:rPr>
            </w:pPr>
            <w:r>
              <w:rPr>
                <w:rFonts w:hint="eastAsia" w:cs="Times New Roman"/>
                <w:b/>
                <w:bCs/>
                <w:color w:val="auto"/>
                <w:sz w:val="24"/>
                <w:szCs w:val="24"/>
                <w:highlight w:val="none"/>
                <w:lang w:val="en-US" w:eastAsia="zh-CN"/>
              </w:rPr>
              <w:t>收集处理措施：</w:t>
            </w:r>
            <w:r>
              <w:rPr>
                <w:rFonts w:hint="eastAsia" w:cs="Times New Roman"/>
                <w:b w:val="0"/>
                <w:bCs w:val="0"/>
                <w:color w:val="auto"/>
                <w:sz w:val="24"/>
                <w:szCs w:val="24"/>
                <w:highlight w:val="none"/>
                <w:lang w:val="en-US" w:eastAsia="zh-CN"/>
              </w:rPr>
              <w:t>拌料间密闭设置，</w:t>
            </w: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拟在搅拌罐</w:t>
            </w:r>
            <w:r>
              <w:rPr>
                <w:rFonts w:hint="eastAsia" w:ascii="Times New Roman" w:hAnsi="Times New Roman" w:cs="Times New Roman"/>
                <w:color w:val="auto"/>
                <w:sz w:val="24"/>
                <w:szCs w:val="24"/>
                <w:highlight w:val="none"/>
                <w:lang w:val="en-US" w:eastAsia="zh-CN"/>
              </w:rPr>
              <w:t>投料口设置</w:t>
            </w:r>
            <w:r>
              <w:rPr>
                <w:rFonts w:hint="eastAsia" w:cs="Times New Roman"/>
                <w:color w:val="auto"/>
                <w:sz w:val="24"/>
                <w:szCs w:val="24"/>
                <w:highlight w:val="none"/>
                <w:lang w:val="en-US" w:eastAsia="zh-CN"/>
              </w:rPr>
              <w:t>顶吸式</w:t>
            </w:r>
            <w:r>
              <w:rPr>
                <w:rFonts w:ascii="宋体" w:hAnsi="宋体" w:eastAsia="宋体" w:cs="宋体"/>
                <w:color w:val="auto"/>
                <w:sz w:val="24"/>
                <w:szCs w:val="24"/>
                <w:highlight w:val="none"/>
              </w:rPr>
              <w:t>集气罩</w:t>
            </w:r>
            <w:r>
              <w:rPr>
                <w:rFonts w:hint="eastAsia" w:ascii="宋体" w:hAnsi="宋体" w:cs="宋体"/>
                <w:color w:val="auto"/>
                <w:sz w:val="24"/>
                <w:szCs w:val="24"/>
                <w:highlight w:val="none"/>
                <w:lang w:eastAsia="zh-CN"/>
              </w:rPr>
              <w:t>，</w:t>
            </w:r>
            <w:r>
              <w:rPr>
                <w:rFonts w:hint="eastAsia" w:cs="Times New Roman"/>
                <w:color w:val="auto"/>
                <w:sz w:val="24"/>
                <w:szCs w:val="24"/>
                <w:highlight w:val="none"/>
                <w:lang w:val="en-US" w:eastAsia="zh-CN"/>
              </w:rPr>
              <w:t>投料</w:t>
            </w:r>
            <w:r>
              <w:rPr>
                <w:rFonts w:hint="default" w:ascii="Times New Roman" w:hAnsi="Times New Roman" w:eastAsia="宋体" w:cs="Times New Roman"/>
                <w:color w:val="auto"/>
                <w:sz w:val="24"/>
                <w:szCs w:val="24"/>
                <w:highlight w:val="none"/>
                <w:lang w:val="en-US" w:eastAsia="zh-CN"/>
              </w:rPr>
              <w:t>粉尘</w:t>
            </w:r>
            <w:r>
              <w:rPr>
                <w:rFonts w:hint="eastAsia" w:cs="Times New Roman"/>
                <w:color w:val="auto"/>
                <w:sz w:val="24"/>
                <w:szCs w:val="24"/>
                <w:highlight w:val="none"/>
                <w:lang w:val="en-US" w:eastAsia="zh-CN"/>
              </w:rPr>
              <w:t>经</w:t>
            </w:r>
            <w:r>
              <w:rPr>
                <w:rFonts w:hint="default" w:ascii="Times New Roman" w:hAnsi="Times New Roman" w:eastAsia="宋体" w:cs="Times New Roman"/>
                <w:color w:val="auto"/>
                <w:sz w:val="24"/>
                <w:szCs w:val="24"/>
                <w:highlight w:val="none"/>
                <w:lang w:val="en-US" w:eastAsia="zh-CN"/>
              </w:rPr>
              <w:t>1套</w:t>
            </w:r>
            <w:r>
              <w:rPr>
                <w:rFonts w:hint="eastAsia" w:cs="Times New Roman"/>
                <w:color w:val="auto"/>
                <w:sz w:val="24"/>
                <w:szCs w:val="24"/>
                <w:highlight w:val="none"/>
                <w:lang w:val="en-US" w:eastAsia="zh-CN"/>
              </w:rPr>
              <w:t>袋式除尘器</w:t>
            </w:r>
            <w:r>
              <w:rPr>
                <w:rFonts w:hint="default" w:ascii="Times New Roman" w:hAnsi="Times New Roman" w:eastAsia="宋体" w:cs="Times New Roman"/>
                <w:color w:val="auto"/>
                <w:sz w:val="24"/>
                <w:szCs w:val="24"/>
                <w:highlight w:val="none"/>
                <w:lang w:val="en-US" w:eastAsia="zh-CN"/>
              </w:rPr>
              <w:t>（TA00</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）处理后</w:t>
            </w:r>
            <w:r>
              <w:rPr>
                <w:rFonts w:hint="eastAsia" w:cs="Times New Roman"/>
                <w:color w:val="auto"/>
                <w:sz w:val="24"/>
                <w:szCs w:val="24"/>
                <w:highlight w:val="none"/>
                <w:lang w:val="en-US" w:eastAsia="zh-CN"/>
              </w:rPr>
              <w:t>通过15</w:t>
            </w:r>
            <w:r>
              <w:rPr>
                <w:rFonts w:hint="default" w:ascii="Times New Roman" w:hAnsi="Times New Roman" w:eastAsia="宋体" w:cs="Times New Roman"/>
                <w:color w:val="auto"/>
                <w:sz w:val="24"/>
                <w:szCs w:val="24"/>
                <w:highlight w:val="none"/>
                <w:lang w:val="en-US" w:eastAsia="zh-CN"/>
              </w:rPr>
              <w:t>m高DA001排气筒排放。</w:t>
            </w:r>
            <w:r>
              <w:rPr>
                <w:rFonts w:hint="eastAsia" w:cs="Times New Roman"/>
                <w:color w:val="auto"/>
                <w:kern w:val="0"/>
                <w:sz w:val="24"/>
                <w:szCs w:val="24"/>
                <w:highlight w:val="none"/>
                <w:lang w:val="en-US" w:eastAsia="zh-CN"/>
              </w:rPr>
              <w:t>根据建设单位提供资料，</w:t>
            </w:r>
            <w:r>
              <w:rPr>
                <w:rFonts w:hint="eastAsia" w:cs="Times New Roman"/>
                <w:color w:val="auto"/>
                <w:sz w:val="24"/>
                <w:szCs w:val="24"/>
                <w:highlight w:val="none"/>
                <w:lang w:val="en-US" w:eastAsia="zh-CN"/>
              </w:rPr>
              <w:t>搅拌罐</w:t>
            </w:r>
            <w:r>
              <w:rPr>
                <w:rFonts w:hint="eastAsia" w:cs="Times New Roman"/>
                <w:b w:val="0"/>
                <w:bCs w:val="0"/>
                <w:color w:val="auto"/>
                <w:sz w:val="24"/>
                <w:szCs w:val="24"/>
                <w:highlight w:val="none"/>
                <w:lang w:val="en-US" w:eastAsia="zh-CN"/>
              </w:rPr>
              <w:t>（共1台）</w:t>
            </w:r>
            <w:r>
              <w:rPr>
                <w:rFonts w:hint="eastAsia" w:cs="Times New Roman"/>
                <w:color w:val="auto"/>
                <w:kern w:val="0"/>
                <w:sz w:val="24"/>
                <w:szCs w:val="24"/>
                <w:highlight w:val="none"/>
                <w:lang w:val="en-US" w:eastAsia="zh-CN"/>
              </w:rPr>
              <w:t>集气罩尺寸设计为1</w:t>
            </w:r>
            <w:r>
              <w:rPr>
                <w:rFonts w:hint="default" w:ascii="Times New Roman" w:hAnsi="Times New Roman" w:cs="Times New Roman"/>
                <w:color w:val="auto"/>
                <w:kern w:val="0"/>
                <w:sz w:val="24"/>
                <w:szCs w:val="24"/>
                <w:highlight w:val="none"/>
              </w:rPr>
              <w:t>m×</w:t>
            </w:r>
            <w:r>
              <w:rPr>
                <w:rFonts w:hint="eastAsia"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rPr>
              <w:t>m</w:t>
            </w:r>
            <w:r>
              <w:rPr>
                <w:rFonts w:hint="eastAsia" w:cs="Times New Roman"/>
                <w:color w:val="auto"/>
                <w:kern w:val="0"/>
                <w:sz w:val="24"/>
                <w:szCs w:val="24"/>
                <w:highlight w:val="none"/>
                <w:lang w:val="en-US" w:eastAsia="zh-CN"/>
              </w:rPr>
              <w:t>，</w:t>
            </w:r>
            <w:r>
              <w:rPr>
                <w:rFonts w:hint="eastAsia" w:ascii="Times New Roman" w:hAnsi="Times New Roman" w:cs="Times New Roman"/>
                <w:color w:val="auto"/>
                <w:kern w:val="0"/>
                <w:sz w:val="24"/>
                <w:szCs w:val="24"/>
                <w:highlight w:val="none"/>
                <w:lang w:val="en-US" w:eastAsia="zh-CN"/>
              </w:rPr>
              <w:t>参照</w:t>
            </w:r>
            <w:r>
              <w:rPr>
                <w:rFonts w:hint="default" w:ascii="Times New Roman" w:hAnsi="Times New Roman" w:cs="Times New Roman"/>
                <w:color w:val="auto"/>
                <w:kern w:val="0"/>
                <w:sz w:val="24"/>
                <w:szCs w:val="24"/>
                <w:highlight w:val="none"/>
              </w:rPr>
              <w:t>《三废处理工程技术手册》（废气卷）中外部集气罩风量计算公式：</w:t>
            </w:r>
          </w:p>
          <w:p w14:paraId="006687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Q=</w:t>
            </w:r>
            <w:r>
              <w:rPr>
                <w:rFonts w:hint="eastAsia" w:ascii="Times New Roman" w:hAnsi="Times New Roman" w:cs="Times New Roman"/>
                <w:color w:val="auto"/>
                <w:kern w:val="0"/>
                <w:sz w:val="24"/>
                <w:szCs w:val="24"/>
                <w:highlight w:val="none"/>
                <w:lang w:val="en-US" w:eastAsia="zh-CN"/>
              </w:rPr>
              <w:t>k</w:t>
            </w:r>
            <w:r>
              <w:rPr>
                <w:rFonts w:hint="default" w:ascii="Times New Roman" w:hAnsi="Times New Roman" w:cs="Times New Roman"/>
                <w:color w:val="auto"/>
                <w:kern w:val="0"/>
                <w:sz w:val="24"/>
                <w:szCs w:val="24"/>
                <w:highlight w:val="none"/>
              </w:rPr>
              <w:t>PHV</w:t>
            </w:r>
            <w:r>
              <w:rPr>
                <w:rFonts w:hint="default" w:ascii="Times New Roman" w:hAnsi="Times New Roman" w:cs="Times New Roman"/>
                <w:color w:val="auto"/>
                <w:kern w:val="0"/>
                <w:sz w:val="24"/>
                <w:szCs w:val="24"/>
                <w:highlight w:val="none"/>
                <w:vertAlign w:val="subscript"/>
              </w:rPr>
              <w:t>x</w:t>
            </w:r>
          </w:p>
          <w:p w14:paraId="757994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rPr>
              <w:t>式中：Q——风量m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/s；</w:t>
            </w:r>
          </w:p>
          <w:p w14:paraId="0F1D47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jc w:val="both"/>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k——考虑沿高度速度分布不均的安全系数</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本项目</w:t>
            </w:r>
            <w:r>
              <w:rPr>
                <w:rFonts w:hint="default" w:ascii="Times New Roman" w:hAnsi="Times New Roman" w:cs="Times New Roman"/>
                <w:color w:val="auto"/>
                <w:kern w:val="0"/>
                <w:sz w:val="24"/>
                <w:szCs w:val="24"/>
                <w:highlight w:val="none"/>
              </w:rPr>
              <w:t>取k=1.</w:t>
            </w:r>
            <w:r>
              <w:rPr>
                <w:rFonts w:hint="eastAsia" w:ascii="Times New Roman" w:hAnsi="Times New Roman" w:cs="Times New Roman"/>
                <w:color w:val="auto"/>
                <w:kern w:val="0"/>
                <w:sz w:val="24"/>
                <w:szCs w:val="24"/>
                <w:highlight w:val="none"/>
                <w:lang w:val="en-US" w:eastAsia="zh-CN"/>
              </w:rPr>
              <w:t>2</w:t>
            </w:r>
            <w:r>
              <w:rPr>
                <w:rFonts w:hint="eastAsia"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w:t>
            </w:r>
          </w:p>
          <w:p w14:paraId="0E9687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jc w:val="both"/>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P——罩口敞开周长m；</w:t>
            </w:r>
          </w:p>
          <w:p w14:paraId="183973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jc w:val="both"/>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H——罩口距污染源的距离（本项目取0.</w:t>
            </w:r>
            <w:r>
              <w:rPr>
                <w:rFonts w:hint="eastAsia" w:cs="Times New Roman"/>
                <w:color w:val="auto"/>
                <w:kern w:val="0"/>
                <w:sz w:val="24"/>
                <w:szCs w:val="24"/>
                <w:highlight w:val="none"/>
                <w:lang w:val="en-US" w:eastAsia="zh-CN"/>
              </w:rPr>
              <w:t>5</w:t>
            </w:r>
            <w:r>
              <w:rPr>
                <w:rFonts w:hint="default" w:ascii="Times New Roman" w:hAnsi="Times New Roman" w:cs="Times New Roman"/>
                <w:color w:val="auto"/>
                <w:kern w:val="0"/>
                <w:sz w:val="24"/>
                <w:szCs w:val="24"/>
                <w:highlight w:val="none"/>
              </w:rPr>
              <w:t>m）；</w:t>
            </w:r>
          </w:p>
          <w:p w14:paraId="52E37D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jc w:val="both"/>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V</w:t>
            </w:r>
            <w:r>
              <w:rPr>
                <w:rFonts w:hint="default" w:ascii="Times New Roman" w:hAnsi="Times New Roman" w:cs="Times New Roman"/>
                <w:color w:val="auto"/>
                <w:kern w:val="0"/>
                <w:sz w:val="24"/>
                <w:szCs w:val="24"/>
                <w:highlight w:val="none"/>
                <w:vertAlign w:val="subscript"/>
              </w:rPr>
              <w:t>x</w:t>
            </w:r>
            <w:r>
              <w:rPr>
                <w:rFonts w:hint="default" w:ascii="Times New Roman" w:hAnsi="Times New Roman" w:cs="Times New Roman"/>
                <w:color w:val="auto"/>
                <w:kern w:val="0"/>
                <w:sz w:val="24"/>
                <w:szCs w:val="24"/>
                <w:highlight w:val="none"/>
              </w:rPr>
              <w:t>——控制速度m/s（</w:t>
            </w:r>
            <w:r>
              <w:rPr>
                <w:rFonts w:hint="eastAsia" w:cs="Times New Roman"/>
                <w:color w:val="auto"/>
                <w:kern w:val="0"/>
                <w:sz w:val="24"/>
                <w:szCs w:val="24"/>
                <w:highlight w:val="none"/>
                <w:lang w:val="en-US" w:eastAsia="zh-CN"/>
              </w:rPr>
              <w:t>参照《</w:t>
            </w:r>
            <w:r>
              <w:rPr>
                <w:rFonts w:hint="default" w:ascii="Times New Roman" w:hAnsi="Times New Roman" w:cs="Times New Roman"/>
                <w:color w:val="auto"/>
                <w:kern w:val="0"/>
                <w:sz w:val="24"/>
                <w:szCs w:val="24"/>
                <w:highlight w:val="none"/>
              </w:rPr>
              <w:t>局部排风设施控制风速检测与评估技术规范</w:t>
            </w:r>
            <w:r>
              <w:rPr>
                <w:rFonts w:hint="eastAsia"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rPr>
              <w:t>（AQ/T4274</w:t>
            </w:r>
            <w:r>
              <w:rPr>
                <w:rFonts w:hint="eastAsia"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rPr>
              <w:t>2016）</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顶吸式</w:t>
            </w:r>
            <w:r>
              <w:rPr>
                <w:rFonts w:hint="default" w:ascii="Times New Roman" w:hAnsi="Times New Roman" w:cs="Times New Roman"/>
                <w:color w:val="auto"/>
                <w:kern w:val="0"/>
                <w:sz w:val="24"/>
                <w:szCs w:val="24"/>
                <w:highlight w:val="none"/>
              </w:rPr>
              <w:t>取</w:t>
            </w:r>
            <w:r>
              <w:rPr>
                <w:rFonts w:hint="eastAsia" w:cs="Times New Roman"/>
                <w:color w:val="auto"/>
                <w:kern w:val="0"/>
                <w:sz w:val="24"/>
                <w:szCs w:val="24"/>
                <w:highlight w:val="none"/>
                <w:lang w:val="en-US" w:eastAsia="zh-CN"/>
              </w:rPr>
              <w:t>1.2</w:t>
            </w:r>
            <w:r>
              <w:rPr>
                <w:rFonts w:hint="default" w:ascii="Times New Roman" w:hAnsi="Times New Roman" w:cs="Times New Roman"/>
                <w:color w:val="auto"/>
                <w:kern w:val="0"/>
                <w:sz w:val="24"/>
                <w:szCs w:val="24"/>
                <w:highlight w:val="none"/>
              </w:rPr>
              <w:t>m/s）。</w:t>
            </w:r>
          </w:p>
          <w:p w14:paraId="603606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Q</w:t>
            </w:r>
            <w:r>
              <w:rPr>
                <w:rFonts w:hint="eastAsia" w:cs="Times New Roman"/>
                <w:color w:val="auto"/>
                <w:kern w:val="0"/>
                <w:sz w:val="24"/>
                <w:szCs w:val="24"/>
                <w:highlight w:val="none"/>
                <w:vertAlign w:val="subscript"/>
                <w:lang w:val="en-US" w:eastAsia="zh-CN"/>
              </w:rPr>
              <w:t>配</w:t>
            </w:r>
            <w:r>
              <w:rPr>
                <w:rFonts w:hint="default" w:ascii="Times New Roman" w:hAnsi="Times New Roman" w:cs="Times New Roman"/>
                <w:color w:val="auto"/>
                <w:kern w:val="0"/>
                <w:sz w:val="24"/>
                <w:szCs w:val="24"/>
                <w:highlight w:val="none"/>
              </w:rPr>
              <w:t>=1.</w:t>
            </w:r>
            <w:r>
              <w:rPr>
                <w:rFonts w:hint="eastAsia" w:ascii="Times New Roman" w:hAnsi="Times New Roman" w:cs="Times New Roman"/>
                <w:color w:val="auto"/>
                <w:kern w:val="0"/>
                <w:sz w:val="24"/>
                <w:szCs w:val="24"/>
                <w:highlight w:val="none"/>
                <w:lang w:val="en-US" w:eastAsia="zh-CN"/>
              </w:rPr>
              <w:t>2</w:t>
            </w:r>
            <w:r>
              <w:rPr>
                <w:rFonts w:hint="default" w:ascii="Times New Roman" w:hAnsi="Times New Roman" w:cs="Times New Roman"/>
                <w:color w:val="auto"/>
                <w:kern w:val="0"/>
                <w:sz w:val="24"/>
                <w:szCs w:val="24"/>
                <w:highlight w:val="none"/>
              </w:rPr>
              <w:t>×</w:t>
            </w:r>
            <w:r>
              <w:rPr>
                <w:rFonts w:hint="eastAsia" w:cs="Times New Roman"/>
                <w:color w:val="auto"/>
                <w:kern w:val="0"/>
                <w:sz w:val="24"/>
                <w:szCs w:val="24"/>
                <w:highlight w:val="none"/>
                <w:lang w:val="en-US" w:eastAsia="zh-CN"/>
              </w:rPr>
              <w:t>4</w:t>
            </w:r>
            <w:r>
              <w:rPr>
                <w:rFonts w:hint="default" w:ascii="Times New Roman" w:hAnsi="Times New Roman" w:cs="Times New Roman"/>
                <w:color w:val="auto"/>
                <w:kern w:val="0"/>
                <w:sz w:val="24"/>
                <w:szCs w:val="24"/>
                <w:highlight w:val="none"/>
              </w:rPr>
              <w:t>×0.</w:t>
            </w:r>
            <w:r>
              <w:rPr>
                <w:rFonts w:hint="eastAsia" w:cs="Times New Roman"/>
                <w:color w:val="auto"/>
                <w:kern w:val="0"/>
                <w:sz w:val="24"/>
                <w:szCs w:val="24"/>
                <w:highlight w:val="none"/>
                <w:lang w:val="en-US" w:eastAsia="zh-CN"/>
              </w:rPr>
              <w:t>5</w:t>
            </w:r>
            <w:r>
              <w:rPr>
                <w:rFonts w:hint="default" w:ascii="Times New Roman" w:hAnsi="Times New Roman" w:cs="Times New Roman"/>
                <w:color w:val="auto"/>
                <w:kern w:val="0"/>
                <w:sz w:val="24"/>
                <w:szCs w:val="24"/>
                <w:highlight w:val="none"/>
              </w:rPr>
              <w:t>×</w:t>
            </w:r>
            <w:r>
              <w:rPr>
                <w:rFonts w:hint="eastAsia" w:cs="Times New Roman"/>
                <w:color w:val="auto"/>
                <w:kern w:val="0"/>
                <w:sz w:val="24"/>
                <w:szCs w:val="24"/>
                <w:highlight w:val="none"/>
                <w:lang w:val="en-US" w:eastAsia="zh-CN"/>
              </w:rPr>
              <w:t>1.2</w:t>
            </w:r>
            <w:r>
              <w:rPr>
                <w:rFonts w:hint="default" w:ascii="Times New Roman" w:hAnsi="Times New Roman" w:cs="Times New Roman"/>
                <w:color w:val="auto"/>
                <w:kern w:val="0"/>
                <w:sz w:val="24"/>
                <w:szCs w:val="24"/>
                <w:highlight w:val="none"/>
              </w:rPr>
              <w:t>×3600=</w:t>
            </w:r>
            <w:r>
              <w:rPr>
                <w:rFonts w:hint="eastAsia" w:cs="Times New Roman"/>
                <w:color w:val="auto"/>
                <w:kern w:val="0"/>
                <w:sz w:val="24"/>
                <w:szCs w:val="24"/>
                <w:highlight w:val="none"/>
                <w:lang w:val="en-US" w:eastAsia="zh-CN"/>
              </w:rPr>
              <w:t>10368</w:t>
            </w:r>
            <w:r>
              <w:rPr>
                <w:rFonts w:hint="default" w:ascii="Times New Roman" w:hAnsi="Times New Roman" w:cs="Times New Roman"/>
                <w:color w:val="auto"/>
                <w:kern w:val="0"/>
                <w:sz w:val="24"/>
                <w:szCs w:val="24"/>
                <w:highlight w:val="none"/>
              </w:rPr>
              <w:t>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/h</w:t>
            </w:r>
          </w:p>
          <w:p w14:paraId="550B22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textAlignment w:val="auto"/>
              <w:rPr>
                <w:rFonts w:hint="eastAsia" w:cs="Times New Roman"/>
                <w:color w:val="auto"/>
                <w:sz w:val="24"/>
                <w:szCs w:val="24"/>
                <w:highlight w:val="none"/>
                <w:lang w:val="en-US" w:eastAsia="zh-CN"/>
              </w:rPr>
            </w:pPr>
            <w:r>
              <w:rPr>
                <w:rFonts w:hint="eastAsia" w:cs="Times New Roman"/>
                <w:color w:val="auto"/>
                <w:sz w:val="24"/>
                <w:szCs w:val="22"/>
                <w:highlight w:val="none"/>
                <w:lang w:val="en-US" w:eastAsia="zh-CN"/>
              </w:rPr>
              <w:t>考虑风损，投料工序粉尘收集</w:t>
            </w:r>
            <w:r>
              <w:rPr>
                <w:rFonts w:hint="eastAsia" w:ascii="Times New Roman" w:hAnsi="Times New Roman" w:cs="Times New Roman"/>
                <w:color w:val="auto"/>
                <w:kern w:val="0"/>
                <w:sz w:val="24"/>
                <w:szCs w:val="24"/>
                <w:highlight w:val="none"/>
                <w:lang w:val="en-US" w:eastAsia="zh-CN"/>
              </w:rPr>
              <w:t>风量为</w:t>
            </w:r>
            <w:r>
              <w:rPr>
                <w:rFonts w:hint="eastAsia" w:cs="Times New Roman"/>
                <w:color w:val="auto"/>
                <w:kern w:val="0"/>
                <w:sz w:val="24"/>
                <w:szCs w:val="24"/>
                <w:highlight w:val="none"/>
                <w:lang w:val="en-US" w:eastAsia="zh-CN"/>
              </w:rPr>
              <w:t>11000</w:t>
            </w:r>
            <w:r>
              <w:rPr>
                <w:rFonts w:hint="default" w:ascii="Times New Roman" w:hAnsi="Times New Roman" w:cs="Times New Roman"/>
                <w:color w:val="auto"/>
                <w:kern w:val="0"/>
                <w:sz w:val="24"/>
                <w:szCs w:val="24"/>
                <w:highlight w:val="none"/>
              </w:rPr>
              <w:t>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/h</w:t>
            </w:r>
            <w:r>
              <w:rPr>
                <w:rFonts w:hint="eastAsia" w:cs="Times New Roman"/>
                <w:color w:val="auto"/>
                <w:kern w:val="0"/>
                <w:sz w:val="24"/>
                <w:szCs w:val="24"/>
                <w:highlight w:val="none"/>
                <w:lang w:eastAsia="zh-CN"/>
              </w:rPr>
              <w:t>，</w:t>
            </w:r>
            <w:r>
              <w:rPr>
                <w:rFonts w:hint="eastAsia" w:cs="Times New Roman"/>
                <w:color w:val="auto"/>
                <w:sz w:val="24"/>
                <w:szCs w:val="22"/>
                <w:highlight w:val="none"/>
                <w:lang w:val="en-US" w:eastAsia="zh-CN"/>
              </w:rPr>
              <w:t>集气罩综合收集效率按90%计，袋式除尘器处理效率按90%计。以上工</w:t>
            </w:r>
            <w:r>
              <w:rPr>
                <w:rFonts w:hint="eastAsia" w:cs="Times New Roman"/>
                <w:color w:val="auto"/>
                <w:sz w:val="24"/>
                <w:szCs w:val="24"/>
                <w:highlight w:val="none"/>
                <w:lang w:val="en-US" w:eastAsia="zh-CN"/>
              </w:rPr>
              <w:t>序工作时间按</w:t>
            </w:r>
            <w:r>
              <w:rPr>
                <w:rFonts w:hint="eastAsia" w:cs="Times New Roman"/>
                <w:b w:val="0"/>
                <w:bCs w:val="0"/>
                <w:color w:val="auto"/>
                <w:sz w:val="24"/>
                <w:szCs w:val="24"/>
                <w:highlight w:val="none"/>
                <w:lang w:val="en-US" w:eastAsia="zh-CN"/>
              </w:rPr>
              <w:t>2080</w:t>
            </w:r>
            <w:r>
              <w:rPr>
                <w:rFonts w:hint="eastAsia" w:cs="Times New Roman"/>
                <w:color w:val="auto"/>
                <w:sz w:val="24"/>
                <w:szCs w:val="24"/>
                <w:highlight w:val="none"/>
                <w:lang w:val="en-US" w:eastAsia="zh-CN"/>
              </w:rPr>
              <w:t>h/a计，则DA001排气筒颗粒物有组织排放量为0.273</w:t>
            </w:r>
            <w:r>
              <w:rPr>
                <w:rFonts w:hint="eastAsia"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，排放速率为0.131kg/h；未收集粉尘在车间内沉降以无组织形式排放，则无组织排放量为0.304t/a，排放速率为0.146kg/h。</w:t>
            </w:r>
          </w:p>
          <w:p w14:paraId="3AB4A4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3、有机废气</w:t>
            </w:r>
          </w:p>
          <w:p w14:paraId="79435D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①注塑废气G1-2</w:t>
            </w:r>
          </w:p>
          <w:p w14:paraId="124175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cs="Times New Roman"/>
                <w:b w:val="0"/>
                <w:bCs w:val="0"/>
                <w:color w:val="auto"/>
                <w:sz w:val="24"/>
                <w:szCs w:val="24"/>
                <w:highlight w:val="none"/>
                <w:lang w:val="en-US" w:eastAsia="zh-CN"/>
              </w:rPr>
              <w:t>本项目</w:t>
            </w:r>
            <w:r>
              <w:rPr>
                <w:rFonts w:hint="eastAsia" w:cs="Times New Roman"/>
                <w:b w:val="0"/>
                <w:bCs w:val="0"/>
                <w:color w:val="auto"/>
                <w:sz w:val="24"/>
                <w:szCs w:val="24"/>
                <w:highlight w:val="none"/>
                <w:lang w:val="en-US" w:eastAsia="zh-CN"/>
              </w:rPr>
              <w:t>PVC连帮鞋</w:t>
            </w:r>
            <w:r>
              <w:rPr>
                <w:rFonts w:hint="default" w:ascii="Times New Roman" w:cs="Times New Roman"/>
                <w:b w:val="0"/>
                <w:bCs w:val="0"/>
                <w:color w:val="auto"/>
                <w:sz w:val="24"/>
                <w:szCs w:val="24"/>
                <w:highlight w:val="none"/>
                <w:lang w:val="en-US" w:eastAsia="zh-CN"/>
              </w:rPr>
              <w:t>使用原料</w:t>
            </w:r>
            <w:r>
              <w:rPr>
                <w:rFonts w:hint="eastAsia" w:cs="Times New Roman"/>
                <w:b w:val="0"/>
                <w:bCs w:val="0"/>
                <w:color w:val="auto"/>
                <w:sz w:val="24"/>
                <w:szCs w:val="24"/>
                <w:highlight w:val="none"/>
                <w:lang w:val="en-US" w:eastAsia="zh-CN"/>
              </w:rPr>
              <w:t>树脂粉</w:t>
            </w:r>
            <w:r>
              <w:rPr>
                <w:rFonts w:hint="default" w:ascii="Times New Roman" w:cs="Times New Roman"/>
                <w:b w:val="0"/>
                <w:bCs w:val="0"/>
                <w:color w:val="auto"/>
                <w:sz w:val="24"/>
                <w:szCs w:val="24"/>
                <w:highlight w:val="none"/>
                <w:lang w:val="en-US" w:eastAsia="zh-CN"/>
              </w:rPr>
              <w:t>为聚氯乙烯（PVC），</w:t>
            </w:r>
            <w:r>
              <w:rPr>
                <w:rFonts w:hint="eastAsia" w:cs="Times New Roman"/>
                <w:b w:val="0"/>
                <w:bCs w:val="0"/>
                <w:color w:val="auto"/>
                <w:sz w:val="24"/>
                <w:szCs w:val="24"/>
                <w:highlight w:val="none"/>
                <w:lang w:val="en-US" w:eastAsia="zh-CN"/>
              </w:rPr>
              <w:t>注塑电加热</w:t>
            </w:r>
            <w:r>
              <w:rPr>
                <w:rFonts w:hint="default" w:ascii="Times New Roman" w:cs="Times New Roman"/>
                <w:b w:val="0"/>
                <w:bCs w:val="0"/>
                <w:color w:val="auto"/>
                <w:sz w:val="24"/>
                <w:szCs w:val="24"/>
                <w:highlight w:val="none"/>
                <w:lang w:val="en-US" w:eastAsia="zh-CN"/>
              </w:rPr>
              <w:t>温度</w:t>
            </w:r>
            <w:r>
              <w:rPr>
                <w:rFonts w:hint="eastAsia" w:cs="Times New Roman"/>
                <w:b w:val="0"/>
                <w:bCs w:val="0"/>
                <w:color w:val="auto"/>
                <w:sz w:val="24"/>
                <w:szCs w:val="24"/>
                <w:highlight w:val="none"/>
                <w:lang w:val="en-US" w:eastAsia="zh-CN"/>
              </w:rPr>
              <w:t>约</w:t>
            </w:r>
            <w:r>
              <w:rPr>
                <w:rFonts w:hint="default" w:ascii="Times New Roman" w:cs="Times New Roman"/>
                <w:b w:val="0"/>
                <w:bCs w:val="0"/>
                <w:color w:val="auto"/>
                <w:sz w:val="24"/>
                <w:szCs w:val="24"/>
                <w:highlight w:val="none"/>
                <w:lang w:val="en-US" w:eastAsia="zh-CN"/>
              </w:rPr>
              <w:t>为1</w:t>
            </w:r>
            <w:r>
              <w:rPr>
                <w:rFonts w:hint="eastAsia" w:cs="Times New Roman"/>
                <w:b w:val="0"/>
                <w:bCs w:val="0"/>
                <w:color w:val="auto"/>
                <w:sz w:val="24"/>
                <w:szCs w:val="24"/>
                <w:highlight w:val="none"/>
                <w:lang w:val="en-US" w:eastAsia="zh-CN"/>
              </w:rPr>
              <w:t>50</w:t>
            </w:r>
            <w:r>
              <w:rPr>
                <w:rFonts w:hint="default" w:ascii="Times New Roman" w:cs="Times New Roman"/>
                <w:b w:val="0"/>
                <w:bCs w:val="0"/>
                <w:color w:val="auto"/>
                <w:sz w:val="24"/>
                <w:szCs w:val="24"/>
                <w:highlight w:val="none"/>
                <w:lang w:val="en-US" w:eastAsia="zh-CN"/>
              </w:rPr>
              <w:t>℃，低于聚氯乙烯分解温度（250℃~300℃），在正常生产条件下，一般不会产生塑料聚合物因受热而分解产生的废气，但加热过程会产生少量游离单体。根据</w:t>
            </w:r>
            <w:r>
              <w:rPr>
                <w:rFonts w:hint="eastAsia" w:cs="Times New Roman"/>
                <w:b w:val="0"/>
                <w:bCs w:val="0"/>
                <w:color w:val="auto"/>
                <w:sz w:val="24"/>
                <w:szCs w:val="24"/>
                <w:highlight w:val="none"/>
                <w:lang w:val="en-US" w:eastAsia="zh-CN"/>
              </w:rPr>
              <w:t>PVC</w:t>
            </w:r>
            <w:r>
              <w:rPr>
                <w:rFonts w:hint="default" w:ascii="Times New Roman" w:cs="Times New Roman"/>
                <w:b w:val="0"/>
                <w:bCs w:val="0"/>
                <w:color w:val="auto"/>
                <w:sz w:val="24"/>
                <w:szCs w:val="24"/>
                <w:highlight w:val="none"/>
                <w:lang w:val="en-US" w:eastAsia="zh-CN"/>
              </w:rPr>
              <w:t>的理化性质和类比调查，废气主要污染因子包括氯化氢、氯乙烯，以及烷烃、烯烃等（以非甲烷总烃计）。</w:t>
            </w:r>
            <w:r>
              <w:rPr>
                <w:rFonts w:hint="eastAsia" w:ascii="Times New Roman" w:cs="Times New Roman"/>
                <w:b w:val="0"/>
                <w:bCs w:val="0"/>
                <w:color w:val="auto"/>
                <w:sz w:val="24"/>
                <w:szCs w:val="24"/>
                <w:highlight w:val="none"/>
                <w:lang w:val="en-US" w:eastAsia="zh-CN"/>
              </w:rPr>
              <w:t>注塑</w:t>
            </w:r>
            <w:r>
              <w:rPr>
                <w:rFonts w:hint="eastAsia" w:cs="Times New Roman"/>
                <w:b w:val="0"/>
                <w:bCs w:val="0"/>
                <w:color w:val="auto"/>
                <w:sz w:val="24"/>
                <w:szCs w:val="24"/>
                <w:highlight w:val="none"/>
                <w:lang w:val="en-US" w:eastAsia="zh-CN"/>
              </w:rPr>
              <w:t>使用的</w:t>
            </w:r>
            <w:r>
              <w:rPr>
                <w:rFonts w:hint="eastAsia" w:ascii="Times New Roman" w:cs="Times New Roman"/>
                <w:b w:val="0"/>
                <w:bCs w:val="0"/>
                <w:color w:val="auto"/>
                <w:sz w:val="24"/>
                <w:szCs w:val="24"/>
                <w:highlight w:val="none"/>
                <w:lang w:val="en-US" w:eastAsia="zh-CN"/>
              </w:rPr>
              <w:t>增塑剂（</w:t>
            </w:r>
            <w:r>
              <w:rPr>
                <w:rFonts w:hint="eastAsia" w:cs="Times New Roman"/>
                <w:b w:val="0"/>
                <w:bCs w:val="0"/>
                <w:color w:val="auto"/>
                <w:sz w:val="24"/>
                <w:szCs w:val="24"/>
                <w:highlight w:val="none"/>
                <w:lang w:val="en-US" w:eastAsia="zh-CN"/>
              </w:rPr>
              <w:t>DOP</w:t>
            </w:r>
            <w:r>
              <w:rPr>
                <w:rFonts w:hint="eastAsia" w:ascii="Times New Roman" w:cs="Times New Roman"/>
                <w:b w:val="0"/>
                <w:bCs w:val="0"/>
                <w:color w:val="auto"/>
                <w:sz w:val="24"/>
                <w:szCs w:val="24"/>
                <w:highlight w:val="none"/>
                <w:lang w:val="en-US" w:eastAsia="zh-CN"/>
              </w:rPr>
              <w:t>）的沸点383℃，饱和蒸汽压为1mmHg</w:t>
            </w:r>
            <w:r>
              <w:rPr>
                <w:rFonts w:hint="eastAsia" w:cs="Times New Roman"/>
                <w:b w:val="0"/>
                <w:bCs w:val="0"/>
                <w:color w:val="auto"/>
                <w:sz w:val="24"/>
                <w:szCs w:val="24"/>
                <w:highlight w:val="none"/>
                <w:lang w:val="en-US" w:eastAsia="zh-CN"/>
              </w:rPr>
              <w:t>（</w:t>
            </w:r>
            <w:r>
              <w:rPr>
                <w:rFonts w:hint="eastAsia" w:ascii="Times New Roman" w:cs="Times New Roman"/>
                <w:b w:val="0"/>
                <w:bCs w:val="0"/>
                <w:color w:val="auto"/>
                <w:sz w:val="24"/>
                <w:szCs w:val="24"/>
                <w:highlight w:val="none"/>
                <w:lang w:val="en-US" w:eastAsia="zh-CN"/>
              </w:rPr>
              <w:t>217℃</w:t>
            </w:r>
            <w:r>
              <w:rPr>
                <w:rFonts w:hint="eastAsia" w:cs="Times New Roman"/>
                <w:b w:val="0"/>
                <w:bCs w:val="0"/>
                <w:color w:val="auto"/>
                <w:sz w:val="24"/>
                <w:szCs w:val="24"/>
                <w:highlight w:val="none"/>
                <w:lang w:val="en-US" w:eastAsia="zh-CN"/>
              </w:rPr>
              <w:t>）</w:t>
            </w:r>
            <w:r>
              <w:rPr>
                <w:rFonts w:hint="eastAsia" w:ascii="Times New Roman" w:cs="Times New Roman"/>
                <w:b w:val="0"/>
                <w:bCs w:val="0"/>
                <w:color w:val="auto"/>
                <w:sz w:val="24"/>
                <w:szCs w:val="24"/>
                <w:highlight w:val="none"/>
                <w:lang w:val="en-US" w:eastAsia="zh-CN"/>
              </w:rPr>
              <w:t>，因此，本</w:t>
            </w:r>
            <w:r>
              <w:rPr>
                <w:rFonts w:hint="eastAsia" w:cs="Times New Roman"/>
                <w:b w:val="0"/>
                <w:bCs w:val="0"/>
                <w:color w:val="auto"/>
                <w:sz w:val="24"/>
                <w:szCs w:val="24"/>
                <w:highlight w:val="none"/>
                <w:lang w:val="en-US" w:eastAsia="zh-CN"/>
              </w:rPr>
              <w:t>次评价</w:t>
            </w:r>
            <w:r>
              <w:rPr>
                <w:rFonts w:hint="eastAsia" w:ascii="Times New Roman" w:cs="Times New Roman"/>
                <w:b w:val="0"/>
                <w:bCs w:val="0"/>
                <w:color w:val="auto"/>
                <w:sz w:val="24"/>
                <w:szCs w:val="24"/>
                <w:highlight w:val="none"/>
                <w:lang w:val="en-US" w:eastAsia="zh-CN"/>
              </w:rPr>
              <w:t>注塑不考虑对</w:t>
            </w:r>
            <w:r>
              <w:rPr>
                <w:rFonts w:hint="eastAsia" w:cs="Times New Roman"/>
                <w:b w:val="0"/>
                <w:bCs w:val="0"/>
                <w:color w:val="auto"/>
                <w:sz w:val="24"/>
                <w:szCs w:val="24"/>
                <w:highlight w:val="none"/>
                <w:lang w:val="en-US" w:eastAsia="zh-CN"/>
              </w:rPr>
              <w:t>DOP</w:t>
            </w:r>
            <w:r>
              <w:rPr>
                <w:rFonts w:hint="eastAsia" w:ascii="Times New Roman" w:cs="Times New Roman"/>
                <w:b w:val="0"/>
                <w:bCs w:val="0"/>
                <w:color w:val="auto"/>
                <w:sz w:val="24"/>
                <w:szCs w:val="24"/>
                <w:highlight w:val="none"/>
                <w:lang w:val="en-US" w:eastAsia="zh-CN"/>
              </w:rPr>
              <w:t>的挥发</w:t>
            </w:r>
            <w:r>
              <w:rPr>
                <w:rFonts w:hint="eastAsia" w:cs="Times New Roman"/>
                <w:b w:val="0"/>
                <w:bCs w:val="0"/>
                <w:color w:val="auto"/>
                <w:sz w:val="24"/>
                <w:szCs w:val="24"/>
                <w:highlight w:val="none"/>
                <w:lang w:val="en-US" w:eastAsia="zh-CN"/>
              </w:rPr>
              <w:t>。</w:t>
            </w:r>
          </w:p>
          <w:p w14:paraId="633CD0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根据</w:t>
            </w:r>
            <w:r>
              <w:rPr>
                <w:rFonts w:hint="default" w:ascii="Times New Roman" w:hAnsi="Times New Roman" w:eastAsia="宋体" w:cs="Times New Roman"/>
                <w:b w:val="0"/>
                <w:bCs w:val="0"/>
                <w:color w:val="auto"/>
                <w:sz w:val="24"/>
                <w:szCs w:val="24"/>
                <w:highlight w:val="none"/>
                <w:lang w:val="en-US" w:eastAsia="zh-CN"/>
              </w:rPr>
              <w:t>《排放源统计调查产排污核算方法和系数手册》中“</w:t>
            </w:r>
            <w:r>
              <w:rPr>
                <w:rFonts w:hint="eastAsia" w:cs="Times New Roman"/>
                <w:b w:val="0"/>
                <w:bCs w:val="0"/>
                <w:color w:val="auto"/>
                <w:sz w:val="24"/>
                <w:szCs w:val="24"/>
                <w:highlight w:val="none"/>
                <w:lang w:val="en-US" w:eastAsia="zh-CN"/>
              </w:rPr>
              <w:t>195</w:t>
            </w:r>
            <w:r>
              <w:rPr>
                <w:rFonts w:hint="default" w:ascii="Times New Roman" w:hAnsi="Times New Roman" w:eastAsia="宋体" w:cs="Times New Roman"/>
                <w:b w:val="0"/>
                <w:bCs w:val="0"/>
                <w:color w:val="auto"/>
                <w:sz w:val="24"/>
                <w:szCs w:val="24"/>
                <w:highlight w:val="none"/>
                <w:lang w:val="en-US" w:eastAsia="zh-CN"/>
              </w:rPr>
              <w:t xml:space="preserve"> </w:t>
            </w:r>
            <w:r>
              <w:rPr>
                <w:rFonts w:hint="eastAsia" w:cs="Times New Roman"/>
                <w:b w:val="0"/>
                <w:bCs w:val="0"/>
                <w:color w:val="auto"/>
                <w:sz w:val="24"/>
                <w:szCs w:val="24"/>
                <w:highlight w:val="none"/>
                <w:lang w:val="en-US" w:eastAsia="zh-CN"/>
              </w:rPr>
              <w:t>制鞋</w:t>
            </w:r>
            <w:r>
              <w:rPr>
                <w:rFonts w:hint="default" w:ascii="Times New Roman" w:hAnsi="Times New Roman" w:eastAsia="宋体" w:cs="Times New Roman"/>
                <w:b w:val="0"/>
                <w:bCs w:val="0"/>
                <w:color w:val="auto"/>
                <w:sz w:val="24"/>
                <w:szCs w:val="24"/>
                <w:highlight w:val="none"/>
                <w:lang w:val="en-US" w:eastAsia="zh-CN"/>
              </w:rPr>
              <w:t>行业系数手册”</w:t>
            </w:r>
            <w:r>
              <w:rPr>
                <w:rFonts w:hint="eastAsia" w:ascii="Times New Roman" w:hAnsi="Times New Roman" w:cs="Times New Roman"/>
                <w:b w:val="0"/>
                <w:bCs w:val="0"/>
                <w:color w:val="auto"/>
                <w:sz w:val="24"/>
                <w:szCs w:val="24"/>
                <w:highlight w:val="none"/>
                <w:lang w:val="en-US" w:eastAsia="zh-CN"/>
              </w:rPr>
              <w:t>，“对于鞋底部件(塑料鞋底、橡胶鞋底、鞋跟等)加工企业：应参照2919 其他橡胶制品制造行业、2929塑料零件及其他塑料制品制造行业核算污染物产排污量”。因此，本项目注塑工序</w:t>
            </w:r>
            <w:r>
              <w:rPr>
                <w:rFonts w:hint="eastAsia" w:ascii="Times New Roman" w:hAnsi="Times New Roman" w:eastAsia="宋体" w:cs="Times New Roman"/>
                <w:color w:val="auto"/>
                <w:sz w:val="24"/>
                <w:szCs w:val="24"/>
                <w:highlight w:val="none"/>
                <w:lang w:val="en-US" w:eastAsia="zh-CN"/>
              </w:rPr>
              <w:t>PVC加热产生的非甲烷总烃参照</w:t>
            </w:r>
            <w:r>
              <w:rPr>
                <w:rFonts w:hint="eastAsia" w:ascii="Times New Roman" w:hAnsi="Times New Roman" w:eastAsia="宋体" w:cs="Times New Roman"/>
                <w:color w:val="auto"/>
                <w:sz w:val="24"/>
                <w:szCs w:val="22"/>
                <w:highlight w:val="none"/>
                <w:lang w:val="en-US" w:eastAsia="zh-CN"/>
              </w:rPr>
              <w:t>《</w:t>
            </w:r>
            <w:r>
              <w:rPr>
                <w:rFonts w:hint="eastAsia" w:cs="Times New Roman"/>
                <w:color w:val="auto"/>
                <w:sz w:val="24"/>
                <w:szCs w:val="22"/>
                <w:highlight w:val="none"/>
                <w:lang w:val="en-US" w:eastAsia="zh-CN"/>
              </w:rPr>
              <w:t>292塑料制品</w:t>
            </w:r>
            <w:r>
              <w:rPr>
                <w:rFonts w:hint="eastAsia" w:ascii="Times New Roman" w:hAnsi="Times New Roman" w:eastAsia="宋体" w:cs="Times New Roman"/>
                <w:color w:val="auto"/>
                <w:sz w:val="24"/>
                <w:szCs w:val="22"/>
                <w:highlight w:val="none"/>
                <w:lang w:val="en-US" w:eastAsia="zh-CN"/>
              </w:rPr>
              <w:t>行业系数手册》中“</w:t>
            </w:r>
            <w:r>
              <w:rPr>
                <w:rFonts w:hint="eastAsia" w:cs="Times New Roman"/>
                <w:color w:val="auto"/>
                <w:sz w:val="24"/>
                <w:szCs w:val="22"/>
                <w:highlight w:val="none"/>
                <w:lang w:val="en-US" w:eastAsia="zh-CN"/>
              </w:rPr>
              <w:t>2929塑料零件及其他塑料制品制造</w:t>
            </w:r>
            <w:r>
              <w:rPr>
                <w:rFonts w:hint="eastAsia" w:ascii="Times New Roman" w:hAnsi="Times New Roman" w:eastAsia="宋体" w:cs="Times New Roman"/>
                <w:color w:val="auto"/>
                <w:sz w:val="24"/>
                <w:szCs w:val="22"/>
                <w:highlight w:val="none"/>
                <w:lang w:val="en-US" w:eastAsia="zh-CN"/>
              </w:rPr>
              <w:t>行业系数表”</w:t>
            </w:r>
            <w:r>
              <w:rPr>
                <w:rFonts w:hint="eastAsia" w:cs="Times New Roman"/>
                <w:color w:val="auto"/>
                <w:sz w:val="24"/>
                <w:szCs w:val="22"/>
                <w:highlight w:val="none"/>
                <w:lang w:val="en-US" w:eastAsia="zh-CN"/>
              </w:rPr>
              <w:t>：非甲烷总烃</w:t>
            </w:r>
            <w:r>
              <w:rPr>
                <w:rFonts w:hint="eastAsia" w:cs="Times New Roman"/>
                <w:b w:val="0"/>
                <w:bCs w:val="0"/>
                <w:color w:val="auto"/>
                <w:sz w:val="24"/>
                <w:szCs w:val="24"/>
                <w:highlight w:val="none"/>
                <w:lang w:val="en-US" w:eastAsia="zh-CN"/>
              </w:rPr>
              <w:t>的</w:t>
            </w:r>
            <w:r>
              <w:rPr>
                <w:rFonts w:hint="eastAsia" w:ascii="Times New Roman" w:hAnsi="Times New Roman" w:eastAsia="宋体" w:cs="Times New Roman"/>
                <w:b w:val="0"/>
                <w:bCs w:val="0"/>
                <w:color w:val="auto"/>
                <w:sz w:val="24"/>
                <w:szCs w:val="24"/>
                <w:highlight w:val="none"/>
                <w:lang w:val="en-US" w:eastAsia="zh-CN"/>
              </w:rPr>
              <w:t>产污系数为</w:t>
            </w:r>
            <w:r>
              <w:rPr>
                <w:rFonts w:hint="eastAsia" w:cs="Times New Roman"/>
                <w:b w:val="0"/>
                <w:bCs w:val="0"/>
                <w:color w:val="auto"/>
                <w:sz w:val="24"/>
                <w:szCs w:val="24"/>
                <w:highlight w:val="none"/>
                <w:lang w:val="en-US" w:eastAsia="zh-CN"/>
              </w:rPr>
              <w:t>2.70kg</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t</w:t>
            </w:r>
            <w:r>
              <w:rPr>
                <w:rFonts w:hint="eastAsia" w:ascii="Times New Roman" w:hAnsi="Times New Roman" w:eastAsia="宋体" w:cs="Times New Roman"/>
                <w:b w:val="0"/>
                <w:bCs w:val="0"/>
                <w:color w:val="auto"/>
                <w:sz w:val="24"/>
                <w:szCs w:val="24"/>
                <w:highlight w:val="none"/>
                <w:lang w:val="en-US" w:eastAsia="zh-CN"/>
              </w:rPr>
              <w:t>-产品</w:t>
            </w:r>
            <w:r>
              <w:rPr>
                <w:rFonts w:hint="eastAsia" w:cs="Times New Roman"/>
                <w:color w:val="auto"/>
                <w:sz w:val="24"/>
                <w:szCs w:val="24"/>
                <w:highlight w:val="none"/>
                <w:lang w:val="en-US" w:eastAsia="zh-CN"/>
              </w:rPr>
              <w:t>。本项目生产</w:t>
            </w:r>
            <w:r>
              <w:rPr>
                <w:rFonts w:hint="eastAsia" w:cs="Times New Roman"/>
                <w:b w:val="0"/>
                <w:bCs w:val="0"/>
                <w:color w:val="auto"/>
                <w:sz w:val="24"/>
                <w:szCs w:val="24"/>
                <w:highlight w:val="none"/>
                <w:lang w:val="en-US" w:eastAsia="zh-CN"/>
              </w:rPr>
              <w:t>PVC连帮鞋年产量225t/a，则非甲烷总烃产生量</w:t>
            </w:r>
            <w:r>
              <w:rPr>
                <w:rFonts w:hint="eastAsia" w:cs="Times New Roman"/>
                <w:color w:val="auto"/>
                <w:sz w:val="24"/>
                <w:szCs w:val="22"/>
                <w:highlight w:val="none"/>
                <w:lang w:val="en-US" w:eastAsia="zh-CN"/>
              </w:rPr>
              <w:t>为</w:t>
            </w:r>
            <w:r>
              <w:rPr>
                <w:rFonts w:hint="eastAsia" w:cs="Times New Roman"/>
                <w:b w:val="0"/>
                <w:bCs w:val="0"/>
                <w:color w:val="auto"/>
                <w:sz w:val="24"/>
                <w:szCs w:val="24"/>
                <w:highlight w:val="none"/>
                <w:lang w:val="en-US" w:eastAsia="zh-CN"/>
              </w:rPr>
              <w:t>2.70kg</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t</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color w:val="auto"/>
                <w:sz w:val="24"/>
                <w:szCs w:val="24"/>
                <w:highlight w:val="none"/>
                <w:lang w:val="en-US" w:eastAsia="zh-CN"/>
              </w:rPr>
              <w:t>225t/1000=0.608t/a。</w:t>
            </w:r>
          </w:p>
          <w:p w14:paraId="219B85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氯乙烯</w:t>
            </w:r>
            <w:r>
              <w:rPr>
                <w:rFonts w:hint="eastAsia" w:cs="Times New Roman"/>
                <w:color w:val="auto"/>
                <w:sz w:val="24"/>
                <w:szCs w:val="24"/>
                <w:highlight w:val="none"/>
                <w:lang w:val="en-US" w:eastAsia="zh-CN"/>
              </w:rPr>
              <w:t>、氯化氢</w:t>
            </w:r>
            <w:r>
              <w:rPr>
                <w:rFonts w:hint="eastAsia" w:cs="Times New Roman"/>
                <w:b w:val="0"/>
                <w:bCs w:val="0"/>
                <w:color w:val="auto"/>
                <w:sz w:val="24"/>
                <w:szCs w:val="24"/>
                <w:highlight w:val="none"/>
                <w:lang w:val="en-US" w:eastAsia="zh-CN"/>
              </w:rPr>
              <w:t>参照《气相色谱-质谱法分析聚氯乙烯加热分解产物》（林华影，林瑶，张伟，张琼中国卫生检验杂志 2008年 04月第18卷第4期）的研究：“实验条件:将25g纯聚氯烯粉末至250m具塞碘量瓶中，置于电热干燥箱中模拟加工使用温度，在90~250℃区间内逐步提高”及“加热温度150℃左右时，每1吨PVC分解产生的氯乙烯气体约为0.1157g、氯化氢气体约为0.0948g”，本环评参考该文献，氯乙烯的产污系数按0.1157g/t-PVC原料计，氯化氢的产污系数按0.0948g/t-PVC原料计。本项目年使用PVC树脂粉75t，则氯乙烯产生量为</w:t>
            </w:r>
            <w:r>
              <w:rPr>
                <w:rFonts w:hint="default" w:ascii="Times New Roman" w:hAnsi="Times New Roman" w:cs="Times New Roman"/>
                <w:b w:val="0"/>
                <w:bCs w:val="0"/>
                <w:color w:val="auto"/>
                <w:sz w:val="24"/>
                <w:szCs w:val="24"/>
                <w:highlight w:val="none"/>
                <w:lang w:val="en-US" w:eastAsia="zh-CN"/>
              </w:rPr>
              <w:t>75×0.1157×10</w:t>
            </w:r>
            <w:r>
              <w:rPr>
                <w:rFonts w:hint="default" w:ascii="Times New Roman" w:hAnsi="Times New Roman" w:cs="Times New Roman"/>
                <w:b w:val="0"/>
                <w:bCs w:val="0"/>
                <w:color w:val="auto"/>
                <w:sz w:val="24"/>
                <w:szCs w:val="24"/>
                <w:highlight w:val="none"/>
                <w:vertAlign w:val="superscript"/>
                <w:lang w:val="en-US" w:eastAsia="zh-CN"/>
              </w:rPr>
              <w:t>-3</w:t>
            </w:r>
            <w:r>
              <w:rPr>
                <w:rFonts w:hint="default" w:ascii="Times New Roman" w:hAnsi="Times New Roman" w:cs="Times New Roman"/>
                <w:b w:val="0"/>
                <w:bCs w:val="0"/>
                <w:color w:val="auto"/>
                <w:sz w:val="24"/>
                <w:szCs w:val="24"/>
                <w:highlight w:val="none"/>
                <w:lang w:val="en-US" w:eastAsia="zh-CN"/>
              </w:rPr>
              <w:t>=8.68kg/a</w:t>
            </w:r>
            <w:r>
              <w:rPr>
                <w:rFonts w:hint="eastAsia" w:cs="Times New Roman"/>
                <w:b w:val="0"/>
                <w:bCs w:val="0"/>
                <w:color w:val="auto"/>
                <w:sz w:val="24"/>
                <w:szCs w:val="24"/>
                <w:highlight w:val="none"/>
                <w:lang w:val="en-US" w:eastAsia="zh-CN"/>
              </w:rPr>
              <w:t>，氯化氢产生量为</w:t>
            </w:r>
            <w:r>
              <w:rPr>
                <w:rFonts w:hint="default" w:ascii="Times New Roman" w:hAnsi="Times New Roman" w:cs="Times New Roman"/>
                <w:b w:val="0"/>
                <w:bCs w:val="0"/>
                <w:color w:val="auto"/>
                <w:sz w:val="24"/>
                <w:szCs w:val="24"/>
                <w:highlight w:val="none"/>
                <w:lang w:val="en-US" w:eastAsia="zh-CN"/>
              </w:rPr>
              <w:t>75×0.</w:t>
            </w:r>
            <w:r>
              <w:rPr>
                <w:rFonts w:hint="eastAsia" w:ascii="Times New Roman" w:hAnsi="Times New Roman" w:cs="Times New Roman"/>
                <w:b w:val="0"/>
                <w:bCs w:val="0"/>
                <w:color w:val="auto"/>
                <w:sz w:val="24"/>
                <w:szCs w:val="24"/>
                <w:highlight w:val="none"/>
                <w:lang w:val="en-US" w:eastAsia="zh-CN"/>
              </w:rPr>
              <w:t>0948</w:t>
            </w:r>
            <w:r>
              <w:rPr>
                <w:rFonts w:hint="default" w:ascii="Times New Roman" w:hAnsi="Times New Roman" w:cs="Times New Roman"/>
                <w:b w:val="0"/>
                <w:bCs w:val="0"/>
                <w:color w:val="auto"/>
                <w:sz w:val="24"/>
                <w:szCs w:val="24"/>
                <w:highlight w:val="none"/>
                <w:lang w:val="en-US" w:eastAsia="zh-CN"/>
              </w:rPr>
              <w:t>×10</w:t>
            </w:r>
            <w:r>
              <w:rPr>
                <w:rFonts w:hint="default" w:ascii="Times New Roman" w:hAnsi="Times New Roman" w:cs="Times New Roman"/>
                <w:b w:val="0"/>
                <w:bCs w:val="0"/>
                <w:color w:val="auto"/>
                <w:sz w:val="24"/>
                <w:szCs w:val="24"/>
                <w:highlight w:val="none"/>
                <w:vertAlign w:val="superscript"/>
                <w:lang w:val="en-US" w:eastAsia="zh-CN"/>
              </w:rPr>
              <w:t>-3</w:t>
            </w:r>
            <w:r>
              <w:rPr>
                <w:rFonts w:hint="default" w:ascii="Times New Roman" w:hAnsi="Times New Roman" w:cs="Times New Roman"/>
                <w:b w:val="0"/>
                <w:bCs w:val="0"/>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7.11</w:t>
            </w:r>
            <w:r>
              <w:rPr>
                <w:rFonts w:hint="default" w:ascii="Times New Roman" w:hAnsi="Times New Roman" w:cs="Times New Roman"/>
                <w:b w:val="0"/>
                <w:bCs w:val="0"/>
                <w:color w:val="auto"/>
                <w:sz w:val="24"/>
                <w:szCs w:val="24"/>
                <w:highlight w:val="none"/>
                <w:lang w:val="en-US" w:eastAsia="zh-CN"/>
              </w:rPr>
              <w:t>kg/a</w:t>
            </w:r>
            <w:r>
              <w:rPr>
                <w:rFonts w:hint="default" w:ascii="Times New Roman" w:hAnsi="Times New Roman" w:eastAsia="宋体" w:cs="Times New Roman"/>
                <w:color w:val="auto"/>
                <w:sz w:val="24"/>
                <w:szCs w:val="24"/>
                <w:highlight w:val="none"/>
                <w:lang w:val="en-US" w:eastAsia="zh-CN"/>
              </w:rPr>
              <w:t>。</w:t>
            </w:r>
          </w:p>
          <w:p w14:paraId="2C5BA5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textAlignment w:val="auto"/>
              <w:rPr>
                <w:rFonts w:hint="eastAsia" w:cs="Times New Roman"/>
                <w:b w:val="0"/>
                <w:bCs w:val="0"/>
                <w:color w:val="auto"/>
                <w:kern w:val="0"/>
                <w:sz w:val="24"/>
                <w:szCs w:val="24"/>
                <w:highlight w:val="none"/>
                <w:lang w:val="en-US" w:eastAsia="zh-CN" w:bidi="ar-SA"/>
              </w:rPr>
            </w:pPr>
            <w:r>
              <w:rPr>
                <w:rFonts w:hint="eastAsia" w:cs="Times New Roman"/>
                <w:b w:val="0"/>
                <w:bCs w:val="0"/>
                <w:color w:val="auto"/>
                <w:kern w:val="0"/>
                <w:sz w:val="24"/>
                <w:szCs w:val="24"/>
                <w:highlight w:val="none"/>
                <w:lang w:val="en-US" w:eastAsia="zh-CN" w:bidi="ar-SA"/>
              </w:rPr>
              <w:t>②浇注废气G2-2</w:t>
            </w:r>
          </w:p>
          <w:p w14:paraId="3595A0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本</w:t>
            </w:r>
            <w:r>
              <w:rPr>
                <w:rFonts w:hint="eastAsia" w:ascii="Times New Roman" w:hAnsi="Times New Roman" w:eastAsia="宋体" w:cs="Times New Roman"/>
                <w:color w:val="auto"/>
                <w:kern w:val="2"/>
                <w:sz w:val="24"/>
                <w:szCs w:val="24"/>
                <w:highlight w:val="none"/>
                <w:lang w:val="en-US" w:eastAsia="zh-CN" w:bidi="ar-SA"/>
              </w:rPr>
              <w:t>项目</w:t>
            </w:r>
            <w:r>
              <w:rPr>
                <w:rFonts w:hint="eastAsia" w:cs="Times New Roman"/>
                <w:color w:val="auto"/>
                <w:kern w:val="2"/>
                <w:sz w:val="24"/>
                <w:szCs w:val="24"/>
                <w:highlight w:val="none"/>
                <w:lang w:val="en-US" w:eastAsia="zh-CN" w:bidi="ar-SA"/>
              </w:rPr>
              <w:t>PU连帮鞋</w:t>
            </w:r>
            <w:r>
              <w:rPr>
                <w:rFonts w:hint="eastAsia" w:ascii="Times New Roman" w:hAnsi="Times New Roman" w:eastAsia="宋体" w:cs="Times New Roman"/>
                <w:color w:val="auto"/>
                <w:kern w:val="2"/>
                <w:sz w:val="24"/>
                <w:szCs w:val="24"/>
                <w:highlight w:val="none"/>
                <w:lang w:val="en-US" w:eastAsia="zh-CN" w:bidi="ar-SA"/>
              </w:rPr>
              <w:t>采用聚氨酯原液进行注塑，采用建设单位提供的聚氨酯A料</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多元醇、乙二醇</w:t>
            </w:r>
            <w:r>
              <w:rPr>
                <w:rFonts w:hint="eastAsia" w:cs="Times New Roman"/>
                <w:color w:val="auto"/>
                <w:kern w:val="2"/>
                <w:sz w:val="24"/>
                <w:szCs w:val="24"/>
                <w:highlight w:val="none"/>
                <w:lang w:val="en-US" w:eastAsia="zh-CN" w:bidi="ar-SA"/>
              </w:rPr>
              <w:t>、有机硅表面活性剂）</w:t>
            </w:r>
            <w:r>
              <w:rPr>
                <w:rFonts w:hint="eastAsia" w:ascii="Times New Roman" w:hAnsi="Times New Roman" w:eastAsia="宋体" w:cs="Times New Roman"/>
                <w:color w:val="auto"/>
                <w:kern w:val="2"/>
                <w:sz w:val="24"/>
                <w:szCs w:val="24"/>
                <w:highlight w:val="none"/>
                <w:lang w:val="en-US" w:eastAsia="zh-CN" w:bidi="ar-SA"/>
              </w:rPr>
              <w:t>、B料</w:t>
            </w:r>
            <w:r>
              <w:rPr>
                <w:rFonts w:hint="eastAsia" w:cs="Times New Roman"/>
                <w:color w:val="auto"/>
                <w:kern w:val="2"/>
                <w:sz w:val="24"/>
                <w:szCs w:val="24"/>
                <w:highlight w:val="none"/>
                <w:lang w:val="en-US" w:eastAsia="zh-CN" w:bidi="ar-SA"/>
              </w:rPr>
              <w:t>（二苯基甲烷二异氰酸酯）</w:t>
            </w:r>
            <w:r>
              <w:rPr>
                <w:rFonts w:hint="eastAsia" w:ascii="Times New Roman" w:hAnsi="Times New Roman" w:eastAsia="宋体" w:cs="Times New Roman"/>
                <w:color w:val="auto"/>
                <w:kern w:val="2"/>
                <w:sz w:val="24"/>
                <w:szCs w:val="24"/>
                <w:highlight w:val="none"/>
                <w:lang w:val="en-US" w:eastAsia="zh-CN" w:bidi="ar-SA"/>
              </w:rPr>
              <w:t>、C料</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三乙烯二胺、乙二醇</w:t>
            </w:r>
            <w:r>
              <w:rPr>
                <w:rFonts w:hint="eastAsia" w:cs="Times New Roman"/>
                <w:color w:val="auto"/>
                <w:kern w:val="2"/>
                <w:sz w:val="24"/>
                <w:szCs w:val="24"/>
                <w:highlight w:val="none"/>
                <w:lang w:val="en-US" w:eastAsia="zh-CN" w:bidi="ar-SA"/>
              </w:rPr>
              <w:t>）和硬化剂（乙二醇）</w:t>
            </w:r>
            <w:r>
              <w:rPr>
                <w:rFonts w:hint="eastAsia" w:ascii="Times New Roman" w:hAnsi="Times New Roman" w:eastAsia="宋体" w:cs="Times New Roman"/>
                <w:color w:val="auto"/>
                <w:kern w:val="2"/>
                <w:sz w:val="24"/>
                <w:szCs w:val="24"/>
                <w:highlight w:val="none"/>
                <w:lang w:val="en-US" w:eastAsia="zh-CN" w:bidi="ar-SA"/>
              </w:rPr>
              <w:t>，聚氨酯注塑发泡是由聚氨酯原液A</w:t>
            </w:r>
            <w:r>
              <w:rPr>
                <w:rFonts w:hint="eastAsia" w:cs="Times New Roman"/>
                <w:color w:val="auto"/>
                <w:kern w:val="2"/>
                <w:sz w:val="24"/>
                <w:szCs w:val="24"/>
                <w:highlight w:val="none"/>
                <w:lang w:val="en-US" w:eastAsia="zh-CN" w:bidi="ar-SA"/>
              </w:rPr>
              <w:t>中</w:t>
            </w:r>
            <w:r>
              <w:rPr>
                <w:rFonts w:hint="eastAsia" w:ascii="Times New Roman" w:hAnsi="Times New Roman" w:eastAsia="宋体" w:cs="Times New Roman"/>
                <w:color w:val="auto"/>
                <w:kern w:val="2"/>
                <w:sz w:val="24"/>
                <w:szCs w:val="24"/>
                <w:highlight w:val="none"/>
                <w:lang w:val="en-US" w:eastAsia="zh-CN" w:bidi="ar-SA"/>
              </w:rPr>
              <w:t>多元醇</w:t>
            </w:r>
            <w:r>
              <w:rPr>
                <w:rFonts w:hint="eastAsia" w:cs="Times New Roman"/>
                <w:color w:val="auto"/>
                <w:kern w:val="2"/>
                <w:sz w:val="24"/>
                <w:szCs w:val="24"/>
                <w:highlight w:val="none"/>
                <w:lang w:val="en-US" w:eastAsia="zh-CN" w:bidi="ar-SA"/>
              </w:rPr>
              <w:t>和</w:t>
            </w:r>
            <w:r>
              <w:rPr>
                <w:rFonts w:hint="eastAsia" w:ascii="Times New Roman" w:hAnsi="Times New Roman" w:eastAsia="宋体" w:cs="Times New Roman"/>
                <w:color w:val="auto"/>
                <w:kern w:val="2"/>
                <w:sz w:val="24"/>
                <w:szCs w:val="24"/>
                <w:highlight w:val="none"/>
                <w:lang w:val="en-US" w:eastAsia="zh-CN" w:bidi="ar-SA"/>
              </w:rPr>
              <w:t>乙二醇与聚氨酯原液B异氰酸酯混合</w:t>
            </w:r>
            <w:r>
              <w:rPr>
                <w:rFonts w:hint="eastAsia" w:cs="Times New Roman"/>
                <w:color w:val="auto"/>
                <w:kern w:val="2"/>
                <w:sz w:val="24"/>
                <w:szCs w:val="24"/>
                <w:highlight w:val="none"/>
                <w:lang w:val="en-US" w:eastAsia="zh-CN" w:bidi="ar-SA"/>
              </w:rPr>
              <w:t>，以</w:t>
            </w:r>
            <w:r>
              <w:rPr>
                <w:rFonts w:hint="eastAsia" w:ascii="Times New Roman" w:hAnsi="Times New Roman" w:eastAsia="宋体" w:cs="Times New Roman"/>
                <w:color w:val="auto"/>
                <w:kern w:val="2"/>
                <w:sz w:val="24"/>
                <w:szCs w:val="24"/>
                <w:highlight w:val="none"/>
                <w:lang w:val="en-US" w:eastAsia="zh-CN" w:bidi="ar-SA"/>
              </w:rPr>
              <w:t>聚氨酯原液C</w:t>
            </w:r>
            <w:r>
              <w:rPr>
                <w:rFonts w:hint="eastAsia" w:cs="Times New Roman"/>
                <w:color w:val="auto"/>
                <w:kern w:val="2"/>
                <w:sz w:val="24"/>
                <w:szCs w:val="24"/>
                <w:highlight w:val="none"/>
                <w:lang w:val="en-US" w:eastAsia="zh-CN" w:bidi="ar-SA"/>
              </w:rPr>
              <w:t>中三乙烯二胺作为</w:t>
            </w:r>
            <w:r>
              <w:rPr>
                <w:rFonts w:hint="eastAsia" w:ascii="Times New Roman" w:hAnsi="Times New Roman" w:eastAsia="宋体" w:cs="Times New Roman"/>
                <w:color w:val="auto"/>
                <w:kern w:val="2"/>
                <w:sz w:val="24"/>
                <w:szCs w:val="24"/>
                <w:highlight w:val="none"/>
                <w:lang w:val="en-US" w:eastAsia="zh-CN" w:bidi="ar-SA"/>
              </w:rPr>
              <w:t>催化剂</w:t>
            </w:r>
            <w:r>
              <w:rPr>
                <w:rFonts w:hint="eastAsia" w:cs="Times New Roman"/>
                <w:color w:val="auto"/>
                <w:kern w:val="2"/>
                <w:sz w:val="24"/>
                <w:szCs w:val="24"/>
                <w:highlight w:val="none"/>
                <w:lang w:val="en-US" w:eastAsia="zh-CN" w:bidi="ar-SA"/>
              </w:rPr>
              <w:t>，其中</w:t>
            </w:r>
            <w:r>
              <w:rPr>
                <w:rFonts w:hint="eastAsia" w:ascii="Times New Roman" w:hAnsi="Times New Roman" w:eastAsia="宋体" w:cs="Times New Roman"/>
                <w:color w:val="auto"/>
                <w:kern w:val="2"/>
                <w:sz w:val="24"/>
                <w:szCs w:val="24"/>
                <w:highlight w:val="none"/>
                <w:lang w:val="en-US" w:eastAsia="zh-CN" w:bidi="ar-SA"/>
              </w:rPr>
              <w:t>异氰酸酯与多元醇、乙二醇等含羟基化合物的活性氢反应形成的一种具有氨基甲酸酯链段重复结构单元的聚合物，短时间内</w:t>
            </w:r>
            <w:r>
              <w:rPr>
                <w:rFonts w:hint="eastAsia" w:cs="Times New Roman"/>
                <w:color w:val="auto"/>
                <w:kern w:val="2"/>
                <w:sz w:val="24"/>
                <w:szCs w:val="24"/>
                <w:highlight w:val="none"/>
                <w:lang w:val="en-US" w:eastAsia="zh-CN" w:bidi="ar-SA"/>
              </w:rPr>
              <w:t>会</w:t>
            </w:r>
            <w:r>
              <w:rPr>
                <w:rFonts w:hint="eastAsia" w:ascii="Times New Roman" w:hAnsi="Times New Roman" w:eastAsia="宋体" w:cs="Times New Roman"/>
                <w:color w:val="auto"/>
                <w:kern w:val="2"/>
                <w:sz w:val="24"/>
                <w:szCs w:val="24"/>
                <w:highlight w:val="none"/>
                <w:lang w:val="en-US" w:eastAsia="zh-CN" w:bidi="ar-SA"/>
              </w:rPr>
              <w:t>有少量废气挥发出来</w:t>
            </w:r>
            <w:r>
              <w:rPr>
                <w:rFonts w:hint="eastAsia" w:cs="Times New Roman"/>
                <w:color w:val="auto"/>
                <w:kern w:val="2"/>
                <w:sz w:val="24"/>
                <w:szCs w:val="24"/>
                <w:highlight w:val="none"/>
                <w:lang w:val="en-US" w:eastAsia="zh-CN" w:bidi="ar-SA"/>
              </w:rPr>
              <w:t>。</w:t>
            </w:r>
          </w:p>
          <w:p w14:paraId="40FDFE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b w:val="0"/>
                <w:bCs w:val="0"/>
                <w:color w:val="auto"/>
                <w:sz w:val="24"/>
                <w:szCs w:val="24"/>
                <w:highlight w:val="none"/>
                <w:lang w:val="en-US" w:eastAsia="zh-CN"/>
              </w:rPr>
              <w:t>根据</w:t>
            </w:r>
            <w:r>
              <w:rPr>
                <w:rFonts w:hint="default" w:ascii="Times New Roman" w:hAnsi="Times New Roman" w:eastAsia="宋体" w:cs="Times New Roman"/>
                <w:b w:val="0"/>
                <w:bCs w:val="0"/>
                <w:color w:val="auto"/>
                <w:sz w:val="24"/>
                <w:szCs w:val="24"/>
                <w:highlight w:val="none"/>
                <w:lang w:val="en-US" w:eastAsia="zh-CN"/>
              </w:rPr>
              <w:t>《排放源统计调查产排污核算方法和系数手册》中“</w:t>
            </w:r>
            <w:r>
              <w:rPr>
                <w:rFonts w:hint="eastAsia" w:cs="Times New Roman"/>
                <w:b w:val="0"/>
                <w:bCs w:val="0"/>
                <w:color w:val="auto"/>
                <w:sz w:val="24"/>
                <w:szCs w:val="24"/>
                <w:highlight w:val="none"/>
                <w:lang w:val="en-US" w:eastAsia="zh-CN"/>
              </w:rPr>
              <w:t>195</w:t>
            </w:r>
            <w:r>
              <w:rPr>
                <w:rFonts w:hint="default" w:ascii="Times New Roman" w:hAnsi="Times New Roman" w:eastAsia="宋体" w:cs="Times New Roman"/>
                <w:b w:val="0"/>
                <w:bCs w:val="0"/>
                <w:color w:val="auto"/>
                <w:sz w:val="24"/>
                <w:szCs w:val="24"/>
                <w:highlight w:val="none"/>
                <w:lang w:val="en-US" w:eastAsia="zh-CN"/>
              </w:rPr>
              <w:t xml:space="preserve"> </w:t>
            </w:r>
            <w:r>
              <w:rPr>
                <w:rFonts w:hint="eastAsia" w:cs="Times New Roman"/>
                <w:b w:val="0"/>
                <w:bCs w:val="0"/>
                <w:color w:val="auto"/>
                <w:sz w:val="24"/>
                <w:szCs w:val="24"/>
                <w:highlight w:val="none"/>
                <w:lang w:val="en-US" w:eastAsia="zh-CN"/>
              </w:rPr>
              <w:t>制鞋</w:t>
            </w:r>
            <w:r>
              <w:rPr>
                <w:rFonts w:hint="default" w:ascii="Times New Roman" w:hAnsi="Times New Roman" w:eastAsia="宋体" w:cs="Times New Roman"/>
                <w:b w:val="0"/>
                <w:bCs w:val="0"/>
                <w:color w:val="auto"/>
                <w:sz w:val="24"/>
                <w:szCs w:val="24"/>
                <w:highlight w:val="none"/>
                <w:lang w:val="en-US" w:eastAsia="zh-CN"/>
              </w:rPr>
              <w:t>行业系数手册”</w:t>
            </w:r>
            <w:r>
              <w:rPr>
                <w:rFonts w:hint="eastAsia" w:ascii="Times New Roman" w:hAnsi="Times New Roman" w:cs="Times New Roman"/>
                <w:b w:val="0"/>
                <w:bCs w:val="0"/>
                <w:color w:val="auto"/>
                <w:sz w:val="24"/>
                <w:szCs w:val="24"/>
                <w:highlight w:val="none"/>
                <w:lang w:val="en-US" w:eastAsia="zh-CN"/>
              </w:rPr>
              <w:t>，“对于鞋底部件(塑料鞋底、橡胶鞋底、鞋跟等)加工企业：应参照2919 其他橡胶制品制造行业、2929塑料零件及其他塑料制品制造行业核算污染物产排污量”。因此，</w:t>
            </w:r>
            <w:r>
              <w:rPr>
                <w:rFonts w:hint="eastAsia" w:cs="Times New Roman"/>
                <w:color w:val="auto"/>
                <w:kern w:val="2"/>
                <w:sz w:val="24"/>
                <w:szCs w:val="24"/>
                <w:highlight w:val="none"/>
                <w:lang w:val="en-US" w:eastAsia="zh-CN" w:bidi="ar-SA"/>
              </w:rPr>
              <w:t>非甲烷总烃产生量参照</w:t>
            </w:r>
            <w:r>
              <w:rPr>
                <w:rFonts w:hint="eastAsia" w:ascii="Times New Roman" w:hAnsi="Times New Roman" w:eastAsia="宋体" w:cs="Times New Roman"/>
                <w:b w:val="0"/>
                <w:bCs w:val="0"/>
                <w:color w:val="auto"/>
                <w:sz w:val="24"/>
                <w:szCs w:val="22"/>
                <w:highlight w:val="none"/>
                <w:lang w:val="en-US" w:eastAsia="zh-CN"/>
              </w:rPr>
              <w:t>浙江省环境保护科学设计研究院编制的《浙江省重点行业VOCs污染排放源排放量计算方法》（版本1.1）中表1-7塑料行业的排放系数：</w:t>
            </w:r>
            <w:r>
              <w:rPr>
                <w:rFonts w:hint="eastAsia" w:cs="Times New Roman"/>
                <w:b w:val="0"/>
                <w:bCs w:val="0"/>
                <w:color w:val="auto"/>
                <w:sz w:val="24"/>
                <w:szCs w:val="22"/>
                <w:highlight w:val="none"/>
                <w:lang w:val="en-US" w:eastAsia="zh-CN"/>
              </w:rPr>
              <w:t>其他塑料制品</w:t>
            </w:r>
            <w:r>
              <w:rPr>
                <w:rFonts w:hint="eastAsia" w:ascii="Times New Roman" w:hAnsi="Times New Roman" w:eastAsia="宋体" w:cs="Times New Roman"/>
                <w:b w:val="0"/>
                <w:bCs w:val="0"/>
                <w:color w:val="auto"/>
                <w:sz w:val="24"/>
                <w:szCs w:val="22"/>
                <w:highlight w:val="none"/>
                <w:lang w:val="en-US" w:eastAsia="zh-CN"/>
              </w:rPr>
              <w:t>制造工序单位排放系数为</w:t>
            </w:r>
            <w:r>
              <w:rPr>
                <w:rFonts w:hint="eastAsia" w:cs="Times New Roman"/>
                <w:b w:val="0"/>
                <w:bCs w:val="0"/>
                <w:color w:val="auto"/>
                <w:sz w:val="24"/>
                <w:szCs w:val="22"/>
                <w:highlight w:val="none"/>
                <w:lang w:val="en-US" w:eastAsia="zh-CN"/>
              </w:rPr>
              <w:t>2.368</w:t>
            </w:r>
            <w:r>
              <w:rPr>
                <w:rFonts w:hint="eastAsia" w:ascii="Times New Roman" w:hAnsi="Times New Roman" w:eastAsia="宋体" w:cs="Times New Roman"/>
                <w:b w:val="0"/>
                <w:bCs w:val="0"/>
                <w:color w:val="auto"/>
                <w:sz w:val="24"/>
                <w:szCs w:val="22"/>
                <w:highlight w:val="none"/>
                <w:lang w:val="en-US" w:eastAsia="zh-CN"/>
              </w:rPr>
              <w:t>kg/t</w:t>
            </w:r>
            <w:r>
              <w:rPr>
                <w:rFonts w:hint="eastAsia" w:cs="Times New Roman"/>
                <w:b w:val="0"/>
                <w:bCs w:val="0"/>
                <w:color w:val="auto"/>
                <w:sz w:val="24"/>
                <w:szCs w:val="22"/>
                <w:highlight w:val="none"/>
                <w:lang w:val="en-US" w:eastAsia="zh-CN"/>
              </w:rPr>
              <w:t>-树脂</w:t>
            </w:r>
            <w:r>
              <w:rPr>
                <w:rFonts w:hint="eastAsia" w:ascii="Times New Roman" w:hAnsi="Times New Roman" w:eastAsia="宋体" w:cs="Times New Roman"/>
                <w:b w:val="0"/>
                <w:bCs w:val="0"/>
                <w:color w:val="auto"/>
                <w:sz w:val="24"/>
                <w:szCs w:val="22"/>
                <w:highlight w:val="none"/>
                <w:lang w:val="en-US" w:eastAsia="zh-CN"/>
              </w:rPr>
              <w:t>原料</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项目</w:t>
            </w:r>
            <w:r>
              <w:rPr>
                <w:rFonts w:hint="eastAsia" w:ascii="Times New Roman" w:hAnsi="Times New Roman" w:eastAsia="宋体" w:cs="Times New Roman"/>
                <w:color w:val="auto"/>
                <w:kern w:val="2"/>
                <w:sz w:val="24"/>
                <w:szCs w:val="24"/>
                <w:highlight w:val="none"/>
                <w:lang w:val="en-US" w:eastAsia="zh-CN" w:bidi="ar-SA"/>
              </w:rPr>
              <w:t>聚氨酯原液总用量约19</w:t>
            </w:r>
            <w:r>
              <w:rPr>
                <w:rFonts w:hint="eastAsia" w:cs="Times New Roman"/>
                <w:color w:val="auto"/>
                <w:kern w:val="2"/>
                <w:sz w:val="24"/>
                <w:szCs w:val="24"/>
                <w:highlight w:val="none"/>
                <w:lang w:val="en-US" w:eastAsia="zh-CN" w:bidi="ar-SA"/>
              </w:rPr>
              <w:t>0</w:t>
            </w:r>
            <w:r>
              <w:rPr>
                <w:rFonts w:hint="eastAsia" w:ascii="Times New Roman" w:hAnsi="Times New Roman" w:eastAsia="宋体" w:cs="Times New Roman"/>
                <w:color w:val="auto"/>
                <w:kern w:val="2"/>
                <w:sz w:val="24"/>
                <w:szCs w:val="24"/>
                <w:highlight w:val="none"/>
                <w:lang w:val="en-US" w:eastAsia="zh-CN" w:bidi="ar-SA"/>
              </w:rPr>
              <w:t>t/a</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则非甲烷总烃产生量</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19</w:t>
            </w:r>
            <w:r>
              <w:rPr>
                <w:rFonts w:hint="eastAsia" w:cs="Times New Roman"/>
                <w:color w:val="auto"/>
                <w:kern w:val="2"/>
                <w:sz w:val="24"/>
                <w:szCs w:val="24"/>
                <w:highlight w:val="none"/>
                <w:lang w:val="en-US" w:eastAsia="zh-CN" w:bidi="ar-SA"/>
              </w:rPr>
              <w:t>0</w:t>
            </w:r>
            <w:r>
              <w:rPr>
                <w:rFonts w:hint="eastAsia" w:ascii="Times New Roman" w:hAnsi="Times New Roman" w:eastAsia="宋体" w:cs="Times New Roman"/>
                <w:color w:val="auto"/>
                <w:kern w:val="2"/>
                <w:sz w:val="24"/>
                <w:szCs w:val="24"/>
                <w:highlight w:val="none"/>
                <w:lang w:val="en-US" w:eastAsia="zh-CN" w:bidi="ar-SA"/>
              </w:rPr>
              <w:t>t/a</w:t>
            </w:r>
            <w:r>
              <w:rPr>
                <w:rFonts w:hint="default"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2"/>
                <w:highlight w:val="none"/>
                <w:lang w:val="en-US" w:eastAsia="zh-CN"/>
              </w:rPr>
              <w:t>2.368</w:t>
            </w:r>
            <w:r>
              <w:rPr>
                <w:rFonts w:hint="eastAsia" w:ascii="Times New Roman" w:hAnsi="Times New Roman" w:eastAsia="宋体" w:cs="Times New Roman"/>
                <w:b w:val="0"/>
                <w:bCs w:val="0"/>
                <w:color w:val="auto"/>
                <w:sz w:val="24"/>
                <w:szCs w:val="22"/>
                <w:highlight w:val="none"/>
                <w:lang w:val="en-US" w:eastAsia="zh-CN"/>
              </w:rPr>
              <w:t>kg/t</w:t>
            </w:r>
            <w:r>
              <w:rPr>
                <w:rFonts w:hint="eastAsia" w:cs="Times New Roman"/>
                <w:b w:val="0"/>
                <w:bCs w:val="0"/>
                <w:color w:val="auto"/>
                <w:sz w:val="24"/>
                <w:szCs w:val="22"/>
                <w:highlight w:val="none"/>
                <w:lang w:val="en-US" w:eastAsia="zh-CN"/>
              </w:rPr>
              <w:t>=</w:t>
            </w:r>
            <w:r>
              <w:rPr>
                <w:rFonts w:hint="eastAsia" w:cs="Times New Roman"/>
                <w:color w:val="auto"/>
                <w:kern w:val="2"/>
                <w:sz w:val="24"/>
                <w:szCs w:val="24"/>
                <w:highlight w:val="none"/>
                <w:lang w:val="en-US" w:eastAsia="zh-CN" w:bidi="ar-SA"/>
              </w:rPr>
              <w:t>0.45</w:t>
            </w:r>
            <w:r>
              <w:rPr>
                <w:rFonts w:hint="eastAsia" w:ascii="Times New Roman" w:hAnsi="Times New Roman" w:eastAsia="宋体" w:cs="Times New Roman"/>
                <w:color w:val="auto"/>
                <w:kern w:val="2"/>
                <w:sz w:val="24"/>
                <w:szCs w:val="24"/>
                <w:highlight w:val="none"/>
                <w:lang w:val="en-US" w:eastAsia="zh-CN" w:bidi="ar-SA"/>
              </w:rPr>
              <w:t>t/a。</w:t>
            </w:r>
          </w:p>
          <w:p w14:paraId="6C46C2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③脱模剂废气G2-1</w:t>
            </w:r>
          </w:p>
          <w:p w14:paraId="581E92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val="0"/>
                <w:bCs w:val="0"/>
                <w:color w:val="auto"/>
                <w:sz w:val="24"/>
                <w:szCs w:val="22"/>
                <w:highlight w:val="none"/>
                <w:lang w:val="en-US" w:eastAsia="zh-CN"/>
              </w:rPr>
              <w:t>本项目生产过程中需向模具中喷洒水性脱模剂，</w:t>
            </w:r>
            <w:r>
              <w:rPr>
                <w:rFonts w:hint="eastAsia" w:ascii="Times New Roman" w:hAnsi="Times New Roman" w:cs="Times New Roman"/>
                <w:color w:val="auto"/>
                <w:sz w:val="24"/>
                <w:szCs w:val="24"/>
                <w:highlight w:val="none"/>
                <w:lang w:val="en-US" w:eastAsia="zh-CN"/>
              </w:rPr>
              <w:t>浇注机混合头</w:t>
            </w:r>
            <w:r>
              <w:rPr>
                <w:rFonts w:hint="eastAsia" w:cs="Times New Roman"/>
                <w:color w:val="auto"/>
                <w:sz w:val="24"/>
                <w:szCs w:val="24"/>
                <w:highlight w:val="none"/>
                <w:lang w:val="en-US" w:eastAsia="zh-CN"/>
              </w:rPr>
              <w:t>需定期采用脱模剂清洗，</w:t>
            </w:r>
            <w:r>
              <w:rPr>
                <w:rFonts w:hint="eastAsia" w:ascii="Times New Roman" w:hAnsi="Times New Roman" w:eastAsia="宋体" w:cs="Times New Roman"/>
                <w:b w:val="0"/>
                <w:bCs w:val="0"/>
                <w:color w:val="auto"/>
                <w:sz w:val="24"/>
                <w:szCs w:val="22"/>
                <w:highlight w:val="none"/>
                <w:lang w:val="en-US" w:eastAsia="zh-CN"/>
              </w:rPr>
              <w:t>以保护模具和保证鞋底质量。根据</w:t>
            </w:r>
            <w:r>
              <w:rPr>
                <w:rFonts w:hint="eastAsia" w:cs="Times New Roman"/>
                <w:b w:val="0"/>
                <w:bCs w:val="0"/>
                <w:color w:val="auto"/>
                <w:sz w:val="24"/>
                <w:szCs w:val="22"/>
                <w:highlight w:val="none"/>
                <w:lang w:val="en-US" w:eastAsia="zh-CN"/>
              </w:rPr>
              <w:t>企业提供的</w:t>
            </w:r>
            <w:r>
              <w:rPr>
                <w:rFonts w:hint="eastAsia" w:ascii="Times New Roman" w:hAnsi="Times New Roman" w:eastAsia="宋体" w:cs="Times New Roman"/>
                <w:b w:val="0"/>
                <w:bCs w:val="0"/>
                <w:color w:val="auto"/>
                <w:sz w:val="24"/>
                <w:szCs w:val="22"/>
                <w:highlight w:val="none"/>
                <w:lang w:val="en-US" w:eastAsia="zh-CN"/>
              </w:rPr>
              <w:t>脱模剂</w:t>
            </w:r>
            <w:r>
              <w:rPr>
                <w:rFonts w:hint="default" w:ascii="Times New Roman" w:hAnsi="Times New Roman" w:eastAsia="宋体" w:cs="Times New Roman"/>
                <w:b w:val="0"/>
                <w:bCs w:val="0"/>
                <w:color w:val="auto"/>
                <w:sz w:val="24"/>
                <w:szCs w:val="22"/>
                <w:highlight w:val="none"/>
                <w:lang w:val="en-US" w:eastAsia="zh-CN"/>
              </w:rPr>
              <w:t>MSDS</w:t>
            </w:r>
            <w:r>
              <w:rPr>
                <w:rFonts w:hint="eastAsia" w:cs="Times New Roman"/>
                <w:b w:val="0"/>
                <w:bCs w:val="0"/>
                <w:color w:val="auto"/>
                <w:sz w:val="24"/>
                <w:szCs w:val="22"/>
                <w:highlight w:val="none"/>
                <w:lang w:val="en-US" w:eastAsia="zh-CN"/>
              </w:rPr>
              <w:t>，</w:t>
            </w:r>
            <w:r>
              <w:rPr>
                <w:rFonts w:hint="eastAsia" w:ascii="Times New Roman" w:hAnsi="Times New Roman" w:eastAsia="宋体" w:cs="Times New Roman"/>
                <w:b w:val="0"/>
                <w:bCs w:val="0"/>
                <w:color w:val="auto"/>
                <w:sz w:val="24"/>
                <w:szCs w:val="22"/>
                <w:highlight w:val="none"/>
                <w:lang w:val="en-US" w:eastAsia="zh-CN"/>
              </w:rPr>
              <w:t>可知脱模剂中主要挥发成分为</w:t>
            </w:r>
            <w:r>
              <w:rPr>
                <w:rFonts w:hint="eastAsia" w:cs="Times New Roman"/>
                <w:b w:val="0"/>
                <w:bCs w:val="0"/>
                <w:color w:val="auto"/>
                <w:sz w:val="24"/>
                <w:szCs w:val="22"/>
                <w:highlight w:val="none"/>
                <w:lang w:val="en-US" w:eastAsia="zh-CN"/>
              </w:rPr>
              <w:t>活性助剂</w:t>
            </w:r>
            <w:r>
              <w:rPr>
                <w:rFonts w:hint="eastAsia" w:ascii="Times New Roman" w:hAnsi="Times New Roman" w:eastAsia="宋体" w:cs="Times New Roman"/>
                <w:b w:val="0"/>
                <w:bCs w:val="0"/>
                <w:color w:val="auto"/>
                <w:sz w:val="24"/>
                <w:szCs w:val="22"/>
                <w:highlight w:val="none"/>
                <w:lang w:val="en-US" w:eastAsia="zh-CN"/>
              </w:rPr>
              <w:t>，含量约</w:t>
            </w:r>
            <w:r>
              <w:rPr>
                <w:rFonts w:hint="eastAsia" w:cs="Times New Roman"/>
                <w:b w:val="0"/>
                <w:bCs w:val="0"/>
                <w:color w:val="auto"/>
                <w:sz w:val="24"/>
                <w:szCs w:val="22"/>
                <w:highlight w:val="none"/>
                <w:lang w:val="en-US" w:eastAsia="zh-CN"/>
              </w:rPr>
              <w:t>1~</w:t>
            </w:r>
            <w:r>
              <w:rPr>
                <w:rFonts w:hint="default" w:ascii="Times New Roman" w:hAnsi="Times New Roman" w:eastAsia="宋体" w:cs="Times New Roman"/>
                <w:b w:val="0"/>
                <w:bCs w:val="0"/>
                <w:color w:val="auto"/>
                <w:sz w:val="24"/>
                <w:szCs w:val="22"/>
                <w:highlight w:val="none"/>
                <w:lang w:val="en-US" w:eastAsia="zh-CN"/>
              </w:rPr>
              <w:t>2%</w:t>
            </w:r>
            <w:r>
              <w:rPr>
                <w:rFonts w:hint="eastAsia" w:ascii="Times New Roman" w:hAnsi="Times New Roman" w:eastAsia="宋体" w:cs="Times New Roman"/>
                <w:b w:val="0"/>
                <w:bCs w:val="0"/>
                <w:color w:val="auto"/>
                <w:sz w:val="24"/>
                <w:szCs w:val="22"/>
                <w:highlight w:val="none"/>
                <w:lang w:val="en-US" w:eastAsia="zh-CN"/>
              </w:rPr>
              <w:t>，</w:t>
            </w:r>
            <w:r>
              <w:rPr>
                <w:rFonts w:hint="eastAsia" w:cs="Times New Roman"/>
                <w:b w:val="0"/>
                <w:bCs w:val="0"/>
                <w:color w:val="auto"/>
                <w:sz w:val="24"/>
                <w:szCs w:val="22"/>
                <w:highlight w:val="none"/>
                <w:lang w:val="en-US" w:eastAsia="zh-CN"/>
              </w:rPr>
              <w:t>本次</w:t>
            </w:r>
            <w:r>
              <w:rPr>
                <w:rFonts w:hint="eastAsia" w:ascii="Times New Roman" w:hAnsi="Times New Roman" w:eastAsia="宋体" w:cs="Times New Roman"/>
                <w:b w:val="0"/>
                <w:bCs w:val="0"/>
                <w:color w:val="auto"/>
                <w:sz w:val="24"/>
                <w:szCs w:val="22"/>
                <w:highlight w:val="none"/>
                <w:lang w:val="en-US" w:eastAsia="zh-CN"/>
              </w:rPr>
              <w:t>按</w:t>
            </w:r>
            <w:r>
              <w:rPr>
                <w:rFonts w:hint="eastAsia" w:cs="Times New Roman"/>
                <w:b w:val="0"/>
                <w:bCs w:val="0"/>
                <w:color w:val="auto"/>
                <w:sz w:val="24"/>
                <w:szCs w:val="22"/>
                <w:highlight w:val="none"/>
                <w:lang w:val="en-US" w:eastAsia="zh-CN"/>
              </w:rPr>
              <w:t>最大挥发量2</w:t>
            </w:r>
            <w:r>
              <w:rPr>
                <w:rFonts w:hint="default" w:ascii="Times New Roman" w:hAnsi="Times New Roman" w:eastAsia="宋体" w:cs="Times New Roman"/>
                <w:b w:val="0"/>
                <w:bCs w:val="0"/>
                <w:color w:val="auto"/>
                <w:sz w:val="24"/>
                <w:szCs w:val="22"/>
                <w:highlight w:val="none"/>
                <w:lang w:val="en-US" w:eastAsia="zh-CN"/>
              </w:rPr>
              <w:t>%</w:t>
            </w:r>
            <w:r>
              <w:rPr>
                <w:rFonts w:hint="eastAsia" w:ascii="Times New Roman" w:hAnsi="Times New Roman" w:eastAsia="宋体" w:cs="Times New Roman"/>
                <w:b w:val="0"/>
                <w:bCs w:val="0"/>
                <w:color w:val="auto"/>
                <w:sz w:val="24"/>
                <w:szCs w:val="22"/>
                <w:highlight w:val="none"/>
                <w:lang w:val="en-US" w:eastAsia="zh-CN"/>
              </w:rPr>
              <w:t>计</w:t>
            </w:r>
            <w:r>
              <w:rPr>
                <w:rFonts w:hint="eastAsia" w:cs="Times New Roman"/>
                <w:b w:val="0"/>
                <w:bCs w:val="0"/>
                <w:color w:val="auto"/>
                <w:sz w:val="24"/>
                <w:szCs w:val="22"/>
                <w:highlight w:val="none"/>
                <w:lang w:val="en-US" w:eastAsia="zh-CN"/>
              </w:rPr>
              <w:t>。根据“物料平衡”</w:t>
            </w:r>
            <w:r>
              <w:rPr>
                <w:rFonts w:hint="eastAsia" w:ascii="Times New Roman" w:hAnsi="Times New Roman" w:eastAsia="宋体" w:cs="Times New Roman"/>
                <w:b w:val="0"/>
                <w:bCs w:val="0"/>
                <w:color w:val="auto"/>
                <w:sz w:val="24"/>
                <w:szCs w:val="22"/>
                <w:highlight w:val="none"/>
                <w:lang w:val="en-US" w:eastAsia="zh-CN"/>
              </w:rPr>
              <w:t>项目水性脱模剂的年用量为</w:t>
            </w:r>
            <w:r>
              <w:rPr>
                <w:rFonts w:hint="default" w:ascii="Times New Roman" w:hAnsi="Times New Roman" w:eastAsia="宋体" w:cs="Times New Roman"/>
                <w:b w:val="0"/>
                <w:bCs w:val="0"/>
                <w:color w:val="auto"/>
                <w:sz w:val="24"/>
                <w:szCs w:val="22"/>
                <w:highlight w:val="none"/>
                <w:lang w:val="en-US" w:eastAsia="zh-CN"/>
              </w:rPr>
              <w:t>0.</w:t>
            </w:r>
            <w:r>
              <w:rPr>
                <w:rFonts w:hint="eastAsia" w:cs="Times New Roman"/>
                <w:b w:val="0"/>
                <w:bCs w:val="0"/>
                <w:color w:val="auto"/>
                <w:sz w:val="24"/>
                <w:szCs w:val="22"/>
                <w:highlight w:val="none"/>
                <w:lang w:val="en-US" w:eastAsia="zh-CN"/>
              </w:rPr>
              <w:t>5</w:t>
            </w:r>
            <w:r>
              <w:rPr>
                <w:rFonts w:hint="default" w:ascii="Times New Roman" w:hAnsi="Times New Roman" w:eastAsia="宋体" w:cs="Times New Roman"/>
                <w:b w:val="0"/>
                <w:bCs w:val="0"/>
                <w:color w:val="auto"/>
                <w:sz w:val="24"/>
                <w:szCs w:val="22"/>
                <w:highlight w:val="none"/>
                <w:lang w:val="en-US" w:eastAsia="zh-CN"/>
              </w:rPr>
              <w:t>t/a</w:t>
            </w:r>
            <w:r>
              <w:rPr>
                <w:rFonts w:hint="eastAsia" w:ascii="Times New Roman" w:hAnsi="Times New Roman" w:eastAsia="宋体" w:cs="Times New Roman"/>
                <w:b w:val="0"/>
                <w:bCs w:val="0"/>
                <w:color w:val="auto"/>
                <w:sz w:val="24"/>
                <w:szCs w:val="22"/>
                <w:highlight w:val="none"/>
                <w:lang w:val="en-US" w:eastAsia="zh-CN"/>
              </w:rPr>
              <w:t>，则有</w:t>
            </w:r>
            <w:r>
              <w:rPr>
                <w:rFonts w:hint="eastAsia" w:cs="Times New Roman"/>
                <w:b w:val="0"/>
                <w:bCs w:val="0"/>
                <w:color w:val="auto"/>
                <w:sz w:val="24"/>
                <w:szCs w:val="22"/>
                <w:highlight w:val="none"/>
                <w:lang w:val="en-US" w:eastAsia="zh-CN"/>
              </w:rPr>
              <w:t>机废气（以非甲烷总烃计）</w:t>
            </w:r>
            <w:r>
              <w:rPr>
                <w:rFonts w:hint="eastAsia" w:ascii="Times New Roman" w:hAnsi="Times New Roman" w:eastAsia="宋体" w:cs="Times New Roman"/>
                <w:b w:val="0"/>
                <w:bCs w:val="0"/>
                <w:color w:val="auto"/>
                <w:sz w:val="24"/>
                <w:szCs w:val="22"/>
                <w:highlight w:val="none"/>
                <w:lang w:val="en-US" w:eastAsia="zh-CN"/>
              </w:rPr>
              <w:t>产生量</w:t>
            </w:r>
            <w:r>
              <w:rPr>
                <w:rFonts w:hint="default" w:ascii="Times New Roman" w:hAnsi="Times New Roman" w:eastAsia="宋体" w:cs="Times New Roman"/>
                <w:b w:val="0"/>
                <w:bCs w:val="0"/>
                <w:color w:val="auto"/>
                <w:sz w:val="24"/>
                <w:szCs w:val="22"/>
                <w:highlight w:val="none"/>
                <w:lang w:val="en-US" w:eastAsia="zh-CN"/>
              </w:rPr>
              <w:t>0.</w:t>
            </w:r>
            <w:r>
              <w:rPr>
                <w:rFonts w:hint="eastAsia" w:cs="Times New Roman"/>
                <w:b w:val="0"/>
                <w:bCs w:val="0"/>
                <w:color w:val="auto"/>
                <w:sz w:val="24"/>
                <w:szCs w:val="22"/>
                <w:highlight w:val="none"/>
                <w:lang w:val="en-US" w:eastAsia="zh-CN"/>
              </w:rPr>
              <w:t>5</w:t>
            </w:r>
            <w:r>
              <w:rPr>
                <w:rFonts w:hint="default" w:ascii="Times New Roman" w:hAnsi="Times New Roman" w:eastAsia="宋体" w:cs="Times New Roman"/>
                <w:b w:val="0"/>
                <w:bCs w:val="0"/>
                <w:color w:val="auto"/>
                <w:sz w:val="24"/>
                <w:szCs w:val="22"/>
                <w:highlight w:val="none"/>
                <w:lang w:val="en-US" w:eastAsia="zh-CN"/>
              </w:rPr>
              <w:t>t/a*2%=0.0</w:t>
            </w:r>
            <w:r>
              <w:rPr>
                <w:rFonts w:hint="eastAsia" w:cs="Times New Roman"/>
                <w:b w:val="0"/>
                <w:bCs w:val="0"/>
                <w:color w:val="auto"/>
                <w:sz w:val="24"/>
                <w:szCs w:val="22"/>
                <w:highlight w:val="none"/>
                <w:lang w:val="en-US" w:eastAsia="zh-CN"/>
              </w:rPr>
              <w:t>1</w:t>
            </w:r>
            <w:r>
              <w:rPr>
                <w:rFonts w:hint="default" w:ascii="Times New Roman" w:hAnsi="Times New Roman" w:eastAsia="宋体" w:cs="Times New Roman"/>
                <w:b w:val="0"/>
                <w:bCs w:val="0"/>
                <w:color w:val="auto"/>
                <w:sz w:val="24"/>
                <w:szCs w:val="22"/>
                <w:highlight w:val="none"/>
                <w:lang w:val="en-US" w:eastAsia="zh-CN"/>
              </w:rPr>
              <w:t>t/a</w:t>
            </w:r>
            <w:r>
              <w:rPr>
                <w:rFonts w:hint="eastAsia" w:ascii="Times New Roman" w:hAnsi="Times New Roman" w:eastAsia="宋体" w:cs="Times New Roman"/>
                <w:b w:val="0"/>
                <w:bCs w:val="0"/>
                <w:color w:val="auto"/>
                <w:sz w:val="24"/>
                <w:szCs w:val="22"/>
                <w:highlight w:val="none"/>
                <w:lang w:val="en-US" w:eastAsia="zh-CN"/>
              </w:rPr>
              <w:t>。</w:t>
            </w:r>
          </w:p>
          <w:p w14:paraId="043E55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textAlignment w:val="auto"/>
              <w:rPr>
                <w:rFonts w:hint="eastAsia" w:cs="Times New Roman"/>
                <w:b w:val="0"/>
                <w:bCs w:val="0"/>
                <w:color w:val="auto"/>
                <w:sz w:val="24"/>
                <w:szCs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收集处理措施：</w:t>
            </w:r>
            <w:r>
              <w:rPr>
                <w:rFonts w:hint="eastAsia" w:ascii="Times New Roman" w:hAnsi="Times New Roman" w:eastAsia="宋体" w:cs="Times New Roman"/>
                <w:color w:val="auto"/>
                <w:kern w:val="2"/>
                <w:sz w:val="24"/>
                <w:szCs w:val="24"/>
                <w:highlight w:val="none"/>
                <w:lang w:val="en-US" w:eastAsia="zh-CN" w:bidi="ar-SA"/>
              </w:rPr>
              <w:t>本项目拟在</w:t>
            </w:r>
            <w:r>
              <w:rPr>
                <w:rFonts w:hint="eastAsia" w:cs="Times New Roman"/>
                <w:color w:val="auto"/>
                <w:kern w:val="2"/>
                <w:sz w:val="24"/>
                <w:szCs w:val="24"/>
                <w:highlight w:val="none"/>
                <w:lang w:val="en-US" w:eastAsia="zh-CN" w:bidi="ar-SA"/>
              </w:rPr>
              <w:t>圆盘注塑</w:t>
            </w:r>
            <w:r>
              <w:rPr>
                <w:rFonts w:hint="eastAsia" w:ascii="Times New Roman" w:hAnsi="Times New Roman" w:eastAsia="宋体" w:cs="Times New Roman"/>
                <w:color w:val="auto"/>
                <w:kern w:val="2"/>
                <w:sz w:val="24"/>
                <w:szCs w:val="24"/>
                <w:highlight w:val="none"/>
                <w:lang w:val="en-US" w:eastAsia="zh-CN" w:bidi="ar-SA"/>
              </w:rPr>
              <w:t>机</w:t>
            </w:r>
            <w:r>
              <w:rPr>
                <w:rFonts w:hint="eastAsia" w:cs="Times New Roman"/>
                <w:color w:val="auto"/>
                <w:kern w:val="2"/>
                <w:sz w:val="24"/>
                <w:szCs w:val="24"/>
                <w:highlight w:val="none"/>
                <w:lang w:val="en-US" w:eastAsia="zh-CN" w:bidi="ar-SA"/>
              </w:rPr>
              <w:t>（3台）</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浇注机（3台）</w:t>
            </w:r>
            <w:r>
              <w:rPr>
                <w:rFonts w:hint="eastAsia" w:ascii="Times New Roman" w:hAnsi="Times New Roman" w:eastAsia="宋体" w:cs="Times New Roman"/>
                <w:color w:val="auto"/>
                <w:kern w:val="2"/>
                <w:sz w:val="24"/>
                <w:szCs w:val="24"/>
                <w:highlight w:val="none"/>
                <w:lang w:val="en-US" w:eastAsia="zh-CN" w:bidi="ar-SA"/>
              </w:rPr>
              <w:t>出</w:t>
            </w:r>
            <w:r>
              <w:rPr>
                <w:rFonts w:hint="eastAsia" w:cs="Times New Roman"/>
                <w:b w:val="0"/>
                <w:bCs w:val="0"/>
                <w:color w:val="auto"/>
                <w:kern w:val="0"/>
                <w:sz w:val="24"/>
                <w:szCs w:val="24"/>
                <w:highlight w:val="none"/>
                <w:lang w:val="en-US" w:eastAsia="zh-CN" w:bidi="ar-SA"/>
              </w:rPr>
              <w:t>料口侧方</w:t>
            </w:r>
            <w:r>
              <w:rPr>
                <w:rFonts w:hint="default" w:cs="Times New Roman"/>
                <w:b w:val="0"/>
                <w:bCs w:val="0"/>
                <w:color w:val="auto"/>
                <w:kern w:val="0"/>
                <w:sz w:val="24"/>
                <w:szCs w:val="24"/>
                <w:highlight w:val="none"/>
                <w:lang w:val="en-US" w:eastAsia="zh-CN" w:bidi="ar-SA"/>
              </w:rPr>
              <w:t>设置</w:t>
            </w:r>
            <w:r>
              <w:rPr>
                <w:rFonts w:hint="eastAsia" w:cs="Times New Roman"/>
                <w:b w:val="0"/>
                <w:bCs w:val="0"/>
                <w:color w:val="auto"/>
                <w:kern w:val="0"/>
                <w:sz w:val="24"/>
                <w:szCs w:val="24"/>
                <w:highlight w:val="none"/>
                <w:lang w:val="en-US" w:eastAsia="zh-CN" w:bidi="ar-SA"/>
              </w:rPr>
              <w:t>集气罩</w:t>
            </w:r>
            <w:r>
              <w:rPr>
                <w:rFonts w:hint="default" w:cs="Times New Roman"/>
                <w:b w:val="0"/>
                <w:bCs w:val="0"/>
                <w:color w:val="auto"/>
                <w:kern w:val="0"/>
                <w:sz w:val="24"/>
                <w:szCs w:val="24"/>
                <w:highlight w:val="none"/>
                <w:lang w:val="en-US" w:eastAsia="zh-CN" w:bidi="ar-SA"/>
              </w:rPr>
              <w:t>，</w:t>
            </w:r>
            <w:r>
              <w:rPr>
                <w:rFonts w:hint="eastAsia" w:cs="Times New Roman"/>
                <w:b w:val="0"/>
                <w:bCs w:val="0"/>
                <w:color w:val="auto"/>
                <w:kern w:val="0"/>
                <w:sz w:val="24"/>
                <w:szCs w:val="24"/>
                <w:highlight w:val="none"/>
                <w:lang w:val="en-US" w:eastAsia="zh-CN" w:bidi="ar-SA"/>
              </w:rPr>
              <w:t>收集后的废气经“二级活性炭吸附”（TA002）处理后由1根150m高DA002排气筒排放。集气罩尺寸设计为0.5m×0.5m，</w:t>
            </w:r>
            <w:r>
              <w:rPr>
                <w:rFonts w:hint="eastAsia" w:ascii="Times New Roman" w:cs="Times New Roman"/>
                <w:b w:val="0"/>
                <w:bCs w:val="0"/>
                <w:color w:val="auto"/>
                <w:sz w:val="24"/>
                <w:szCs w:val="24"/>
                <w:highlight w:val="none"/>
                <w:lang w:val="en-US" w:eastAsia="zh-CN"/>
              </w:rPr>
              <w:t>参照《三废处理工程技术手册》（废气卷）中外部集气罩风量计算公式</w:t>
            </w:r>
            <w:r>
              <w:rPr>
                <w:rFonts w:hint="eastAsia" w:cs="Times New Roman"/>
                <w:b w:val="0"/>
                <w:bCs w:val="0"/>
                <w:color w:val="auto"/>
                <w:sz w:val="24"/>
                <w:szCs w:val="24"/>
                <w:highlight w:val="none"/>
                <w:lang w:val="en-US" w:eastAsia="zh-CN"/>
              </w:rPr>
              <w:t>：</w:t>
            </w:r>
          </w:p>
          <w:p w14:paraId="5BF608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Q=KPHV</w:t>
            </w:r>
            <w:r>
              <w:rPr>
                <w:rFonts w:hint="default" w:ascii="Times New Roman" w:hAnsi="Times New Roman" w:cs="Times New Roman"/>
                <w:color w:val="auto"/>
                <w:kern w:val="0"/>
                <w:sz w:val="24"/>
                <w:szCs w:val="24"/>
                <w:highlight w:val="none"/>
                <w:vertAlign w:val="subscript"/>
              </w:rPr>
              <w:t>x</w:t>
            </w:r>
          </w:p>
          <w:p w14:paraId="15748E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rPr>
              <w:t>式中：Q——风量m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/s；</w:t>
            </w:r>
          </w:p>
          <w:p w14:paraId="476159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jc w:val="both"/>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k——考虑沿高度速度分布不均的安全系数</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本项目</w:t>
            </w:r>
            <w:r>
              <w:rPr>
                <w:rFonts w:hint="default" w:ascii="Times New Roman" w:hAnsi="Times New Roman" w:cs="Times New Roman"/>
                <w:color w:val="auto"/>
                <w:kern w:val="0"/>
                <w:sz w:val="24"/>
                <w:szCs w:val="24"/>
                <w:highlight w:val="none"/>
              </w:rPr>
              <w:t>取k=1.</w:t>
            </w:r>
            <w:r>
              <w:rPr>
                <w:rFonts w:hint="eastAsia" w:ascii="Times New Roman" w:hAnsi="Times New Roman" w:cs="Times New Roman"/>
                <w:color w:val="auto"/>
                <w:kern w:val="0"/>
                <w:sz w:val="24"/>
                <w:szCs w:val="24"/>
                <w:highlight w:val="none"/>
                <w:lang w:val="en-US" w:eastAsia="zh-CN"/>
              </w:rPr>
              <w:t>2</w:t>
            </w:r>
            <w:r>
              <w:rPr>
                <w:rFonts w:hint="eastAsia"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w:t>
            </w:r>
          </w:p>
          <w:p w14:paraId="0A1F9E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jc w:val="both"/>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P——罩口敞开周长m；</w:t>
            </w:r>
          </w:p>
          <w:p w14:paraId="4F676F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jc w:val="both"/>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H——罩口距污染源的距离（本项目取0.</w:t>
            </w:r>
            <w:r>
              <w:rPr>
                <w:rFonts w:hint="eastAsia" w:cs="Times New Roman"/>
                <w:color w:val="auto"/>
                <w:kern w:val="0"/>
                <w:sz w:val="24"/>
                <w:szCs w:val="24"/>
                <w:highlight w:val="none"/>
                <w:lang w:val="en-US" w:eastAsia="zh-CN"/>
              </w:rPr>
              <w:t>3</w:t>
            </w:r>
            <w:r>
              <w:rPr>
                <w:rFonts w:hint="default" w:ascii="Times New Roman" w:hAnsi="Times New Roman" w:cs="Times New Roman"/>
                <w:color w:val="auto"/>
                <w:kern w:val="0"/>
                <w:sz w:val="24"/>
                <w:szCs w:val="24"/>
                <w:highlight w:val="none"/>
              </w:rPr>
              <w:t>m）；</w:t>
            </w:r>
          </w:p>
          <w:p w14:paraId="70A3A2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jc w:val="both"/>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V</w:t>
            </w:r>
            <w:r>
              <w:rPr>
                <w:rFonts w:hint="default" w:ascii="Times New Roman" w:hAnsi="Times New Roman" w:cs="Times New Roman"/>
                <w:color w:val="auto"/>
                <w:kern w:val="0"/>
                <w:sz w:val="24"/>
                <w:szCs w:val="24"/>
                <w:highlight w:val="none"/>
                <w:vertAlign w:val="subscript"/>
              </w:rPr>
              <w:t>x</w:t>
            </w:r>
            <w:r>
              <w:rPr>
                <w:rFonts w:hint="default" w:ascii="Times New Roman" w:hAnsi="Times New Roman" w:cs="Times New Roman"/>
                <w:color w:val="auto"/>
                <w:kern w:val="0"/>
                <w:sz w:val="24"/>
                <w:szCs w:val="24"/>
                <w:highlight w:val="none"/>
              </w:rPr>
              <w:t>——控制速度m/s（</w:t>
            </w:r>
            <w:r>
              <w:rPr>
                <w:rFonts w:hint="eastAsia" w:cs="Times New Roman"/>
                <w:color w:val="auto"/>
                <w:kern w:val="0"/>
                <w:sz w:val="24"/>
                <w:szCs w:val="24"/>
                <w:highlight w:val="none"/>
                <w:lang w:val="en-US" w:eastAsia="zh-CN"/>
              </w:rPr>
              <w:t>参照</w:t>
            </w:r>
            <w:r>
              <w:rPr>
                <w:rFonts w:hint="default" w:ascii="Times New Roman" w:hAnsi="Times New Roman" w:cs="Times New Roman"/>
                <w:color w:val="auto"/>
                <w:kern w:val="0"/>
                <w:sz w:val="24"/>
                <w:szCs w:val="24"/>
                <w:highlight w:val="none"/>
              </w:rPr>
              <w:t>局部排风设施控制风速检测与评估技术规范（AQ/T4274</w:t>
            </w:r>
            <w:r>
              <w:rPr>
                <w:rFonts w:hint="eastAsia"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rPr>
              <w:t>2016）</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侧吸式集气罩</w:t>
            </w:r>
            <w:r>
              <w:rPr>
                <w:rFonts w:hint="default" w:ascii="Times New Roman" w:hAnsi="Times New Roman" w:cs="Times New Roman"/>
                <w:color w:val="auto"/>
                <w:kern w:val="0"/>
                <w:sz w:val="24"/>
                <w:szCs w:val="24"/>
                <w:highlight w:val="none"/>
              </w:rPr>
              <w:t>取</w:t>
            </w:r>
            <w:r>
              <w:rPr>
                <w:rFonts w:hint="eastAsia" w:cs="Times New Roman"/>
                <w:color w:val="auto"/>
                <w:kern w:val="0"/>
                <w:sz w:val="24"/>
                <w:szCs w:val="24"/>
                <w:highlight w:val="none"/>
                <w:lang w:val="en-US" w:eastAsia="zh-CN"/>
              </w:rPr>
              <w:t>0.5</w:t>
            </w:r>
            <w:r>
              <w:rPr>
                <w:rFonts w:hint="default" w:ascii="Times New Roman" w:hAnsi="Times New Roman" w:cs="Times New Roman"/>
                <w:color w:val="auto"/>
                <w:kern w:val="0"/>
                <w:sz w:val="24"/>
                <w:szCs w:val="24"/>
                <w:highlight w:val="none"/>
              </w:rPr>
              <w:t>m/s）。</w:t>
            </w:r>
          </w:p>
          <w:p w14:paraId="69DE6E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Q</w:t>
            </w:r>
            <w:r>
              <w:rPr>
                <w:rFonts w:hint="eastAsia" w:cs="Times New Roman"/>
                <w:color w:val="auto"/>
                <w:kern w:val="0"/>
                <w:sz w:val="24"/>
                <w:szCs w:val="24"/>
                <w:highlight w:val="none"/>
                <w:vertAlign w:val="subscript"/>
                <w:lang w:val="en-US" w:eastAsia="zh-CN"/>
              </w:rPr>
              <w:t>配</w:t>
            </w:r>
            <w:r>
              <w:rPr>
                <w:rFonts w:hint="default" w:ascii="Times New Roman" w:hAnsi="Times New Roman" w:cs="Times New Roman"/>
                <w:color w:val="auto"/>
                <w:kern w:val="0"/>
                <w:sz w:val="24"/>
                <w:szCs w:val="24"/>
                <w:highlight w:val="none"/>
              </w:rPr>
              <w:t>=1.</w:t>
            </w:r>
            <w:r>
              <w:rPr>
                <w:rFonts w:hint="eastAsia" w:ascii="Times New Roman" w:hAnsi="Times New Roman" w:cs="Times New Roman"/>
                <w:color w:val="auto"/>
                <w:kern w:val="0"/>
                <w:sz w:val="24"/>
                <w:szCs w:val="24"/>
                <w:highlight w:val="none"/>
                <w:lang w:val="en-US" w:eastAsia="zh-CN"/>
              </w:rPr>
              <w:t>2</w:t>
            </w:r>
            <w:r>
              <w:rPr>
                <w:rFonts w:hint="default" w:ascii="Times New Roman" w:hAnsi="Times New Roman" w:cs="Times New Roman"/>
                <w:color w:val="auto"/>
                <w:kern w:val="0"/>
                <w:sz w:val="24"/>
                <w:szCs w:val="24"/>
                <w:highlight w:val="none"/>
              </w:rPr>
              <w:t>×（</w:t>
            </w:r>
            <w:r>
              <w:rPr>
                <w:rFonts w:hint="eastAsia" w:cs="Times New Roman"/>
                <w:color w:val="auto"/>
                <w:kern w:val="0"/>
                <w:sz w:val="24"/>
                <w:szCs w:val="24"/>
                <w:highlight w:val="none"/>
                <w:lang w:val="en-US" w:eastAsia="zh-CN"/>
              </w:rPr>
              <w:t>2</w:t>
            </w:r>
            <w:r>
              <w:rPr>
                <w:rFonts w:hint="default" w:ascii="Times New Roman" w:hAnsi="Times New Roman" w:cs="Times New Roman"/>
                <w:color w:val="auto"/>
                <w:kern w:val="0"/>
                <w:sz w:val="24"/>
                <w:szCs w:val="24"/>
                <w:highlight w:val="none"/>
              </w:rPr>
              <w:t>×</w:t>
            </w:r>
            <w:r>
              <w:rPr>
                <w:rFonts w:hint="eastAsia" w:cs="Times New Roman"/>
                <w:color w:val="auto"/>
                <w:kern w:val="0"/>
                <w:sz w:val="24"/>
                <w:szCs w:val="24"/>
                <w:highlight w:val="none"/>
                <w:lang w:val="en-US" w:eastAsia="zh-CN"/>
              </w:rPr>
              <w:t>6</w:t>
            </w:r>
            <w:r>
              <w:rPr>
                <w:rFonts w:hint="default" w:ascii="Times New Roman" w:hAnsi="Times New Roman" w:cs="Times New Roman"/>
                <w:color w:val="auto"/>
                <w:kern w:val="0"/>
                <w:sz w:val="24"/>
                <w:szCs w:val="24"/>
                <w:highlight w:val="none"/>
              </w:rPr>
              <w:t>）×0.</w:t>
            </w:r>
            <w:r>
              <w:rPr>
                <w:rFonts w:hint="eastAsia" w:cs="Times New Roman"/>
                <w:color w:val="auto"/>
                <w:kern w:val="0"/>
                <w:sz w:val="24"/>
                <w:szCs w:val="24"/>
                <w:highlight w:val="none"/>
                <w:lang w:val="en-US" w:eastAsia="zh-CN"/>
              </w:rPr>
              <w:t>3</w:t>
            </w:r>
            <w:r>
              <w:rPr>
                <w:rFonts w:hint="default" w:ascii="Times New Roman" w:hAnsi="Times New Roman" w:cs="Times New Roman"/>
                <w:color w:val="auto"/>
                <w:kern w:val="0"/>
                <w:sz w:val="24"/>
                <w:szCs w:val="24"/>
                <w:highlight w:val="none"/>
              </w:rPr>
              <w:t>×</w:t>
            </w:r>
            <w:r>
              <w:rPr>
                <w:rFonts w:hint="eastAsia" w:cs="Times New Roman"/>
                <w:color w:val="auto"/>
                <w:kern w:val="0"/>
                <w:sz w:val="24"/>
                <w:szCs w:val="24"/>
                <w:highlight w:val="none"/>
                <w:lang w:val="en-US" w:eastAsia="zh-CN"/>
              </w:rPr>
              <w:t>0.5</w:t>
            </w:r>
            <w:r>
              <w:rPr>
                <w:rFonts w:hint="default" w:ascii="Times New Roman" w:hAnsi="Times New Roman" w:cs="Times New Roman"/>
                <w:color w:val="auto"/>
                <w:kern w:val="0"/>
                <w:sz w:val="24"/>
                <w:szCs w:val="24"/>
                <w:highlight w:val="none"/>
              </w:rPr>
              <w:t>×3600=</w:t>
            </w:r>
            <w:r>
              <w:rPr>
                <w:rFonts w:hint="eastAsia" w:cs="Times New Roman"/>
                <w:color w:val="auto"/>
                <w:kern w:val="0"/>
                <w:sz w:val="24"/>
                <w:szCs w:val="24"/>
                <w:highlight w:val="none"/>
                <w:lang w:val="en-US" w:eastAsia="zh-CN"/>
              </w:rPr>
              <w:t>7776</w:t>
            </w:r>
            <w:r>
              <w:rPr>
                <w:rFonts w:hint="default" w:ascii="Times New Roman" w:hAnsi="Times New Roman" w:cs="Times New Roman"/>
                <w:color w:val="auto"/>
                <w:kern w:val="0"/>
                <w:sz w:val="24"/>
                <w:szCs w:val="24"/>
                <w:highlight w:val="none"/>
              </w:rPr>
              <w:t>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/h</w:t>
            </w:r>
          </w:p>
          <w:p w14:paraId="2016BA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zh-CN" w:bidi="ar-SA"/>
              </w:rPr>
              <w:t>根据《吸附法工业有机废气治理工程技术规范》（</w:t>
            </w:r>
            <w:r>
              <w:rPr>
                <w:rFonts w:hint="default" w:ascii="Times New Roman" w:hAnsi="Times New Roman" w:eastAsia="宋体" w:cs="Times New Roman"/>
                <w:snapToGrid/>
                <w:color w:val="auto"/>
                <w:kern w:val="2"/>
                <w:sz w:val="24"/>
                <w:szCs w:val="24"/>
                <w:highlight w:val="none"/>
                <w:lang w:val="en-US" w:eastAsia="zh-CN" w:bidi="ar-SA"/>
              </w:rPr>
              <w:t>HJ</w:t>
            </w:r>
            <w:r>
              <w:rPr>
                <w:rFonts w:hint="eastAsia" w:ascii="Times New Roman" w:hAnsi="Times New Roman" w:eastAsia="宋体" w:cs="Times New Roman"/>
                <w:snapToGrid/>
                <w:color w:val="auto"/>
                <w:kern w:val="2"/>
                <w:sz w:val="24"/>
                <w:szCs w:val="24"/>
                <w:highlight w:val="none"/>
                <w:lang w:val="en-US" w:eastAsia="zh-CN" w:bidi="ar-SA"/>
              </w:rPr>
              <w:t>2026</w:t>
            </w:r>
            <w:r>
              <w:rPr>
                <w:rFonts w:hint="default" w:ascii="Times New Roman" w:hAnsi="Times New Roman" w:eastAsia="宋体" w:cs="Times New Roman"/>
                <w:snapToGrid/>
                <w:color w:val="auto"/>
                <w:kern w:val="2"/>
                <w:sz w:val="24"/>
                <w:szCs w:val="24"/>
                <w:highlight w:val="none"/>
                <w:lang w:val="en-US" w:eastAsia="zh-CN" w:bidi="ar-SA"/>
              </w:rPr>
              <w:t>-</w:t>
            </w:r>
            <w:r>
              <w:rPr>
                <w:rFonts w:hint="eastAsia" w:ascii="Times New Roman" w:hAnsi="Times New Roman" w:eastAsia="宋体" w:cs="Times New Roman"/>
                <w:snapToGrid/>
                <w:color w:val="auto"/>
                <w:kern w:val="2"/>
                <w:sz w:val="24"/>
                <w:szCs w:val="24"/>
                <w:highlight w:val="none"/>
                <w:lang w:val="en-US" w:eastAsia="zh-CN" w:bidi="ar-SA"/>
              </w:rPr>
              <w:t>2013），</w:t>
            </w:r>
            <w:r>
              <w:rPr>
                <w:rFonts w:hint="default" w:ascii="Times New Roman" w:hAnsi="Times New Roman" w:eastAsia="宋体" w:cs="Times New Roman"/>
                <w:snapToGrid/>
                <w:color w:val="auto"/>
                <w:kern w:val="2"/>
                <w:sz w:val="24"/>
                <w:szCs w:val="24"/>
                <w:highlight w:val="none"/>
                <w:lang w:val="en-US" w:eastAsia="zh-CN" w:bidi="ar-SA"/>
              </w:rPr>
              <w:t>设计风量按处理风量的12</w:t>
            </w:r>
            <w:r>
              <w:rPr>
                <w:rFonts w:hint="eastAsia" w:ascii="Times New Roman" w:hAnsi="Times New Roman" w:eastAsia="宋体" w:cs="Times New Roman"/>
                <w:snapToGrid/>
                <w:color w:val="auto"/>
                <w:kern w:val="2"/>
                <w:sz w:val="24"/>
                <w:szCs w:val="24"/>
                <w:highlight w:val="none"/>
                <w:lang w:val="en-US" w:eastAsia="zh-CN" w:bidi="ar-SA"/>
              </w:rPr>
              <w:t>0</w:t>
            </w:r>
            <w:r>
              <w:rPr>
                <w:rFonts w:hint="default" w:ascii="Times New Roman" w:hAnsi="Times New Roman" w:eastAsia="宋体" w:cs="Times New Roman"/>
                <w:snapToGrid/>
                <w:color w:val="auto"/>
                <w:kern w:val="2"/>
                <w:sz w:val="24"/>
                <w:szCs w:val="24"/>
                <w:highlight w:val="none"/>
                <w:lang w:val="en-US" w:eastAsia="zh-CN" w:bidi="ar-SA"/>
              </w:rPr>
              <w:t>%</w:t>
            </w:r>
            <w:r>
              <w:rPr>
                <w:rFonts w:hint="eastAsia" w:ascii="Times New Roman" w:hAnsi="Times New Roman" w:eastAsia="宋体" w:cs="Times New Roman"/>
                <w:snapToGrid/>
                <w:color w:val="auto"/>
                <w:kern w:val="2"/>
                <w:sz w:val="24"/>
                <w:szCs w:val="24"/>
                <w:highlight w:val="none"/>
                <w:lang w:val="en-US" w:eastAsia="zh-CN" w:bidi="ar-SA"/>
              </w:rPr>
              <w:t>计</w:t>
            </w:r>
            <w:r>
              <w:rPr>
                <w:rFonts w:hint="default" w:ascii="Times New Roman" w:hAnsi="Times New Roman" w:eastAsia="宋体" w:cs="Times New Roman"/>
                <w:snapToGrid/>
                <w:color w:val="auto"/>
                <w:kern w:val="2"/>
                <w:sz w:val="24"/>
                <w:szCs w:val="24"/>
                <w:highlight w:val="none"/>
                <w:lang w:val="en-US" w:eastAsia="zh-CN" w:bidi="ar-SA"/>
              </w:rPr>
              <w:t>，</w:t>
            </w:r>
            <w:r>
              <w:rPr>
                <w:rFonts w:hint="eastAsia" w:ascii="Times New Roman" w:hAnsi="Times New Roman" w:eastAsia="宋体" w:cs="Times New Roman"/>
                <w:snapToGrid/>
                <w:color w:val="auto"/>
                <w:kern w:val="2"/>
                <w:sz w:val="24"/>
                <w:szCs w:val="24"/>
                <w:highlight w:val="none"/>
                <w:lang w:val="en-US" w:eastAsia="zh-CN" w:bidi="ar-SA"/>
              </w:rPr>
              <w:t>则设计风量为</w:t>
            </w:r>
            <w:r>
              <w:rPr>
                <w:rFonts w:hint="eastAsia" w:cs="Times New Roman"/>
                <w:snapToGrid/>
                <w:color w:val="auto"/>
                <w:kern w:val="2"/>
                <w:sz w:val="24"/>
                <w:szCs w:val="24"/>
                <w:highlight w:val="none"/>
                <w:lang w:val="en-US" w:eastAsia="zh-CN" w:bidi="ar-SA"/>
              </w:rPr>
              <w:t>10000</w:t>
            </w:r>
            <w:r>
              <w:rPr>
                <w:rFonts w:hint="default" w:ascii="Times New Roman" w:hAnsi="Times New Roman" w:eastAsia="宋体" w:cs="Times New Roman"/>
                <w:snapToGrid/>
                <w:color w:val="auto"/>
                <w:kern w:val="2"/>
                <w:sz w:val="24"/>
                <w:szCs w:val="24"/>
                <w:highlight w:val="none"/>
                <w:lang w:val="en-US" w:eastAsia="zh-CN" w:bidi="ar-SA"/>
              </w:rPr>
              <w:t>m</w:t>
            </w:r>
            <w:r>
              <w:rPr>
                <w:rFonts w:hint="default" w:ascii="Times New Roman" w:hAnsi="Times New Roman" w:eastAsia="宋体" w:cs="Times New Roman"/>
                <w:snapToGrid/>
                <w:color w:val="auto"/>
                <w:kern w:val="2"/>
                <w:sz w:val="24"/>
                <w:szCs w:val="24"/>
                <w:highlight w:val="none"/>
                <w:vertAlign w:val="superscript"/>
                <w:lang w:val="en-US" w:eastAsia="zh-CN" w:bidi="ar-SA"/>
              </w:rPr>
              <w:t>3</w:t>
            </w:r>
            <w:r>
              <w:rPr>
                <w:rFonts w:hint="default" w:ascii="Times New Roman" w:hAnsi="Times New Roman" w:eastAsia="宋体" w:cs="Times New Roman"/>
                <w:snapToGrid/>
                <w:color w:val="auto"/>
                <w:kern w:val="2"/>
                <w:sz w:val="24"/>
                <w:szCs w:val="24"/>
                <w:highlight w:val="none"/>
                <w:lang w:val="en-US" w:eastAsia="zh-CN" w:bidi="ar-SA"/>
              </w:rPr>
              <w:t>/h</w:t>
            </w:r>
            <w:r>
              <w:rPr>
                <w:rFonts w:hint="eastAsia" w:ascii="Times New Roman" w:hAnsi="Times New Roman" w:eastAsia="宋体" w:cs="Times New Roman"/>
                <w:snapToGrid/>
                <w:color w:val="auto"/>
                <w:kern w:val="2"/>
                <w:sz w:val="24"/>
                <w:szCs w:val="24"/>
                <w:highlight w:val="none"/>
                <w:lang w:val="en-US" w:eastAsia="zh-CN" w:bidi="ar-SA"/>
              </w:rPr>
              <w:t>。</w:t>
            </w:r>
            <w:r>
              <w:rPr>
                <w:rFonts w:hint="default" w:ascii="Times New Roman" w:cs="Times New Roman"/>
                <w:b w:val="0"/>
                <w:bCs w:val="0"/>
                <w:color w:val="auto"/>
                <w:sz w:val="24"/>
                <w:szCs w:val="24"/>
                <w:highlight w:val="none"/>
                <w:lang w:val="en-US" w:eastAsia="zh-CN"/>
              </w:rPr>
              <w:t>集气罩收集效率按9</w:t>
            </w:r>
            <w:r>
              <w:rPr>
                <w:rFonts w:hint="eastAsia" w:cs="Times New Roman"/>
                <w:b w:val="0"/>
                <w:bCs w:val="0"/>
                <w:color w:val="auto"/>
                <w:sz w:val="24"/>
                <w:szCs w:val="24"/>
                <w:highlight w:val="none"/>
                <w:lang w:val="en-US" w:eastAsia="zh-CN"/>
              </w:rPr>
              <w:t>0</w:t>
            </w:r>
            <w:r>
              <w:rPr>
                <w:rFonts w:hint="default" w:ascii="Times New Roman" w:cs="Times New Roman"/>
                <w:b w:val="0"/>
                <w:bCs w:val="0"/>
                <w:color w:val="auto"/>
                <w:sz w:val="24"/>
                <w:szCs w:val="24"/>
                <w:highlight w:val="none"/>
                <w:lang w:val="en-US" w:eastAsia="zh-CN"/>
              </w:rPr>
              <w:t>%计</w:t>
            </w:r>
            <w:r>
              <w:rPr>
                <w:rFonts w:hint="eastAsia" w:ascii="Times New Roman" w:cs="Times New Roman"/>
                <w:b w:val="0"/>
                <w:bCs w:val="0"/>
                <w:color w:val="auto"/>
                <w:sz w:val="24"/>
                <w:szCs w:val="24"/>
                <w:highlight w:val="none"/>
                <w:lang w:val="en-US" w:eastAsia="zh-CN"/>
              </w:rPr>
              <w:t>，</w:t>
            </w:r>
            <w:r>
              <w:rPr>
                <w:rFonts w:hint="eastAsia" w:cs="Times New Roman"/>
                <w:b w:val="0"/>
                <w:bCs w:val="0"/>
                <w:color w:val="auto"/>
                <w:kern w:val="0"/>
                <w:sz w:val="24"/>
                <w:szCs w:val="24"/>
                <w:highlight w:val="none"/>
                <w:lang w:val="en-US" w:eastAsia="zh-CN" w:bidi="ar-SA"/>
              </w:rPr>
              <w:t>二级活性炭吸附</w:t>
            </w:r>
            <w:r>
              <w:rPr>
                <w:rFonts w:hint="eastAsia" w:cs="Times New Roman"/>
                <w:b w:val="0"/>
                <w:bCs w:val="0"/>
                <w:color w:val="auto"/>
                <w:sz w:val="24"/>
                <w:szCs w:val="24"/>
                <w:highlight w:val="none"/>
                <w:lang w:val="en-US" w:eastAsia="zh-CN"/>
              </w:rPr>
              <w:t>装置</w:t>
            </w:r>
            <w:r>
              <w:rPr>
                <w:rFonts w:hint="eastAsia" w:cs="Times New Roman"/>
                <w:b w:val="0"/>
                <w:bCs w:val="0"/>
                <w:color w:val="auto"/>
                <w:kern w:val="0"/>
                <w:sz w:val="24"/>
                <w:szCs w:val="24"/>
                <w:highlight w:val="none"/>
                <w:lang w:val="en-US" w:eastAsia="zh-CN" w:bidi="ar-SA"/>
              </w:rPr>
              <w:t>对非甲烷总烃的吸附</w:t>
            </w:r>
            <w:r>
              <w:rPr>
                <w:rFonts w:hint="default" w:ascii="Times New Roman" w:cs="Times New Roman"/>
                <w:b w:val="0"/>
                <w:bCs w:val="0"/>
                <w:color w:val="auto"/>
                <w:sz w:val="24"/>
                <w:szCs w:val="24"/>
                <w:highlight w:val="none"/>
                <w:lang w:val="en-US" w:eastAsia="zh-CN"/>
              </w:rPr>
              <w:t>效率按</w:t>
            </w:r>
            <w:r>
              <w:rPr>
                <w:rFonts w:hint="eastAsia" w:cs="Times New Roman"/>
                <w:b w:val="0"/>
                <w:bCs w:val="0"/>
                <w:color w:val="auto"/>
                <w:sz w:val="24"/>
                <w:szCs w:val="24"/>
                <w:highlight w:val="none"/>
                <w:lang w:val="en-US" w:eastAsia="zh-CN"/>
              </w:rPr>
              <w:t>90</w:t>
            </w:r>
            <w:r>
              <w:rPr>
                <w:rFonts w:hint="default" w:ascii="Times New Roman" w:cs="Times New Roman"/>
                <w:b w:val="0"/>
                <w:bCs w:val="0"/>
                <w:color w:val="auto"/>
                <w:sz w:val="24"/>
                <w:szCs w:val="24"/>
                <w:highlight w:val="none"/>
                <w:lang w:val="en-US" w:eastAsia="zh-CN"/>
              </w:rPr>
              <w:t>%计</w:t>
            </w:r>
            <w:r>
              <w:rPr>
                <w:rFonts w:hint="eastAsia" w:cs="Times New Roman"/>
                <w:b w:val="0"/>
                <w:bCs w:val="0"/>
                <w:color w:val="auto"/>
                <w:sz w:val="24"/>
                <w:szCs w:val="24"/>
                <w:highlight w:val="none"/>
                <w:lang w:val="en-US" w:eastAsia="zh-CN"/>
              </w:rPr>
              <w:t>（单级活性炭处理效率约60%）；氯乙烯和氯化氢产生量较少，</w:t>
            </w:r>
            <w:r>
              <w:rPr>
                <w:rFonts w:hint="eastAsia" w:cs="Times New Roman"/>
                <w:b w:val="0"/>
                <w:bCs w:val="0"/>
                <w:color w:val="auto"/>
                <w:kern w:val="0"/>
                <w:sz w:val="24"/>
                <w:szCs w:val="24"/>
                <w:highlight w:val="none"/>
                <w:lang w:val="en-US" w:eastAsia="zh-CN" w:bidi="ar-SA"/>
              </w:rPr>
              <w:t>二级活性炭吸附</w:t>
            </w:r>
            <w:r>
              <w:rPr>
                <w:rFonts w:hint="eastAsia" w:cs="Times New Roman"/>
                <w:b w:val="0"/>
                <w:bCs w:val="0"/>
                <w:color w:val="auto"/>
                <w:sz w:val="24"/>
                <w:szCs w:val="24"/>
                <w:highlight w:val="none"/>
                <w:lang w:val="en-US" w:eastAsia="zh-CN"/>
              </w:rPr>
              <w:t>装置</w:t>
            </w:r>
            <w:r>
              <w:rPr>
                <w:rFonts w:hint="eastAsia" w:cs="Times New Roman"/>
                <w:b w:val="0"/>
                <w:bCs w:val="0"/>
                <w:color w:val="auto"/>
                <w:kern w:val="0"/>
                <w:sz w:val="24"/>
                <w:szCs w:val="24"/>
                <w:highlight w:val="none"/>
                <w:lang w:val="en-US" w:eastAsia="zh-CN" w:bidi="ar-SA"/>
              </w:rPr>
              <w:t>对氯乙烯、氯化氢的吸附</w:t>
            </w:r>
            <w:r>
              <w:rPr>
                <w:rFonts w:hint="default" w:ascii="Times New Roman" w:cs="Times New Roman"/>
                <w:b w:val="0"/>
                <w:bCs w:val="0"/>
                <w:color w:val="auto"/>
                <w:sz w:val="24"/>
                <w:szCs w:val="24"/>
                <w:highlight w:val="none"/>
                <w:lang w:val="en-US" w:eastAsia="zh-CN"/>
              </w:rPr>
              <w:t>效率</w:t>
            </w:r>
            <w:r>
              <w:rPr>
                <w:rFonts w:hint="eastAsia" w:cs="Times New Roman"/>
                <w:b w:val="0"/>
                <w:bCs w:val="0"/>
                <w:color w:val="auto"/>
                <w:sz w:val="24"/>
                <w:szCs w:val="24"/>
                <w:highlight w:val="none"/>
                <w:lang w:val="en-US" w:eastAsia="zh-CN"/>
              </w:rPr>
              <w:t>不予考虑。</w:t>
            </w:r>
            <w:r>
              <w:rPr>
                <w:rFonts w:hint="eastAsia" w:ascii="Times New Roman" w:cs="Times New Roman"/>
                <w:b w:val="0"/>
                <w:bCs w:val="0"/>
                <w:color w:val="auto"/>
                <w:sz w:val="24"/>
                <w:szCs w:val="24"/>
                <w:highlight w:val="none"/>
                <w:lang w:val="en-US" w:eastAsia="zh-CN"/>
              </w:rPr>
              <w:t>以上工序</w:t>
            </w:r>
            <w:r>
              <w:rPr>
                <w:rFonts w:hint="default" w:ascii="Times New Roman" w:cs="Times New Roman"/>
                <w:b w:val="0"/>
                <w:bCs w:val="0"/>
                <w:color w:val="auto"/>
                <w:sz w:val="24"/>
                <w:szCs w:val="24"/>
                <w:highlight w:val="none"/>
                <w:lang w:val="en-US" w:eastAsia="zh-CN"/>
              </w:rPr>
              <w:t>工作时间按</w:t>
            </w:r>
            <w:r>
              <w:rPr>
                <w:rFonts w:hint="eastAsia" w:cs="Times New Roman"/>
                <w:b w:val="0"/>
                <w:bCs w:val="0"/>
                <w:color w:val="auto"/>
                <w:sz w:val="24"/>
                <w:szCs w:val="24"/>
                <w:highlight w:val="none"/>
                <w:lang w:val="en-US" w:eastAsia="zh-CN"/>
              </w:rPr>
              <w:t>2080</w:t>
            </w:r>
            <w:r>
              <w:rPr>
                <w:rFonts w:hint="default" w:ascii="Times New Roman" w:cs="Times New Roman"/>
                <w:b w:val="0"/>
                <w:bCs w:val="0"/>
                <w:color w:val="auto"/>
                <w:sz w:val="24"/>
                <w:szCs w:val="24"/>
                <w:highlight w:val="none"/>
                <w:lang w:val="en-US" w:eastAsia="zh-CN"/>
              </w:rPr>
              <w:t>h/a计，</w:t>
            </w:r>
            <w:r>
              <w:rPr>
                <w:rFonts w:hint="eastAsia" w:cs="Times New Roman"/>
                <w:color w:val="auto"/>
                <w:sz w:val="24"/>
                <w:szCs w:val="24"/>
                <w:highlight w:val="none"/>
                <w:lang w:val="en-US" w:eastAsia="zh-CN"/>
              </w:rPr>
              <w:t>则DA002排气筒中非甲烷总烃有组织排放量为0.096</w:t>
            </w:r>
            <w:r>
              <w:rPr>
                <w:rFonts w:hint="eastAsia"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，排放速率为0.046kg/h；氯乙烯有组织排放量为0.0078</w:t>
            </w:r>
            <w:r>
              <w:rPr>
                <w:rFonts w:hint="eastAsia"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，排放速率为0.004kg/h；氯化氢有组织排放量为0.0064</w:t>
            </w:r>
            <w:r>
              <w:rPr>
                <w:rFonts w:hint="eastAsia"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，排放速率为0.003kg/h。未收集非甲烷总烃在车间内以无组织形式排放，则无组织排放量为0.107t/a，排放速率为0.051kg/h。</w:t>
            </w:r>
          </w:p>
          <w:p w14:paraId="1B86A9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textAlignment w:val="auto"/>
              <w:rPr>
                <w:rFonts w:hint="default" w:ascii="Times New Roman" w:hAnsi="Times New Roman" w:eastAsia="宋体"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4、危废暂存库</w:t>
            </w:r>
            <w:r>
              <w:rPr>
                <w:rFonts w:hint="default" w:ascii="Times New Roman" w:hAnsi="Times New Roman" w:eastAsia="宋体" w:cs="Times New Roman"/>
                <w:b/>
                <w:bCs/>
                <w:color w:val="auto"/>
                <w:sz w:val="24"/>
                <w:szCs w:val="22"/>
                <w:highlight w:val="none"/>
                <w:lang w:val="en-US" w:eastAsia="zh-CN"/>
              </w:rPr>
              <w:t>废气</w:t>
            </w:r>
            <w:r>
              <w:rPr>
                <w:rFonts w:hint="default" w:ascii="Times New Roman" w:hAnsi="Times New Roman" w:eastAsia="宋体" w:cs="Times New Roman"/>
                <w:b/>
                <w:bCs/>
                <w:color w:val="auto"/>
                <w:sz w:val="24"/>
                <w:szCs w:val="24"/>
                <w:highlight w:val="none"/>
              </w:rPr>
              <w:t>G</w:t>
            </w:r>
            <w:r>
              <w:rPr>
                <w:rFonts w:hint="eastAsia" w:cs="Times New Roman"/>
                <w:b/>
                <w:bCs/>
                <w:color w:val="auto"/>
                <w:sz w:val="24"/>
                <w:szCs w:val="24"/>
                <w:highlight w:val="none"/>
                <w:lang w:val="en-US" w:eastAsia="zh-CN"/>
              </w:rPr>
              <w:t>3</w:t>
            </w:r>
          </w:p>
          <w:p w14:paraId="6E0C19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textAlignment w:val="auto"/>
              <w:rPr>
                <w:rFonts w:hint="eastAsia"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本项目产</w:t>
            </w:r>
            <w:r>
              <w:rPr>
                <w:rFonts w:hint="default" w:ascii="Times New Roman" w:hAnsi="Times New Roman" w:cs="Times New Roman"/>
                <w:b w:val="0"/>
                <w:bCs w:val="0"/>
                <w:color w:val="auto"/>
                <w:sz w:val="24"/>
                <w:szCs w:val="24"/>
                <w:highlight w:val="none"/>
                <w:lang w:val="en-US" w:eastAsia="zh-CN"/>
              </w:rPr>
              <w:t>生具</w:t>
            </w:r>
            <w:r>
              <w:rPr>
                <w:rFonts w:hint="default" w:ascii="Times New Roman" w:hAnsi="Times New Roman" w:eastAsia="宋体" w:cs="Times New Roman"/>
                <w:b w:val="0"/>
                <w:bCs w:val="0"/>
                <w:color w:val="auto"/>
                <w:sz w:val="24"/>
                <w:szCs w:val="24"/>
                <w:highlight w:val="none"/>
                <w:lang w:val="en-US" w:eastAsia="zh-CN"/>
              </w:rPr>
              <w:t>有挥发性有机物的危废主要为</w:t>
            </w:r>
            <w:r>
              <w:rPr>
                <w:rFonts w:hint="eastAsia" w:ascii="Times New Roman" w:hAnsi="Times New Roman" w:eastAsia="宋体" w:cs="Times New Roman"/>
                <w:b w:val="0"/>
                <w:bCs w:val="0"/>
                <w:color w:val="auto"/>
                <w:sz w:val="24"/>
                <w:szCs w:val="24"/>
                <w:highlight w:val="none"/>
                <w:lang w:val="en-US" w:eastAsia="zh-CN"/>
              </w:rPr>
              <w:t>脱模剂</w:t>
            </w:r>
            <w:r>
              <w:rPr>
                <w:rFonts w:hint="default" w:ascii="Times New Roman" w:hAnsi="Times New Roman" w:eastAsia="宋体" w:cs="Times New Roman"/>
                <w:b w:val="0"/>
                <w:bCs w:val="0"/>
                <w:color w:val="auto"/>
                <w:sz w:val="24"/>
                <w:szCs w:val="24"/>
                <w:highlight w:val="none"/>
                <w:lang w:val="en-US" w:eastAsia="zh-CN"/>
              </w:rPr>
              <w:t>用完后产生的废包装桶</w:t>
            </w:r>
            <w:r>
              <w:rPr>
                <w:rFonts w:hint="eastAsia" w:ascii="Times New Roman" w:hAnsi="Times New Roman" w:eastAsia="宋体" w:cs="Times New Roman"/>
                <w:b w:val="0"/>
                <w:bCs w:val="0"/>
                <w:color w:val="auto"/>
                <w:sz w:val="24"/>
                <w:szCs w:val="24"/>
                <w:highlight w:val="none"/>
                <w:lang w:val="en-US" w:eastAsia="zh-CN"/>
              </w:rPr>
              <w:t>、废活性炭</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其中废包装桶加盖密封，废活性炭</w:t>
            </w:r>
            <w:r>
              <w:rPr>
                <w:rFonts w:hint="default" w:ascii="Times New Roman" w:hAnsi="Times New Roman" w:eastAsia="宋体" w:cs="Times New Roman"/>
                <w:b w:val="0"/>
                <w:bCs w:val="0"/>
                <w:color w:val="auto"/>
                <w:sz w:val="24"/>
                <w:szCs w:val="24"/>
                <w:highlight w:val="none"/>
                <w:lang w:val="en-US" w:eastAsia="zh-CN"/>
              </w:rPr>
              <w:t>采用塑料包装袋进行收集</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包装袋</w:t>
            </w:r>
            <w:r>
              <w:rPr>
                <w:rFonts w:hint="eastAsia" w:cs="Times New Roman"/>
                <w:b w:val="0"/>
                <w:bCs w:val="0"/>
                <w:color w:val="auto"/>
                <w:sz w:val="24"/>
                <w:szCs w:val="24"/>
                <w:highlight w:val="none"/>
                <w:lang w:val="en-US" w:eastAsia="zh-CN"/>
              </w:rPr>
              <w:t>袋</w:t>
            </w:r>
            <w:r>
              <w:rPr>
                <w:rFonts w:hint="default" w:ascii="Times New Roman" w:hAnsi="Times New Roman" w:eastAsia="宋体" w:cs="Times New Roman"/>
                <w:b w:val="0"/>
                <w:bCs w:val="0"/>
                <w:color w:val="auto"/>
                <w:sz w:val="24"/>
                <w:szCs w:val="24"/>
                <w:highlight w:val="none"/>
                <w:lang w:val="en-US" w:eastAsia="zh-CN"/>
              </w:rPr>
              <w:t>口密封，上述危废在危险暂存间内的存储时间不超过</w:t>
            </w:r>
            <w:r>
              <w:rPr>
                <w:rFonts w:hint="eastAsia" w:cs="Times New Roman"/>
                <w:b w:val="0"/>
                <w:bCs w:val="0"/>
                <w:color w:val="auto"/>
                <w:sz w:val="24"/>
                <w:szCs w:val="24"/>
                <w:highlight w:val="none"/>
                <w:lang w:val="en-US" w:eastAsia="zh-CN"/>
              </w:rPr>
              <w:t>一季度</w:t>
            </w:r>
            <w:r>
              <w:rPr>
                <w:rFonts w:hint="eastAsia" w:ascii="Times New Roman" w:hAnsi="Times New Roman" w:eastAsia="宋体" w:cs="Times New Roman"/>
                <w:b w:val="0"/>
                <w:bCs w:val="0"/>
                <w:color w:val="auto"/>
                <w:sz w:val="24"/>
                <w:szCs w:val="24"/>
                <w:highlight w:val="none"/>
                <w:lang w:val="en-US" w:eastAsia="zh-CN"/>
              </w:rPr>
              <w:t>。因</w:t>
            </w:r>
            <w:r>
              <w:rPr>
                <w:rFonts w:hint="default" w:ascii="Times New Roman" w:hAnsi="Times New Roman" w:eastAsia="宋体" w:cs="Times New Roman"/>
                <w:b w:val="0"/>
                <w:bCs w:val="0"/>
                <w:color w:val="auto"/>
                <w:sz w:val="24"/>
                <w:szCs w:val="24"/>
                <w:highlight w:val="none"/>
                <w:lang w:val="en-US" w:eastAsia="zh-CN"/>
              </w:rPr>
              <w:t>废包装桶</w:t>
            </w:r>
            <w:r>
              <w:rPr>
                <w:rFonts w:hint="eastAsia" w:ascii="Times New Roman" w:hAnsi="Times New Roman" w:eastAsia="宋体" w:cs="Times New Roman"/>
                <w:b w:val="0"/>
                <w:bCs w:val="0"/>
                <w:color w:val="auto"/>
                <w:sz w:val="24"/>
                <w:szCs w:val="24"/>
                <w:highlight w:val="none"/>
                <w:lang w:val="en-US" w:eastAsia="zh-CN"/>
              </w:rPr>
              <w:t>上粘附的挥发性有机物很少，且密封后的危废不易逸散挥发性有机废气</w:t>
            </w:r>
            <w:r>
              <w:rPr>
                <w:rFonts w:hint="default" w:ascii="Times New Roman" w:hAnsi="Times New Roman" w:eastAsia="宋体" w:cs="Times New Roman"/>
                <w:b w:val="0"/>
                <w:bCs w:val="0"/>
                <w:color w:val="auto"/>
                <w:sz w:val="24"/>
                <w:szCs w:val="24"/>
                <w:highlight w:val="none"/>
                <w:lang w:val="en-US" w:eastAsia="zh-CN"/>
              </w:rPr>
              <w:t>，故本次评价不进行定量计算。</w:t>
            </w:r>
          </w:p>
          <w:p w14:paraId="7BD98B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textAlignment w:val="auto"/>
              <w:rPr>
                <w:rFonts w:hint="eastAsia" w:ascii="Times New Roman" w:hAnsi="Times New Roman" w:eastAsia="宋体"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rPr>
              <w:t>5</w:t>
            </w:r>
            <w:r>
              <w:rPr>
                <w:rFonts w:hint="eastAsia" w:ascii="Times New Roman" w:hAnsi="Times New Roman" w:eastAsia="宋体" w:cs="Times New Roman"/>
                <w:b/>
                <w:bCs/>
                <w:color w:val="auto"/>
                <w:kern w:val="0"/>
                <w:sz w:val="24"/>
                <w:szCs w:val="24"/>
                <w:highlight w:val="none"/>
                <w:lang w:val="en-US" w:eastAsia="zh-CN"/>
              </w:rPr>
              <w:t>、食堂油烟G5</w:t>
            </w:r>
          </w:p>
          <w:p w14:paraId="6CF953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default" w:ascii="Times New Roman" w:hAnsi="Times New Roman" w:eastAsia="宋体" w:cs="Times New Roman"/>
                <w:b w:val="0"/>
                <w:bCs w:val="0"/>
                <w:color w:val="auto"/>
                <w:szCs w:val="22"/>
                <w:highlight w:val="none"/>
                <w:lang w:val="en-US" w:eastAsia="zh-CN"/>
              </w:rPr>
            </w:pPr>
            <w:r>
              <w:rPr>
                <w:rFonts w:hint="eastAsia" w:ascii="Times New Roman" w:hAnsi="Times New Roman" w:eastAsia="宋体" w:cs="Times New Roman"/>
                <w:snapToGrid/>
                <w:color w:val="auto"/>
                <w:kern w:val="2"/>
                <w:sz w:val="24"/>
                <w:szCs w:val="24"/>
                <w:highlight w:val="none"/>
                <w:lang w:val="en-US" w:eastAsia="zh-CN" w:bidi="ar-SA"/>
              </w:rPr>
              <w:t>项目</w:t>
            </w:r>
            <w:r>
              <w:rPr>
                <w:rFonts w:hint="eastAsia" w:cs="Times New Roman"/>
                <w:snapToGrid/>
                <w:color w:val="auto"/>
                <w:kern w:val="2"/>
                <w:sz w:val="24"/>
                <w:szCs w:val="24"/>
                <w:highlight w:val="none"/>
                <w:lang w:val="en-US" w:eastAsia="zh-CN" w:bidi="ar-SA"/>
              </w:rPr>
              <w:t>劳动定员5</w:t>
            </w:r>
            <w:r>
              <w:rPr>
                <w:rFonts w:hint="eastAsia" w:ascii="Times New Roman" w:hAnsi="Times New Roman" w:eastAsia="宋体" w:cs="Times New Roman"/>
                <w:snapToGrid/>
                <w:color w:val="auto"/>
                <w:kern w:val="2"/>
                <w:sz w:val="24"/>
                <w:szCs w:val="24"/>
                <w:highlight w:val="none"/>
                <w:lang w:val="en-US" w:eastAsia="zh-CN" w:bidi="ar-SA"/>
              </w:rPr>
              <w:t>0人，食堂设基准灶头</w:t>
            </w:r>
            <w:r>
              <w:rPr>
                <w:rFonts w:hint="eastAsia" w:cs="Times New Roman"/>
                <w:snapToGrid/>
                <w:color w:val="auto"/>
                <w:kern w:val="2"/>
                <w:sz w:val="24"/>
                <w:szCs w:val="24"/>
                <w:highlight w:val="none"/>
                <w:lang w:val="en-US" w:eastAsia="zh-CN" w:bidi="ar-SA"/>
              </w:rPr>
              <w:t>2</w:t>
            </w:r>
            <w:r>
              <w:rPr>
                <w:rFonts w:hint="eastAsia" w:ascii="Times New Roman" w:hAnsi="Times New Roman" w:eastAsia="宋体" w:cs="Times New Roman"/>
                <w:snapToGrid/>
                <w:color w:val="auto"/>
                <w:kern w:val="2"/>
                <w:sz w:val="24"/>
                <w:szCs w:val="24"/>
                <w:highlight w:val="none"/>
                <w:lang w:val="en-US" w:eastAsia="zh-CN" w:bidi="ar-SA"/>
              </w:rPr>
              <w:t>个，属小型规模，每人每天用油量以</w:t>
            </w:r>
            <w:r>
              <w:rPr>
                <w:rFonts w:hint="default" w:ascii="Times New Roman" w:hAnsi="Times New Roman" w:eastAsia="宋体" w:cs="Times New Roman"/>
                <w:snapToGrid/>
                <w:color w:val="auto"/>
                <w:kern w:val="2"/>
                <w:sz w:val="24"/>
                <w:szCs w:val="24"/>
                <w:highlight w:val="none"/>
                <w:lang w:val="en-US" w:eastAsia="zh-CN" w:bidi="ar-SA"/>
              </w:rPr>
              <w:t>30g</w:t>
            </w:r>
            <w:r>
              <w:rPr>
                <w:rFonts w:hint="eastAsia" w:ascii="Times New Roman" w:hAnsi="Times New Roman" w:eastAsia="宋体" w:cs="Times New Roman"/>
                <w:snapToGrid/>
                <w:color w:val="auto"/>
                <w:kern w:val="2"/>
                <w:sz w:val="24"/>
                <w:szCs w:val="24"/>
                <w:highlight w:val="none"/>
                <w:lang w:val="en-US" w:eastAsia="zh-CN" w:bidi="ar-SA"/>
              </w:rPr>
              <w:t>计，挥发量按</w:t>
            </w:r>
            <w:r>
              <w:rPr>
                <w:rFonts w:hint="default" w:ascii="Times New Roman" w:hAnsi="Times New Roman" w:eastAsia="宋体" w:cs="Times New Roman"/>
                <w:snapToGrid/>
                <w:color w:val="auto"/>
                <w:kern w:val="2"/>
                <w:sz w:val="24"/>
                <w:szCs w:val="24"/>
                <w:highlight w:val="none"/>
                <w:lang w:val="en-US" w:eastAsia="zh-CN" w:bidi="ar-SA"/>
              </w:rPr>
              <w:t>2.5%</w:t>
            </w:r>
            <w:r>
              <w:rPr>
                <w:rFonts w:hint="eastAsia" w:ascii="Times New Roman" w:hAnsi="Times New Roman" w:eastAsia="宋体" w:cs="Times New Roman"/>
                <w:snapToGrid/>
                <w:color w:val="auto"/>
                <w:kern w:val="2"/>
                <w:sz w:val="24"/>
                <w:szCs w:val="24"/>
                <w:highlight w:val="none"/>
                <w:lang w:val="en-US" w:eastAsia="zh-CN" w:bidi="ar-SA"/>
              </w:rPr>
              <w:t>计算，油烟废气年产生量为0.0</w:t>
            </w:r>
            <w:r>
              <w:rPr>
                <w:rFonts w:hint="eastAsia" w:cs="Times New Roman"/>
                <w:snapToGrid/>
                <w:color w:val="auto"/>
                <w:kern w:val="2"/>
                <w:sz w:val="24"/>
                <w:szCs w:val="24"/>
                <w:highlight w:val="none"/>
                <w:lang w:val="en-US" w:eastAsia="zh-CN" w:bidi="ar-SA"/>
              </w:rPr>
              <w:t>1</w:t>
            </w:r>
            <w:r>
              <w:rPr>
                <w:rFonts w:hint="default" w:ascii="Times New Roman" w:hAnsi="Times New Roman" w:eastAsia="宋体" w:cs="Times New Roman"/>
                <w:snapToGrid/>
                <w:color w:val="auto"/>
                <w:kern w:val="2"/>
                <w:sz w:val="24"/>
                <w:szCs w:val="24"/>
                <w:highlight w:val="none"/>
                <w:lang w:val="en-US" w:eastAsia="zh-CN" w:bidi="ar-SA"/>
              </w:rPr>
              <w:t>t/a</w:t>
            </w:r>
            <w:r>
              <w:rPr>
                <w:rFonts w:hint="eastAsia" w:ascii="Times New Roman" w:hAnsi="Times New Roman" w:eastAsia="宋体" w:cs="Times New Roman"/>
                <w:snapToGrid/>
                <w:color w:val="auto"/>
                <w:kern w:val="2"/>
                <w:sz w:val="24"/>
                <w:szCs w:val="24"/>
                <w:highlight w:val="none"/>
                <w:lang w:val="en-US" w:eastAsia="zh-CN" w:bidi="ar-SA"/>
              </w:rPr>
              <w:t>，食堂运行时间以每天2h计，油烟废气产生速率约为</w:t>
            </w:r>
            <w:r>
              <w:rPr>
                <w:rFonts w:hint="default" w:ascii="Times New Roman" w:hAnsi="Times New Roman" w:eastAsia="宋体" w:cs="Times New Roman"/>
                <w:snapToGrid/>
                <w:color w:val="auto"/>
                <w:kern w:val="2"/>
                <w:sz w:val="24"/>
                <w:szCs w:val="24"/>
                <w:highlight w:val="none"/>
                <w:lang w:val="en-US" w:eastAsia="zh-CN" w:bidi="ar-SA"/>
              </w:rPr>
              <w:t>0.0</w:t>
            </w:r>
            <w:r>
              <w:rPr>
                <w:rFonts w:hint="eastAsia" w:cs="Times New Roman"/>
                <w:snapToGrid/>
                <w:color w:val="auto"/>
                <w:kern w:val="2"/>
                <w:sz w:val="24"/>
                <w:szCs w:val="24"/>
                <w:highlight w:val="none"/>
                <w:lang w:val="en-US" w:eastAsia="zh-CN" w:bidi="ar-SA"/>
              </w:rPr>
              <w:t>19</w:t>
            </w:r>
            <w:r>
              <w:rPr>
                <w:rFonts w:hint="default" w:ascii="Times New Roman" w:hAnsi="Times New Roman" w:eastAsia="宋体" w:cs="Times New Roman"/>
                <w:snapToGrid/>
                <w:color w:val="auto"/>
                <w:kern w:val="2"/>
                <w:sz w:val="24"/>
                <w:szCs w:val="24"/>
                <w:highlight w:val="none"/>
                <w:lang w:val="en-US" w:eastAsia="zh-CN" w:bidi="ar-SA"/>
              </w:rPr>
              <w:t>kg/h</w:t>
            </w:r>
            <w:r>
              <w:rPr>
                <w:rFonts w:hint="eastAsia" w:ascii="Times New Roman" w:hAnsi="Times New Roman" w:eastAsia="宋体" w:cs="Times New Roman"/>
                <w:snapToGrid/>
                <w:color w:val="auto"/>
                <w:kern w:val="2"/>
                <w:sz w:val="24"/>
                <w:szCs w:val="24"/>
                <w:highlight w:val="none"/>
                <w:lang w:val="en-US" w:eastAsia="zh-CN" w:bidi="ar-SA"/>
              </w:rPr>
              <w:t>。食堂油烟废气安装油烟净化器处理，中型规模最低去除率为</w:t>
            </w:r>
            <w:r>
              <w:rPr>
                <w:rFonts w:hint="eastAsia" w:cs="Times New Roman"/>
                <w:snapToGrid/>
                <w:color w:val="auto"/>
                <w:kern w:val="2"/>
                <w:sz w:val="24"/>
                <w:szCs w:val="24"/>
                <w:highlight w:val="none"/>
                <w:lang w:val="en-US" w:eastAsia="zh-CN" w:bidi="ar-SA"/>
              </w:rPr>
              <w:t>60</w:t>
            </w:r>
            <w:r>
              <w:rPr>
                <w:rFonts w:hint="default" w:ascii="Times New Roman" w:hAnsi="Times New Roman" w:eastAsia="宋体" w:cs="Times New Roman"/>
                <w:snapToGrid/>
                <w:color w:val="auto"/>
                <w:kern w:val="2"/>
                <w:sz w:val="24"/>
                <w:szCs w:val="24"/>
                <w:highlight w:val="none"/>
                <w:lang w:val="en-US" w:eastAsia="zh-CN" w:bidi="ar-SA"/>
              </w:rPr>
              <w:t>%</w:t>
            </w:r>
            <w:r>
              <w:rPr>
                <w:rFonts w:hint="eastAsia" w:ascii="Times New Roman" w:hAnsi="Times New Roman" w:eastAsia="宋体" w:cs="Times New Roman"/>
                <w:snapToGrid/>
                <w:color w:val="auto"/>
                <w:kern w:val="2"/>
                <w:sz w:val="24"/>
                <w:szCs w:val="24"/>
                <w:highlight w:val="none"/>
                <w:lang w:val="en-US" w:eastAsia="zh-CN" w:bidi="ar-SA"/>
              </w:rPr>
              <w:t>，油烟机排风量设计为</w:t>
            </w:r>
            <w:r>
              <w:rPr>
                <w:rFonts w:hint="eastAsia" w:cs="Times New Roman"/>
                <w:snapToGrid/>
                <w:color w:val="auto"/>
                <w:kern w:val="2"/>
                <w:sz w:val="24"/>
                <w:szCs w:val="24"/>
                <w:highlight w:val="none"/>
                <w:lang w:val="en-US" w:eastAsia="zh-CN" w:bidi="ar-SA"/>
              </w:rPr>
              <w:t>5</w:t>
            </w:r>
            <w:r>
              <w:rPr>
                <w:rFonts w:hint="eastAsia" w:ascii="Times New Roman" w:hAnsi="Times New Roman" w:eastAsia="宋体" w:cs="Times New Roman"/>
                <w:snapToGrid/>
                <w:color w:val="auto"/>
                <w:kern w:val="2"/>
                <w:sz w:val="24"/>
                <w:szCs w:val="24"/>
                <w:highlight w:val="none"/>
                <w:lang w:val="en-US" w:eastAsia="zh-CN" w:bidi="ar-SA"/>
              </w:rPr>
              <w:t>0</w:t>
            </w:r>
            <w:r>
              <w:rPr>
                <w:rFonts w:hint="default" w:ascii="Times New Roman" w:hAnsi="Times New Roman" w:eastAsia="宋体" w:cs="Times New Roman"/>
                <w:snapToGrid/>
                <w:color w:val="auto"/>
                <w:kern w:val="2"/>
                <w:sz w:val="24"/>
                <w:szCs w:val="24"/>
                <w:highlight w:val="none"/>
                <w:lang w:val="en-US" w:eastAsia="zh-CN" w:bidi="ar-SA"/>
              </w:rPr>
              <w:t>00m</w:t>
            </w:r>
            <w:r>
              <w:rPr>
                <w:rFonts w:hint="default" w:ascii="Times New Roman" w:hAnsi="Times New Roman" w:eastAsia="宋体" w:cs="Times New Roman"/>
                <w:snapToGrid/>
                <w:color w:val="auto"/>
                <w:kern w:val="2"/>
                <w:sz w:val="24"/>
                <w:szCs w:val="24"/>
                <w:highlight w:val="none"/>
                <w:vertAlign w:val="superscript"/>
                <w:lang w:val="en-US" w:eastAsia="zh-CN" w:bidi="ar-SA"/>
              </w:rPr>
              <w:t>3</w:t>
            </w:r>
            <w:r>
              <w:rPr>
                <w:rFonts w:hint="default" w:ascii="Times New Roman" w:hAnsi="Times New Roman" w:eastAsia="宋体" w:cs="Times New Roman"/>
                <w:snapToGrid/>
                <w:color w:val="auto"/>
                <w:kern w:val="2"/>
                <w:sz w:val="24"/>
                <w:szCs w:val="24"/>
                <w:highlight w:val="none"/>
                <w:lang w:val="en-US" w:eastAsia="zh-CN" w:bidi="ar-SA"/>
              </w:rPr>
              <w:t>/h</w:t>
            </w:r>
            <w:r>
              <w:rPr>
                <w:rFonts w:hint="eastAsia" w:ascii="Times New Roman" w:hAnsi="Times New Roman" w:eastAsia="宋体" w:cs="Times New Roman"/>
                <w:snapToGrid/>
                <w:color w:val="auto"/>
                <w:kern w:val="2"/>
                <w:sz w:val="24"/>
                <w:szCs w:val="24"/>
                <w:highlight w:val="none"/>
                <w:lang w:val="en-US" w:eastAsia="zh-CN" w:bidi="ar-SA"/>
              </w:rPr>
              <w:t>，油烟废气经油烟净化器处理后经专用</w:t>
            </w:r>
            <w:r>
              <w:rPr>
                <w:rFonts w:hint="eastAsia" w:cs="Times New Roman"/>
                <w:snapToGrid/>
                <w:color w:val="auto"/>
                <w:kern w:val="2"/>
                <w:sz w:val="24"/>
                <w:szCs w:val="24"/>
                <w:highlight w:val="none"/>
                <w:lang w:val="en-US" w:eastAsia="zh-CN" w:bidi="ar-SA"/>
              </w:rPr>
              <w:t>烟道</w:t>
            </w:r>
            <w:r>
              <w:rPr>
                <w:rFonts w:hint="eastAsia" w:ascii="Times New Roman" w:hAnsi="Times New Roman" w:eastAsia="宋体" w:cs="Times New Roman"/>
                <w:snapToGrid/>
                <w:color w:val="auto"/>
                <w:kern w:val="2"/>
                <w:sz w:val="24"/>
                <w:szCs w:val="24"/>
                <w:highlight w:val="none"/>
                <w:lang w:val="en-US" w:eastAsia="zh-CN" w:bidi="ar-SA"/>
              </w:rPr>
              <w:t>送至屋顶排放，处理后油烟排放量为0.00</w:t>
            </w:r>
            <w:r>
              <w:rPr>
                <w:rFonts w:hint="eastAsia" w:cs="Times New Roman"/>
                <w:snapToGrid/>
                <w:color w:val="auto"/>
                <w:kern w:val="2"/>
                <w:sz w:val="24"/>
                <w:szCs w:val="24"/>
                <w:highlight w:val="none"/>
                <w:lang w:val="en-US" w:eastAsia="zh-CN" w:bidi="ar-SA"/>
              </w:rPr>
              <w:t>4</w:t>
            </w:r>
            <w:r>
              <w:rPr>
                <w:rFonts w:hint="default" w:ascii="Times New Roman" w:hAnsi="Times New Roman" w:eastAsia="宋体" w:cs="Times New Roman"/>
                <w:snapToGrid/>
                <w:color w:val="auto"/>
                <w:kern w:val="2"/>
                <w:sz w:val="24"/>
                <w:szCs w:val="24"/>
                <w:highlight w:val="none"/>
                <w:lang w:val="en-US" w:eastAsia="zh-CN" w:bidi="ar-SA"/>
              </w:rPr>
              <w:t>t/a</w:t>
            </w:r>
            <w:r>
              <w:rPr>
                <w:rFonts w:hint="eastAsia" w:ascii="Times New Roman" w:hAnsi="Times New Roman" w:eastAsia="宋体" w:cs="Times New Roman"/>
                <w:snapToGrid/>
                <w:color w:val="auto"/>
                <w:kern w:val="2"/>
                <w:sz w:val="24"/>
                <w:szCs w:val="24"/>
                <w:highlight w:val="none"/>
                <w:lang w:val="en-US" w:eastAsia="zh-CN" w:bidi="ar-SA"/>
              </w:rPr>
              <w:t>，排放速率为</w:t>
            </w:r>
            <w:r>
              <w:rPr>
                <w:rFonts w:hint="default" w:ascii="Times New Roman" w:hAnsi="Times New Roman" w:eastAsia="宋体" w:cs="Times New Roman"/>
                <w:snapToGrid/>
                <w:color w:val="auto"/>
                <w:kern w:val="2"/>
                <w:sz w:val="24"/>
                <w:szCs w:val="24"/>
                <w:highlight w:val="none"/>
                <w:lang w:val="en-US" w:eastAsia="zh-CN" w:bidi="ar-SA"/>
              </w:rPr>
              <w:t>0.00</w:t>
            </w:r>
            <w:r>
              <w:rPr>
                <w:rFonts w:hint="eastAsia" w:cs="Times New Roman"/>
                <w:snapToGrid/>
                <w:color w:val="auto"/>
                <w:kern w:val="2"/>
                <w:sz w:val="24"/>
                <w:szCs w:val="24"/>
                <w:highlight w:val="none"/>
                <w:lang w:val="en-US" w:eastAsia="zh-CN" w:bidi="ar-SA"/>
              </w:rPr>
              <w:t>77</w:t>
            </w:r>
            <w:r>
              <w:rPr>
                <w:rFonts w:hint="default" w:ascii="Times New Roman" w:hAnsi="Times New Roman" w:eastAsia="宋体" w:cs="Times New Roman"/>
                <w:snapToGrid/>
                <w:color w:val="auto"/>
                <w:kern w:val="2"/>
                <w:sz w:val="24"/>
                <w:szCs w:val="24"/>
                <w:highlight w:val="none"/>
                <w:lang w:val="en-US" w:eastAsia="zh-CN" w:bidi="ar-SA"/>
              </w:rPr>
              <w:t>kg/h</w:t>
            </w:r>
            <w:r>
              <w:rPr>
                <w:rFonts w:hint="eastAsia" w:ascii="Times New Roman" w:hAnsi="Times New Roman" w:eastAsia="宋体" w:cs="Times New Roman"/>
                <w:snapToGrid/>
                <w:color w:val="auto"/>
                <w:kern w:val="2"/>
                <w:sz w:val="24"/>
                <w:szCs w:val="24"/>
                <w:highlight w:val="none"/>
                <w:lang w:val="en-US" w:eastAsia="zh-CN" w:bidi="ar-SA"/>
              </w:rPr>
              <w:t>，排放浓度为</w:t>
            </w:r>
            <w:r>
              <w:rPr>
                <w:rFonts w:hint="default" w:ascii="Times New Roman" w:hAnsi="Times New Roman" w:eastAsia="宋体" w:cs="Times New Roman"/>
                <w:snapToGrid/>
                <w:color w:val="auto"/>
                <w:kern w:val="2"/>
                <w:sz w:val="24"/>
                <w:szCs w:val="24"/>
                <w:highlight w:val="none"/>
                <w:lang w:val="en-US" w:eastAsia="zh-CN" w:bidi="ar-SA"/>
              </w:rPr>
              <w:t>1.</w:t>
            </w:r>
            <w:r>
              <w:rPr>
                <w:rFonts w:hint="eastAsia" w:ascii="Times New Roman" w:hAnsi="Times New Roman" w:eastAsia="宋体" w:cs="Times New Roman"/>
                <w:snapToGrid/>
                <w:color w:val="auto"/>
                <w:kern w:val="2"/>
                <w:sz w:val="24"/>
                <w:szCs w:val="24"/>
                <w:highlight w:val="none"/>
                <w:lang w:val="en-US" w:eastAsia="zh-CN" w:bidi="ar-SA"/>
              </w:rPr>
              <w:t>5</w:t>
            </w:r>
            <w:r>
              <w:rPr>
                <w:rFonts w:hint="eastAsia" w:cs="Times New Roman"/>
                <w:snapToGrid/>
                <w:color w:val="auto"/>
                <w:kern w:val="2"/>
                <w:sz w:val="24"/>
                <w:szCs w:val="24"/>
                <w:highlight w:val="none"/>
                <w:lang w:val="en-US" w:eastAsia="zh-CN" w:bidi="ar-SA"/>
              </w:rPr>
              <w:t>4</w:t>
            </w:r>
            <w:r>
              <w:rPr>
                <w:rFonts w:hint="default" w:ascii="Times New Roman" w:hAnsi="Times New Roman" w:eastAsia="宋体" w:cs="Times New Roman"/>
                <w:snapToGrid/>
                <w:color w:val="auto"/>
                <w:kern w:val="2"/>
                <w:sz w:val="24"/>
                <w:szCs w:val="24"/>
                <w:highlight w:val="none"/>
                <w:lang w:val="en-US" w:eastAsia="zh-CN" w:bidi="ar-SA"/>
              </w:rPr>
              <w:t>mg/m</w:t>
            </w:r>
            <w:r>
              <w:rPr>
                <w:rFonts w:hint="default" w:ascii="Times New Roman" w:hAnsi="Times New Roman" w:eastAsia="宋体" w:cs="Times New Roman"/>
                <w:snapToGrid/>
                <w:color w:val="auto"/>
                <w:kern w:val="2"/>
                <w:sz w:val="24"/>
                <w:szCs w:val="24"/>
                <w:highlight w:val="none"/>
                <w:vertAlign w:val="superscript"/>
                <w:lang w:val="en-US" w:eastAsia="zh-CN" w:bidi="ar-SA"/>
              </w:rPr>
              <w:t>3</w:t>
            </w:r>
            <w:r>
              <w:rPr>
                <w:rFonts w:hint="eastAsia" w:ascii="Times New Roman" w:hAnsi="Times New Roman" w:eastAsia="宋体" w:cs="Times New Roman"/>
                <w:snapToGrid/>
                <w:color w:val="auto"/>
                <w:kern w:val="2"/>
                <w:sz w:val="24"/>
                <w:szCs w:val="24"/>
                <w:highlight w:val="none"/>
                <w:lang w:val="en-US" w:eastAsia="zh-CN" w:bidi="ar-SA"/>
              </w:rPr>
              <w:t>。</w:t>
            </w:r>
            <w:bookmarkEnd w:id="12"/>
            <w:r>
              <w:rPr>
                <w:rFonts w:hint="eastAsia" w:cs="Times New Roman"/>
                <w:snapToGrid/>
                <w:color w:val="auto"/>
                <w:kern w:val="2"/>
                <w:sz w:val="24"/>
                <w:szCs w:val="24"/>
                <w:highlight w:val="none"/>
                <w:lang w:val="en-US" w:eastAsia="zh-CN" w:bidi="ar-SA"/>
              </w:rPr>
              <w:t xml:space="preserve"> </w:t>
            </w:r>
          </w:p>
          <w:p w14:paraId="3D7B73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color w:val="auto"/>
                <w:kern w:val="0"/>
                <w:sz w:val="24"/>
                <w:szCs w:val="24"/>
                <w:highlight w:val="none"/>
                <w:lang w:eastAsia="zh-CN"/>
              </w:rPr>
            </w:pPr>
            <w:r>
              <w:rPr>
                <w:rFonts w:hint="default" w:ascii="Times New Roman" w:hAnsi="Times New Roman" w:eastAsia="宋体" w:cs="Times New Roman"/>
                <w:b/>
                <w:color w:val="auto"/>
                <w:kern w:val="0"/>
                <w:sz w:val="24"/>
                <w:szCs w:val="24"/>
                <w:highlight w:val="none"/>
              </w:rPr>
              <w:t>1.</w:t>
            </w:r>
            <w:r>
              <w:rPr>
                <w:rFonts w:hint="default" w:ascii="Times New Roman" w:hAnsi="Times New Roman" w:eastAsia="宋体" w:cs="Times New Roman"/>
                <w:b/>
                <w:color w:val="auto"/>
                <w:kern w:val="0"/>
                <w:sz w:val="24"/>
                <w:szCs w:val="24"/>
                <w:highlight w:val="none"/>
                <w:lang w:val="en-US" w:eastAsia="zh-CN"/>
              </w:rPr>
              <w:t>2</w:t>
            </w:r>
            <w:r>
              <w:rPr>
                <w:rFonts w:hint="default" w:ascii="Times New Roman" w:hAnsi="Times New Roman" w:eastAsia="宋体" w:cs="Times New Roman"/>
                <w:b/>
                <w:color w:val="auto"/>
                <w:kern w:val="0"/>
                <w:sz w:val="24"/>
                <w:szCs w:val="24"/>
                <w:highlight w:val="none"/>
              </w:rPr>
              <w:t>非正常工况</w:t>
            </w:r>
            <w:r>
              <w:rPr>
                <w:rFonts w:hint="default" w:ascii="Times New Roman" w:hAnsi="Times New Roman" w:eastAsia="宋体" w:cs="Times New Roman"/>
                <w:b/>
                <w:color w:val="auto"/>
                <w:kern w:val="0"/>
                <w:sz w:val="24"/>
                <w:szCs w:val="24"/>
                <w:highlight w:val="none"/>
                <w:lang w:eastAsia="zh-CN"/>
              </w:rPr>
              <w:t>废气排放情况</w:t>
            </w:r>
          </w:p>
          <w:p w14:paraId="2BE237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2"/>
                <w:highlight w:val="none"/>
                <w:lang w:eastAsia="zh-CN"/>
              </w:rPr>
            </w:pPr>
            <w:r>
              <w:rPr>
                <w:rFonts w:hint="default" w:ascii="Times New Roman" w:hAnsi="Times New Roman" w:eastAsia="宋体" w:cs="Times New Roman"/>
                <w:color w:val="auto"/>
                <w:kern w:val="0"/>
                <w:sz w:val="24"/>
                <w:szCs w:val="24"/>
                <w:highlight w:val="none"/>
              </w:rPr>
              <w:t>本项目的</w:t>
            </w:r>
            <w:r>
              <w:rPr>
                <w:rFonts w:hint="default" w:ascii="Times New Roman" w:hAnsi="Times New Roman" w:eastAsia="宋体" w:cs="Times New Roman"/>
                <w:color w:val="auto"/>
                <w:sz w:val="24"/>
                <w:szCs w:val="22"/>
                <w:highlight w:val="none"/>
              </w:rPr>
              <w:t>非正常排放主要指生产过程中的开停车、设备检修、工艺设备运转异常等非正常工况下的污染物排放，以及污染物排放控制措施达不到应有效率等情况下的排放。</w:t>
            </w:r>
            <w:r>
              <w:rPr>
                <w:rFonts w:hint="default" w:ascii="Times New Roman" w:hAnsi="Times New Roman" w:eastAsia="宋体" w:cs="Times New Roman"/>
                <w:color w:val="auto"/>
                <w:kern w:val="0"/>
                <w:sz w:val="24"/>
                <w:szCs w:val="24"/>
                <w:highlight w:val="none"/>
              </w:rPr>
              <w:t>其排放情况见下表</w:t>
            </w:r>
            <w:r>
              <w:rPr>
                <w:rFonts w:hint="default" w:ascii="Times New Roman" w:hAnsi="Times New Roman" w:eastAsia="宋体" w:cs="Times New Roman"/>
                <w:color w:val="auto"/>
                <w:kern w:val="0"/>
                <w:sz w:val="24"/>
                <w:szCs w:val="24"/>
                <w:highlight w:val="none"/>
                <w:lang w:eastAsia="zh-CN"/>
              </w:rPr>
              <w:t>：</w:t>
            </w:r>
          </w:p>
          <w:p w14:paraId="74D49C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w:t>
            </w:r>
            <w:r>
              <w:rPr>
                <w:rFonts w:hint="eastAsia"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rPr>
              <w:t xml:space="preserve">  大气污染物非正常工况核算表</w:t>
            </w:r>
          </w:p>
          <w:tbl>
            <w:tblPr>
              <w:tblStyle w:val="39"/>
              <w:tblW w:w="497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5"/>
              <w:gridCol w:w="898"/>
              <w:gridCol w:w="1869"/>
              <w:gridCol w:w="1135"/>
              <w:gridCol w:w="1009"/>
              <w:gridCol w:w="903"/>
              <w:gridCol w:w="903"/>
              <w:gridCol w:w="848"/>
              <w:gridCol w:w="904"/>
            </w:tblGrid>
            <w:tr w14:paraId="1F42E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4" w:type="pct"/>
                  <w:tcBorders>
                    <w:tl2br w:val="nil"/>
                    <w:tr2bl w:val="nil"/>
                  </w:tcBorders>
                  <w:noWrap w:val="0"/>
                  <w:vAlign w:val="center"/>
                </w:tcPr>
                <w:p w14:paraId="68D4684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498" w:type="pct"/>
                  <w:tcBorders>
                    <w:tl2br w:val="nil"/>
                    <w:tr2bl w:val="nil"/>
                  </w:tcBorders>
                  <w:noWrap w:val="0"/>
                  <w:vAlign w:val="center"/>
                </w:tcPr>
                <w:p w14:paraId="385457C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tc>
              <w:tc>
                <w:tcPr>
                  <w:tcW w:w="1035" w:type="pct"/>
                  <w:tcBorders>
                    <w:tl2br w:val="nil"/>
                    <w:tr2bl w:val="nil"/>
                  </w:tcBorders>
                  <w:noWrap w:val="0"/>
                  <w:vAlign w:val="center"/>
                </w:tcPr>
                <w:p w14:paraId="0BBE2808">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非正常排放原因</w:t>
                  </w:r>
                </w:p>
              </w:tc>
              <w:tc>
                <w:tcPr>
                  <w:tcW w:w="629" w:type="pct"/>
                  <w:tcBorders>
                    <w:tl2br w:val="nil"/>
                    <w:tr2bl w:val="nil"/>
                  </w:tcBorders>
                  <w:noWrap w:val="0"/>
                  <w:vAlign w:val="center"/>
                </w:tcPr>
                <w:p w14:paraId="01FC669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546" w:type="pct"/>
                  <w:tcBorders>
                    <w:tl2br w:val="nil"/>
                    <w:tr2bl w:val="nil"/>
                  </w:tcBorders>
                  <w:noWrap w:val="0"/>
                  <w:vAlign w:val="center"/>
                </w:tcPr>
                <w:p w14:paraId="1816D22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非正常排放浓度（mg/m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501" w:type="pct"/>
                  <w:tcBorders>
                    <w:tl2br w:val="nil"/>
                    <w:tr2bl w:val="nil"/>
                  </w:tcBorders>
                  <w:noWrap w:val="0"/>
                  <w:vAlign w:val="center"/>
                </w:tcPr>
                <w:p w14:paraId="639C998A">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非正常排放速率（kg/h）</w:t>
                  </w:r>
                </w:p>
              </w:tc>
              <w:tc>
                <w:tcPr>
                  <w:tcW w:w="501" w:type="pct"/>
                  <w:tcBorders>
                    <w:tl2br w:val="nil"/>
                    <w:tr2bl w:val="nil"/>
                  </w:tcBorders>
                  <w:noWrap w:val="0"/>
                  <w:vAlign w:val="center"/>
                </w:tcPr>
                <w:p w14:paraId="0B874C5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单次持续时间</w:t>
                  </w:r>
                </w:p>
                <w:p w14:paraId="22D1030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（min）</w:t>
                  </w:r>
                </w:p>
              </w:tc>
              <w:tc>
                <w:tcPr>
                  <w:tcW w:w="470" w:type="pct"/>
                  <w:tcBorders>
                    <w:tl2br w:val="nil"/>
                    <w:tr2bl w:val="nil"/>
                  </w:tcBorders>
                  <w:noWrap w:val="0"/>
                  <w:vAlign w:val="center"/>
                </w:tcPr>
                <w:p w14:paraId="472B502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年最大发生频次</w:t>
                  </w:r>
                </w:p>
              </w:tc>
              <w:tc>
                <w:tcPr>
                  <w:tcW w:w="501" w:type="pct"/>
                  <w:tcBorders>
                    <w:tl2br w:val="nil"/>
                    <w:tr2bl w:val="nil"/>
                  </w:tcBorders>
                  <w:noWrap w:val="0"/>
                  <w:vAlign w:val="center"/>
                </w:tcPr>
                <w:p w14:paraId="66EB183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应对措施</w:t>
                  </w:r>
                </w:p>
              </w:tc>
            </w:tr>
            <w:tr w14:paraId="3D769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4" w:type="pct"/>
                  <w:tcBorders>
                    <w:tl2br w:val="nil"/>
                    <w:tr2bl w:val="nil"/>
                  </w:tcBorders>
                  <w:noWrap w:val="0"/>
                  <w:vAlign w:val="center"/>
                </w:tcPr>
                <w:p w14:paraId="08CB8157">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98" w:type="pct"/>
                  <w:tcBorders>
                    <w:tl2br w:val="nil"/>
                    <w:tr2bl w:val="nil"/>
                  </w:tcBorders>
                  <w:noWrap w:val="0"/>
                  <w:vAlign w:val="center"/>
                </w:tcPr>
                <w:p w14:paraId="164D63C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DA</w:t>
                  </w:r>
                  <w:r>
                    <w:rPr>
                      <w:rFonts w:hint="default" w:ascii="Times New Roman" w:hAnsi="Times New Roman" w:eastAsia="宋体" w:cs="Times New Roman"/>
                      <w:color w:val="auto"/>
                      <w:sz w:val="21"/>
                      <w:szCs w:val="21"/>
                      <w:highlight w:val="none"/>
                    </w:rPr>
                    <w:t>001</w:t>
                  </w:r>
                </w:p>
              </w:tc>
              <w:tc>
                <w:tcPr>
                  <w:tcW w:w="1035" w:type="pct"/>
                  <w:tcBorders>
                    <w:tl2br w:val="nil"/>
                    <w:tr2bl w:val="nil"/>
                  </w:tcBorders>
                  <w:noWrap w:val="0"/>
                  <w:vAlign w:val="center"/>
                </w:tcPr>
                <w:p w14:paraId="4AD3D1B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袋式除尘器</w:t>
                  </w:r>
                  <w:r>
                    <w:rPr>
                      <w:rFonts w:hint="default" w:ascii="Times New Roman" w:hAnsi="Times New Roman" w:eastAsia="宋体" w:cs="Times New Roman"/>
                      <w:color w:val="auto"/>
                      <w:sz w:val="21"/>
                      <w:szCs w:val="21"/>
                      <w:highlight w:val="none"/>
                    </w:rPr>
                    <w:t>破损，处理效率</w:t>
                  </w:r>
                  <w:r>
                    <w:rPr>
                      <w:rFonts w:hint="default" w:ascii="Times New Roman" w:hAnsi="Times New Roman" w:eastAsia="宋体" w:cs="Times New Roman"/>
                      <w:color w:val="auto"/>
                      <w:sz w:val="21"/>
                      <w:szCs w:val="21"/>
                      <w:highlight w:val="none"/>
                      <w:lang w:eastAsia="zh-CN"/>
                    </w:rPr>
                    <w:t>降至</w:t>
                  </w:r>
                  <w:r>
                    <w:rPr>
                      <w:rFonts w:hint="default" w:ascii="Times New Roman" w:hAnsi="Times New Roman" w:eastAsia="宋体" w:cs="Times New Roman"/>
                      <w:color w:val="auto"/>
                      <w:sz w:val="21"/>
                      <w:szCs w:val="21"/>
                      <w:highlight w:val="none"/>
                      <w:lang w:val="en-US" w:eastAsia="zh-CN"/>
                    </w:rPr>
                    <w:t>50%</w:t>
                  </w:r>
                </w:p>
              </w:tc>
              <w:tc>
                <w:tcPr>
                  <w:tcW w:w="629" w:type="pct"/>
                  <w:tcBorders>
                    <w:tl2br w:val="nil"/>
                    <w:tr2bl w:val="nil"/>
                  </w:tcBorders>
                  <w:noWrap w:val="0"/>
                  <w:vAlign w:val="center"/>
                </w:tcPr>
                <w:p w14:paraId="0527D10A">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546" w:type="pct"/>
                  <w:tcBorders>
                    <w:tl2br w:val="nil"/>
                    <w:tr2bl w:val="nil"/>
                  </w:tcBorders>
                  <w:shd w:val="clear" w:color="auto" w:fill="auto"/>
                  <w:noWrap w:val="0"/>
                  <w:vAlign w:val="center"/>
                </w:tcPr>
                <w:p w14:paraId="6C56686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57.747</w:t>
                  </w:r>
                </w:p>
              </w:tc>
              <w:tc>
                <w:tcPr>
                  <w:tcW w:w="501" w:type="pct"/>
                  <w:tcBorders>
                    <w:tl2br w:val="nil"/>
                    <w:tr2bl w:val="nil"/>
                  </w:tcBorders>
                  <w:shd w:val="clear" w:color="auto" w:fill="auto"/>
                  <w:noWrap w:val="0"/>
                  <w:vAlign w:val="center"/>
                </w:tcPr>
                <w:p w14:paraId="4376437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0.657</w:t>
                  </w:r>
                </w:p>
              </w:tc>
              <w:tc>
                <w:tcPr>
                  <w:tcW w:w="501" w:type="pct"/>
                  <w:vMerge w:val="restart"/>
                  <w:tcBorders>
                    <w:tl2br w:val="nil"/>
                    <w:tr2bl w:val="nil"/>
                  </w:tcBorders>
                  <w:noWrap w:val="0"/>
                  <w:vAlign w:val="center"/>
                </w:tcPr>
                <w:p w14:paraId="337D06B9">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470" w:type="pct"/>
                  <w:vMerge w:val="restart"/>
                  <w:tcBorders>
                    <w:tl2br w:val="nil"/>
                    <w:tr2bl w:val="nil"/>
                  </w:tcBorders>
                  <w:noWrap w:val="0"/>
                  <w:vAlign w:val="center"/>
                </w:tcPr>
                <w:p w14:paraId="33A4397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w:t>
                  </w:r>
                </w:p>
              </w:tc>
              <w:tc>
                <w:tcPr>
                  <w:tcW w:w="501" w:type="pct"/>
                  <w:vMerge w:val="restart"/>
                  <w:tcBorders>
                    <w:tl2br w:val="nil"/>
                    <w:tr2bl w:val="nil"/>
                  </w:tcBorders>
                  <w:noWrap w:val="0"/>
                  <w:vAlign w:val="center"/>
                </w:tcPr>
                <w:p w14:paraId="3A29DF6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立即停止相关产污环节生产，维修废气处理装置</w:t>
                  </w:r>
                </w:p>
              </w:tc>
            </w:tr>
            <w:tr w14:paraId="3D977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4" w:type="pct"/>
                  <w:vMerge w:val="restart"/>
                  <w:tcBorders>
                    <w:tl2br w:val="nil"/>
                    <w:tr2bl w:val="nil"/>
                  </w:tcBorders>
                  <w:noWrap w:val="0"/>
                  <w:vAlign w:val="center"/>
                </w:tcPr>
                <w:p w14:paraId="315E680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498" w:type="pct"/>
                  <w:vMerge w:val="restart"/>
                  <w:tcBorders>
                    <w:tl2br w:val="nil"/>
                    <w:tr2bl w:val="nil"/>
                  </w:tcBorders>
                  <w:noWrap w:val="0"/>
                  <w:vAlign w:val="center"/>
                </w:tcPr>
                <w:p w14:paraId="5684DBC6">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DA</w:t>
                  </w:r>
                  <w:r>
                    <w:rPr>
                      <w:rFonts w:hint="default" w:ascii="Times New Roman" w:hAnsi="Times New Roman" w:eastAsia="宋体" w:cs="Times New Roman"/>
                      <w:color w:val="auto"/>
                      <w:sz w:val="21"/>
                      <w:szCs w:val="21"/>
                      <w:highlight w:val="none"/>
                    </w:rPr>
                    <w:t>002</w:t>
                  </w:r>
                </w:p>
              </w:tc>
              <w:tc>
                <w:tcPr>
                  <w:tcW w:w="1035" w:type="pct"/>
                  <w:vMerge w:val="restart"/>
                  <w:tcBorders>
                    <w:tl2br w:val="nil"/>
                    <w:tr2bl w:val="nil"/>
                  </w:tcBorders>
                  <w:noWrap w:val="0"/>
                  <w:vAlign w:val="center"/>
                </w:tcPr>
                <w:p w14:paraId="3BFEDD22">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一级</w:t>
                  </w:r>
                  <w:r>
                    <w:rPr>
                      <w:rFonts w:hint="default" w:ascii="Times New Roman" w:hAnsi="Times New Roman" w:eastAsia="宋体" w:cs="Times New Roman"/>
                      <w:color w:val="auto"/>
                      <w:sz w:val="21"/>
                      <w:szCs w:val="21"/>
                      <w:highlight w:val="none"/>
                      <w:lang w:eastAsia="zh-CN"/>
                    </w:rPr>
                    <w:t>活性炭吸附饱</w:t>
                  </w:r>
                  <w:r>
                    <w:rPr>
                      <w:rFonts w:hint="eastAsia"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处理效率</w:t>
                  </w:r>
                  <w:r>
                    <w:rPr>
                      <w:rFonts w:hint="default" w:ascii="Times New Roman" w:hAnsi="Times New Roman" w:eastAsia="宋体" w:cs="Times New Roman"/>
                      <w:color w:val="auto"/>
                      <w:sz w:val="21"/>
                      <w:szCs w:val="21"/>
                      <w:highlight w:val="none"/>
                      <w:lang w:eastAsia="zh-CN"/>
                    </w:rPr>
                    <w:t>降至</w:t>
                  </w:r>
                  <w:r>
                    <w:rPr>
                      <w:rFonts w:hint="default" w:ascii="Times New Roman" w:hAnsi="Times New Roman" w:eastAsia="宋体" w:cs="Times New Roman"/>
                      <w:color w:val="auto"/>
                      <w:sz w:val="21"/>
                      <w:szCs w:val="21"/>
                      <w:highlight w:val="none"/>
                      <w:lang w:val="en-US" w:eastAsia="zh-CN"/>
                    </w:rPr>
                    <w:t>50%</w:t>
                  </w:r>
                </w:p>
              </w:tc>
              <w:tc>
                <w:tcPr>
                  <w:tcW w:w="629" w:type="pct"/>
                  <w:tcBorders>
                    <w:tl2br w:val="nil"/>
                    <w:tr2bl w:val="nil"/>
                  </w:tcBorders>
                  <w:noWrap w:val="0"/>
                  <w:vAlign w:val="center"/>
                </w:tcPr>
                <w:p w14:paraId="79F0829F">
                  <w:pPr>
                    <w:pStyle w:val="203"/>
                    <w:keepNext w:val="0"/>
                    <w:keepLines w:val="0"/>
                    <w:pageBreakBefore w:val="0"/>
                    <w:widowControl w:val="0"/>
                    <w:suppressLineNumbers w:val="0"/>
                    <w:tabs>
                      <w:tab w:val="left" w:pos="1061"/>
                    </w:tabs>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非甲烷总烃</w:t>
                  </w:r>
                </w:p>
              </w:tc>
              <w:tc>
                <w:tcPr>
                  <w:tcW w:w="546" w:type="pct"/>
                  <w:tcBorders>
                    <w:tl2br w:val="nil"/>
                    <w:tr2bl w:val="nil"/>
                  </w:tcBorders>
                  <w:shd w:val="clear" w:color="auto" w:fill="auto"/>
                  <w:noWrap w:val="0"/>
                  <w:vAlign w:val="center"/>
                </w:tcPr>
                <w:p w14:paraId="18CDF0A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23.101</w:t>
                  </w:r>
                </w:p>
              </w:tc>
              <w:tc>
                <w:tcPr>
                  <w:tcW w:w="501" w:type="pct"/>
                  <w:tcBorders>
                    <w:tl2br w:val="nil"/>
                    <w:tr2bl w:val="nil"/>
                  </w:tcBorders>
                  <w:shd w:val="clear" w:color="auto" w:fill="auto"/>
                  <w:noWrap w:val="0"/>
                  <w:vAlign w:val="center"/>
                </w:tcPr>
                <w:p w14:paraId="6349D97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0.231</w:t>
                  </w:r>
                </w:p>
              </w:tc>
              <w:tc>
                <w:tcPr>
                  <w:tcW w:w="501" w:type="pct"/>
                  <w:vMerge w:val="continue"/>
                  <w:tcBorders>
                    <w:tl2br w:val="nil"/>
                    <w:tr2bl w:val="nil"/>
                  </w:tcBorders>
                  <w:noWrap w:val="0"/>
                  <w:vAlign w:val="center"/>
                </w:tcPr>
                <w:p w14:paraId="6101242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470" w:type="pct"/>
                  <w:vMerge w:val="continue"/>
                  <w:tcBorders>
                    <w:tl2br w:val="nil"/>
                    <w:tr2bl w:val="nil"/>
                  </w:tcBorders>
                  <w:noWrap w:val="0"/>
                  <w:vAlign w:val="center"/>
                </w:tcPr>
                <w:p w14:paraId="16B0F90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501" w:type="pct"/>
                  <w:vMerge w:val="continue"/>
                  <w:tcBorders>
                    <w:tl2br w:val="nil"/>
                    <w:tr2bl w:val="nil"/>
                  </w:tcBorders>
                  <w:noWrap w:val="0"/>
                  <w:vAlign w:val="center"/>
                </w:tcPr>
                <w:p w14:paraId="45326258">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rPr>
                  </w:pPr>
                </w:p>
              </w:tc>
            </w:tr>
            <w:tr w14:paraId="1E4E2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4" w:type="pct"/>
                  <w:vMerge w:val="continue"/>
                  <w:tcBorders>
                    <w:tl2br w:val="nil"/>
                    <w:tr2bl w:val="nil"/>
                  </w:tcBorders>
                  <w:noWrap w:val="0"/>
                  <w:vAlign w:val="center"/>
                </w:tcPr>
                <w:p w14:paraId="2561EF3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498" w:type="pct"/>
                  <w:vMerge w:val="continue"/>
                  <w:tcBorders>
                    <w:tl2br w:val="nil"/>
                    <w:tr2bl w:val="nil"/>
                  </w:tcBorders>
                  <w:noWrap w:val="0"/>
                  <w:vAlign w:val="center"/>
                </w:tcPr>
                <w:p w14:paraId="6783E45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035" w:type="pct"/>
                  <w:vMerge w:val="continue"/>
                  <w:tcBorders>
                    <w:tl2br w:val="nil"/>
                    <w:tr2bl w:val="nil"/>
                  </w:tcBorders>
                  <w:noWrap w:val="0"/>
                  <w:vAlign w:val="center"/>
                </w:tcPr>
                <w:p w14:paraId="7DD9165B">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p>
              </w:tc>
              <w:tc>
                <w:tcPr>
                  <w:tcW w:w="629" w:type="pct"/>
                  <w:tcBorders>
                    <w:tl2br w:val="nil"/>
                    <w:tr2bl w:val="nil"/>
                  </w:tcBorders>
                  <w:noWrap w:val="0"/>
                  <w:vAlign w:val="center"/>
                </w:tcPr>
                <w:p w14:paraId="25073E57">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氯乙烯</w:t>
                  </w:r>
                </w:p>
              </w:tc>
              <w:tc>
                <w:tcPr>
                  <w:tcW w:w="546" w:type="pct"/>
                  <w:tcBorders>
                    <w:tl2br w:val="nil"/>
                    <w:tr2bl w:val="nil"/>
                  </w:tcBorders>
                  <w:shd w:val="clear" w:color="auto" w:fill="auto"/>
                  <w:noWrap w:val="0"/>
                  <w:vAlign w:val="center"/>
                </w:tcPr>
                <w:p w14:paraId="0926C463">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0.375</w:t>
                  </w:r>
                </w:p>
              </w:tc>
              <w:tc>
                <w:tcPr>
                  <w:tcW w:w="501" w:type="pct"/>
                  <w:tcBorders>
                    <w:tl2br w:val="nil"/>
                    <w:tr2bl w:val="nil"/>
                  </w:tcBorders>
                  <w:shd w:val="clear" w:color="auto" w:fill="auto"/>
                  <w:noWrap w:val="0"/>
                  <w:vAlign w:val="center"/>
                </w:tcPr>
                <w:p w14:paraId="3A28893F">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0.004</w:t>
                  </w:r>
                </w:p>
              </w:tc>
              <w:tc>
                <w:tcPr>
                  <w:tcW w:w="501" w:type="pct"/>
                  <w:vMerge w:val="continue"/>
                  <w:tcBorders>
                    <w:tl2br w:val="nil"/>
                    <w:tr2bl w:val="nil"/>
                  </w:tcBorders>
                  <w:noWrap w:val="0"/>
                  <w:vAlign w:val="center"/>
                </w:tcPr>
                <w:p w14:paraId="5F4599B1">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470" w:type="pct"/>
                  <w:vMerge w:val="continue"/>
                  <w:tcBorders>
                    <w:tl2br w:val="nil"/>
                    <w:tr2bl w:val="nil"/>
                  </w:tcBorders>
                  <w:noWrap w:val="0"/>
                  <w:vAlign w:val="center"/>
                </w:tcPr>
                <w:p w14:paraId="6B21226B">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501" w:type="pct"/>
                  <w:vMerge w:val="continue"/>
                  <w:tcBorders>
                    <w:tl2br w:val="nil"/>
                    <w:tr2bl w:val="nil"/>
                  </w:tcBorders>
                  <w:noWrap w:val="0"/>
                  <w:vAlign w:val="center"/>
                </w:tcPr>
                <w:p w14:paraId="79BCCDAA">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 w:val="21"/>
                      <w:szCs w:val="21"/>
                      <w:highlight w:val="none"/>
                    </w:rPr>
                  </w:pPr>
                </w:p>
              </w:tc>
            </w:tr>
          </w:tbl>
          <w:p w14:paraId="6C0F8A2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5D9C194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①安排专人负责环保设备的日常维护和管理，每</w:t>
            </w:r>
            <w:r>
              <w:rPr>
                <w:rFonts w:hint="eastAsia" w:cs="Times New Roman"/>
                <w:color w:val="auto"/>
                <w:kern w:val="0"/>
                <w:sz w:val="24"/>
                <w:szCs w:val="24"/>
                <w:highlight w:val="none"/>
                <w:lang w:val="en-US" w:eastAsia="zh-CN"/>
              </w:rPr>
              <w:t>天</w:t>
            </w:r>
            <w:r>
              <w:rPr>
                <w:rFonts w:hint="default" w:ascii="Times New Roman" w:hAnsi="Times New Roman" w:eastAsia="宋体" w:cs="Times New Roman"/>
                <w:color w:val="auto"/>
                <w:kern w:val="0"/>
                <w:sz w:val="24"/>
                <w:szCs w:val="24"/>
                <w:highlight w:val="none"/>
              </w:rPr>
              <w:t>检查、</w:t>
            </w:r>
            <w:r>
              <w:rPr>
                <w:rFonts w:hint="eastAsia" w:cs="Times New Roman"/>
                <w:color w:val="auto"/>
                <w:kern w:val="0"/>
                <w:sz w:val="24"/>
                <w:szCs w:val="24"/>
                <w:highlight w:val="none"/>
                <w:lang w:val="en-US" w:eastAsia="zh-CN"/>
              </w:rPr>
              <w:t>向安环主管</w:t>
            </w:r>
            <w:r>
              <w:rPr>
                <w:rFonts w:hint="default" w:ascii="Times New Roman" w:hAnsi="Times New Roman" w:eastAsia="宋体" w:cs="Times New Roman"/>
                <w:color w:val="auto"/>
                <w:kern w:val="0"/>
                <w:sz w:val="24"/>
                <w:szCs w:val="24"/>
                <w:highlight w:val="none"/>
              </w:rPr>
              <w:t>汇报情况，及时发现废气处理设施的隐患，确保废气处理系统正常运行；</w:t>
            </w:r>
          </w:p>
          <w:p w14:paraId="245F0C7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②建立健全的环保管理机构，对环保管理人员和技术人员进行岗位培训，委托具有专业资质的环境检测单位对项目排放的各类污染物进行定期检测；</w:t>
            </w:r>
          </w:p>
          <w:p w14:paraId="3BCCEA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③应定期维护、检修废气</w:t>
            </w:r>
            <w:r>
              <w:rPr>
                <w:rFonts w:hint="eastAsia" w:cs="Times New Roman"/>
                <w:color w:val="auto"/>
                <w:kern w:val="0"/>
                <w:sz w:val="24"/>
                <w:szCs w:val="24"/>
                <w:highlight w:val="none"/>
                <w:lang w:val="en-US" w:eastAsia="zh-CN"/>
              </w:rPr>
              <w:t>处理设施</w:t>
            </w:r>
            <w:r>
              <w:rPr>
                <w:rFonts w:hint="default" w:ascii="Times New Roman" w:hAnsi="Times New Roman" w:eastAsia="宋体" w:cs="Times New Roman"/>
                <w:color w:val="auto"/>
                <w:kern w:val="0"/>
                <w:sz w:val="24"/>
                <w:szCs w:val="24"/>
                <w:highlight w:val="none"/>
              </w:rPr>
              <w:t>，以保持废气处理设施的净化能力和净化容量。</w:t>
            </w:r>
            <w:r>
              <w:rPr>
                <w:rFonts w:hint="default" w:ascii="Times New Roman" w:hAnsi="Times New Roman" w:eastAsia="宋体" w:cs="Times New Roman"/>
                <w:b/>
                <w:color w:val="auto"/>
                <w:kern w:val="0"/>
                <w:sz w:val="24"/>
                <w:szCs w:val="24"/>
                <w:highlight w:val="none"/>
              </w:rPr>
              <w:t>1.</w:t>
            </w:r>
            <w:r>
              <w:rPr>
                <w:rFonts w:hint="default" w:ascii="Times New Roman" w:hAnsi="Times New Roman" w:eastAsia="宋体" w:cs="Times New Roman"/>
                <w:b/>
                <w:color w:val="auto"/>
                <w:kern w:val="0"/>
                <w:sz w:val="24"/>
                <w:szCs w:val="24"/>
                <w:highlight w:val="none"/>
                <w:lang w:val="en-US" w:eastAsia="zh-CN"/>
              </w:rPr>
              <w:t>3</w:t>
            </w:r>
            <w:r>
              <w:rPr>
                <w:rFonts w:hint="default" w:ascii="Times New Roman" w:hAnsi="Times New Roman" w:eastAsia="宋体" w:cs="Times New Roman"/>
                <w:b/>
                <w:color w:val="auto"/>
                <w:kern w:val="0"/>
                <w:sz w:val="24"/>
                <w:szCs w:val="24"/>
                <w:highlight w:val="none"/>
              </w:rPr>
              <w:t>废气</w:t>
            </w:r>
            <w:r>
              <w:rPr>
                <w:rFonts w:hint="default" w:ascii="Times New Roman" w:hAnsi="Times New Roman" w:eastAsia="宋体" w:cs="Times New Roman"/>
                <w:b/>
                <w:color w:val="auto"/>
                <w:kern w:val="0"/>
                <w:sz w:val="24"/>
                <w:szCs w:val="24"/>
                <w:highlight w:val="none"/>
                <w:lang w:eastAsia="zh-CN"/>
              </w:rPr>
              <w:t>达标排放可行性分析</w:t>
            </w:r>
          </w:p>
          <w:p w14:paraId="7E22FD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根据“表4-1 废气有组织产排污节点、污染物及污染治理设施情况表”，</w:t>
            </w:r>
            <w:r>
              <w:rPr>
                <w:rFonts w:hint="default" w:ascii="Times New Roman" w:hAnsi="Times New Roman" w:eastAsia="宋体" w:cs="Times New Roman"/>
                <w:color w:val="auto"/>
                <w:kern w:val="0"/>
                <w:sz w:val="24"/>
                <w:szCs w:val="24"/>
                <w:highlight w:val="none"/>
                <w:lang w:eastAsia="zh-CN"/>
              </w:rPr>
              <w:t>本项目</w:t>
            </w:r>
            <w:bookmarkStart w:id="13" w:name="_Toc17267"/>
            <w:bookmarkStart w:id="14" w:name="_Toc9513"/>
            <w:bookmarkStart w:id="15" w:name="_Toc12335"/>
            <w:r>
              <w:rPr>
                <w:rFonts w:hint="eastAsia" w:cs="Times New Roman"/>
                <w:color w:val="auto"/>
                <w:kern w:val="0"/>
                <w:sz w:val="24"/>
                <w:szCs w:val="24"/>
                <w:highlight w:val="none"/>
                <w:lang w:val="en-US" w:eastAsia="zh-CN"/>
              </w:rPr>
              <w:t>有组织废气投料粉尘颗粒物可满足安徽省</w:t>
            </w:r>
            <w:r>
              <w:rPr>
                <w:rFonts w:hint="eastAsia" w:ascii="Times New Roman" w:hAnsi="Times New Roman" w:eastAsia="宋体" w:cs="Times New Roman"/>
                <w:color w:val="auto"/>
                <w:kern w:val="0"/>
                <w:sz w:val="24"/>
                <w:szCs w:val="24"/>
                <w:highlight w:val="none"/>
                <w:lang w:val="en-US" w:eastAsia="zh-CN"/>
              </w:rPr>
              <w:t>《制鞋工业大气污染物排放标准》（DB34/4809-2024）中限值要求，注塑、浇注和脱模剂废气非甲烷总烃可满足安徽省《制鞋工业大气污染物排放标准》（DB34/4809-2024）中限值要求，氯乙烯和氯化氢可满足</w:t>
            </w:r>
            <w:r>
              <w:rPr>
                <w:rFonts w:hint="default" w:ascii="Times New Roman" w:hAnsi="Times New Roman" w:eastAsia="宋体" w:cs="Times New Roman"/>
                <w:color w:val="auto"/>
                <w:kern w:val="0"/>
                <w:sz w:val="24"/>
                <w:szCs w:val="24"/>
                <w:highlight w:val="none"/>
                <w:lang w:val="en-US" w:eastAsia="zh-CN"/>
              </w:rPr>
              <w:t>《大气污染物综合排放标准》（GB16297-1996）</w:t>
            </w:r>
            <w:r>
              <w:rPr>
                <w:rFonts w:hint="eastAsia" w:ascii="Times New Roman" w:hAnsi="Times New Roman" w:eastAsia="宋体" w:cs="Times New Roman"/>
                <w:color w:val="auto"/>
                <w:kern w:val="0"/>
                <w:sz w:val="24"/>
                <w:szCs w:val="24"/>
                <w:highlight w:val="none"/>
                <w:lang w:val="en-US" w:eastAsia="zh-CN"/>
              </w:rPr>
              <w:t>中限值要求，食堂</w:t>
            </w:r>
            <w:r>
              <w:rPr>
                <w:rFonts w:hint="eastAsia" w:cs="Times New Roman"/>
                <w:b w:val="0"/>
                <w:bCs w:val="0"/>
                <w:color w:val="auto"/>
                <w:sz w:val="24"/>
                <w:szCs w:val="24"/>
                <w:highlight w:val="none"/>
                <w:lang w:val="en-US" w:eastAsia="zh-CN"/>
              </w:rPr>
              <w:t>油烟排放可满足</w:t>
            </w:r>
            <w:r>
              <w:rPr>
                <w:rFonts w:hint="eastAsia"/>
                <w:color w:val="auto"/>
                <w:kern w:val="0"/>
                <w:sz w:val="24"/>
                <w:szCs w:val="24"/>
                <w:highlight w:val="none"/>
              </w:rPr>
              <w:t>《饮食业油烟排放标准》（G</w:t>
            </w:r>
            <w:r>
              <w:rPr>
                <w:color w:val="auto"/>
                <w:kern w:val="0"/>
                <w:sz w:val="24"/>
                <w:szCs w:val="24"/>
                <w:highlight w:val="none"/>
              </w:rPr>
              <w:t>B18483-2001</w:t>
            </w:r>
            <w:r>
              <w:rPr>
                <w:rFonts w:hint="eastAsia"/>
                <w:color w:val="auto"/>
                <w:kern w:val="0"/>
                <w:sz w:val="24"/>
                <w:szCs w:val="24"/>
                <w:highlight w:val="none"/>
              </w:rPr>
              <w:t>）</w:t>
            </w:r>
            <w:r>
              <w:rPr>
                <w:rFonts w:hint="eastAsia"/>
                <w:color w:val="auto"/>
                <w:kern w:val="0"/>
                <w:sz w:val="24"/>
                <w:szCs w:val="24"/>
                <w:highlight w:val="none"/>
                <w:lang w:eastAsia="zh-CN"/>
              </w:rPr>
              <w:t>中</w:t>
            </w:r>
            <w:r>
              <w:rPr>
                <w:rFonts w:hint="eastAsia" w:cs="Times New Roman"/>
                <w:b w:val="0"/>
                <w:bCs w:val="0"/>
                <w:color w:val="auto"/>
                <w:sz w:val="24"/>
                <w:szCs w:val="24"/>
                <w:highlight w:val="none"/>
                <w:lang w:val="en-US" w:eastAsia="zh-CN"/>
              </w:rPr>
              <w:t>限值要求</w:t>
            </w:r>
            <w:r>
              <w:rPr>
                <w:rFonts w:hint="eastAsia"/>
                <w:color w:val="auto"/>
                <w:kern w:val="0"/>
                <w:sz w:val="24"/>
                <w:szCs w:val="24"/>
                <w:highlight w:val="none"/>
                <w:lang w:eastAsia="zh-CN"/>
              </w:rPr>
              <w:t>。</w:t>
            </w:r>
          </w:p>
          <w:p w14:paraId="7C4CB5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color w:val="auto"/>
                <w:kern w:val="0"/>
                <w:sz w:val="24"/>
                <w:szCs w:val="24"/>
                <w:highlight w:val="none"/>
                <w:lang w:eastAsia="zh-CN"/>
              </w:rPr>
            </w:pPr>
            <w:r>
              <w:rPr>
                <w:rFonts w:hint="default" w:ascii="Times New Roman" w:hAnsi="Times New Roman" w:eastAsia="宋体" w:cs="Times New Roman"/>
                <w:b/>
                <w:color w:val="auto"/>
                <w:kern w:val="0"/>
                <w:sz w:val="24"/>
                <w:szCs w:val="24"/>
                <w:highlight w:val="none"/>
              </w:rPr>
              <w:t>1.</w:t>
            </w:r>
            <w:r>
              <w:rPr>
                <w:rFonts w:hint="default" w:ascii="Times New Roman" w:hAnsi="Times New Roman" w:eastAsia="宋体" w:cs="Times New Roman"/>
                <w:b/>
                <w:color w:val="auto"/>
                <w:kern w:val="0"/>
                <w:sz w:val="24"/>
                <w:szCs w:val="24"/>
                <w:highlight w:val="none"/>
                <w:lang w:val="en-US" w:eastAsia="zh-CN"/>
              </w:rPr>
              <w:t>4</w:t>
            </w:r>
            <w:r>
              <w:rPr>
                <w:rFonts w:hint="eastAsia" w:cs="Times New Roman"/>
                <w:b/>
                <w:color w:val="auto"/>
                <w:kern w:val="0"/>
                <w:sz w:val="24"/>
                <w:szCs w:val="24"/>
                <w:highlight w:val="none"/>
                <w:lang w:val="en-US" w:eastAsia="zh-CN"/>
              </w:rPr>
              <w:t>有组织</w:t>
            </w:r>
            <w:r>
              <w:rPr>
                <w:rFonts w:hint="default" w:ascii="Times New Roman" w:hAnsi="Times New Roman" w:eastAsia="宋体" w:cs="Times New Roman"/>
                <w:b/>
                <w:color w:val="auto"/>
                <w:kern w:val="0"/>
                <w:sz w:val="24"/>
                <w:szCs w:val="24"/>
                <w:highlight w:val="none"/>
              </w:rPr>
              <w:t>废气收集处理措施</w:t>
            </w:r>
            <w:r>
              <w:rPr>
                <w:rFonts w:hint="default" w:ascii="Times New Roman" w:hAnsi="Times New Roman" w:eastAsia="宋体" w:cs="Times New Roman"/>
                <w:b/>
                <w:color w:val="auto"/>
                <w:kern w:val="0"/>
                <w:sz w:val="24"/>
                <w:szCs w:val="24"/>
                <w:highlight w:val="none"/>
                <w:lang w:eastAsia="zh-CN"/>
              </w:rPr>
              <w:t>可行性分析</w:t>
            </w:r>
          </w:p>
          <w:p w14:paraId="560408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zCs w:val="22"/>
                <w:highlight w:val="none"/>
                <w:lang w:val="en-US" w:eastAsia="zh-CN"/>
              </w:rPr>
            </w:pPr>
            <w:r>
              <w:rPr>
                <w:rFonts w:hint="default" w:ascii="Times New Roman" w:hAnsi="Times New Roman" w:eastAsia="宋体" w:cs="Times New Roman"/>
                <w:color w:val="auto"/>
                <w:sz w:val="24"/>
                <w:szCs w:val="22"/>
                <w:highlight w:val="none"/>
                <w:lang w:val="en-US" w:eastAsia="zh-CN"/>
              </w:rPr>
              <w:t>本项目</w:t>
            </w:r>
            <w:r>
              <w:rPr>
                <w:rFonts w:hint="eastAsia" w:cs="Times New Roman"/>
                <w:color w:val="auto"/>
                <w:sz w:val="24"/>
                <w:szCs w:val="22"/>
                <w:highlight w:val="none"/>
                <w:lang w:val="en-US" w:eastAsia="zh-CN"/>
              </w:rPr>
              <w:t>投料粉尘采用一套袋式除尘器处理，</w:t>
            </w:r>
            <w:r>
              <w:rPr>
                <w:rFonts w:hint="eastAsia" w:cs="Times New Roman"/>
                <w:b w:val="0"/>
                <w:bCs w:val="0"/>
                <w:color w:val="auto"/>
                <w:sz w:val="24"/>
                <w:szCs w:val="24"/>
                <w:highlight w:val="none"/>
                <w:lang w:val="en-US" w:eastAsia="zh-CN"/>
              </w:rPr>
              <w:t>注塑、浇注和脱模剂</w:t>
            </w:r>
            <w:r>
              <w:rPr>
                <w:rFonts w:hint="eastAsia" w:hAnsi="宋体" w:eastAsia="宋体" w:cs="宋体"/>
                <w:b w:val="0"/>
                <w:bCs w:val="0"/>
                <w:color w:val="auto"/>
                <w:sz w:val="24"/>
                <w:szCs w:val="24"/>
                <w:highlight w:val="none"/>
                <w:lang w:val="en-US" w:eastAsia="zh-CN"/>
              </w:rPr>
              <w:t>废气</w:t>
            </w:r>
            <w:r>
              <w:rPr>
                <w:rFonts w:hint="eastAsia" w:cs="Times New Roman"/>
                <w:color w:val="auto"/>
                <w:sz w:val="24"/>
                <w:szCs w:val="22"/>
                <w:highlight w:val="none"/>
                <w:lang w:val="en-US" w:eastAsia="zh-CN"/>
              </w:rPr>
              <w:t>采用一套“二级活性炭装置”，</w:t>
            </w:r>
            <w:r>
              <w:rPr>
                <w:rFonts w:hint="default" w:cs="Times New Roman"/>
                <w:color w:val="auto"/>
                <w:sz w:val="24"/>
                <w:szCs w:val="22"/>
                <w:highlight w:val="none"/>
                <w:lang w:val="en-US" w:eastAsia="zh-CN"/>
              </w:rPr>
              <w:t>废气收集和处理措施可行性分析如下</w:t>
            </w:r>
            <w:r>
              <w:rPr>
                <w:rFonts w:hint="eastAsia" w:cs="Times New Roman"/>
                <w:color w:val="auto"/>
                <w:sz w:val="24"/>
                <w:szCs w:val="22"/>
                <w:highlight w:val="none"/>
                <w:lang w:val="en-US" w:eastAsia="zh-CN"/>
              </w:rPr>
              <w:t>：</w:t>
            </w:r>
          </w:p>
          <w:p w14:paraId="644F0315">
            <w:pPr>
              <w:keepNext w:val="0"/>
              <w:keepLines w:val="0"/>
              <w:pageBreakBefore w:val="0"/>
              <w:widowControl w:val="0"/>
              <w:numPr>
                <w:ilvl w:val="0"/>
                <w:numId w:val="8"/>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2"/>
                <w:highlight w:val="none"/>
                <w:lang w:eastAsia="zh-CN"/>
              </w:rPr>
            </w:pPr>
            <w:r>
              <w:rPr>
                <w:rFonts w:hint="eastAsia" w:cs="Times New Roman"/>
                <w:b w:val="0"/>
                <w:bCs w:val="0"/>
                <w:color w:val="auto"/>
                <w:sz w:val="24"/>
                <w:szCs w:val="22"/>
                <w:highlight w:val="none"/>
                <w:lang w:val="en-US" w:eastAsia="zh-CN"/>
              </w:rPr>
              <w:t>投料粉尘</w:t>
            </w:r>
            <w:r>
              <w:rPr>
                <w:rFonts w:hint="default" w:ascii="Times New Roman" w:hAnsi="Times New Roman" w:eastAsia="宋体" w:cs="Times New Roman"/>
                <w:b w:val="0"/>
                <w:bCs w:val="0"/>
                <w:color w:val="auto"/>
                <w:sz w:val="24"/>
                <w:szCs w:val="22"/>
                <w:highlight w:val="none"/>
                <w:lang w:eastAsia="zh-CN"/>
              </w:rPr>
              <w:t>治理措施</w:t>
            </w:r>
          </w:p>
          <w:p w14:paraId="01241849">
            <w:pPr>
              <w:pStyle w:val="2"/>
              <w:keepNext/>
              <w:keepLines/>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color w:val="auto"/>
                <w:kern w:val="2"/>
                <w:sz w:val="24"/>
                <w:szCs w:val="22"/>
                <w:highlight w:val="none"/>
                <w:lang w:val="en-US" w:eastAsia="zh-CN" w:bidi="ar-SA"/>
              </w:rPr>
            </w:pPr>
            <w:r>
              <w:rPr>
                <w:rFonts w:hint="eastAsia" w:cs="Times New Roman"/>
                <w:b w:val="0"/>
                <w:color w:val="auto"/>
                <w:kern w:val="2"/>
                <w:sz w:val="24"/>
                <w:szCs w:val="22"/>
                <w:highlight w:val="none"/>
                <w:lang w:val="en-US" w:eastAsia="zh-CN" w:bidi="ar-SA"/>
              </w:rPr>
              <w:t>根据《排污许可证申请与核发技术规范 制鞋工业》（HJ1123-2020）表F.1 排污单位废气污染防治可行技术参考表，颗粒物可行技术包括“袋式除尘；静电</w:t>
            </w:r>
            <w:r>
              <w:rPr>
                <w:rFonts w:hint="eastAsia" w:ascii="Times New Roman" w:hAnsi="Times New Roman" w:eastAsia="宋体" w:cs="Times New Roman"/>
                <w:b w:val="0"/>
                <w:color w:val="auto"/>
                <w:kern w:val="2"/>
                <w:sz w:val="24"/>
                <w:szCs w:val="22"/>
                <w:highlight w:val="none"/>
                <w:lang w:val="en-US" w:eastAsia="zh-CN" w:bidi="ar-SA"/>
              </w:rPr>
              <w:t>除尘”</w:t>
            </w:r>
            <w:r>
              <w:rPr>
                <w:rFonts w:hint="eastAsia" w:cs="Times New Roman"/>
                <w:b w:val="0"/>
                <w:color w:val="auto"/>
                <w:kern w:val="2"/>
                <w:sz w:val="24"/>
                <w:szCs w:val="22"/>
                <w:highlight w:val="none"/>
                <w:lang w:val="en-US" w:eastAsia="zh-CN" w:bidi="ar-SA"/>
              </w:rPr>
              <w:t>，</w:t>
            </w:r>
            <w:r>
              <w:rPr>
                <w:rFonts w:hint="eastAsia" w:ascii="Times New Roman" w:hAnsi="Times New Roman" w:eastAsia="宋体" w:cs="Times New Roman"/>
                <w:b w:val="0"/>
                <w:color w:val="auto"/>
                <w:kern w:val="2"/>
                <w:sz w:val="24"/>
                <w:szCs w:val="22"/>
                <w:highlight w:val="none"/>
                <w:lang w:val="en-US" w:eastAsia="zh-CN" w:bidi="ar-SA"/>
              </w:rPr>
              <w:t>本项目粉料投料粉尘</w:t>
            </w:r>
            <w:r>
              <w:rPr>
                <w:rFonts w:hint="default" w:ascii="Times New Roman" w:hAnsi="Times New Roman" w:eastAsia="宋体" w:cs="Times New Roman"/>
                <w:b w:val="0"/>
                <w:color w:val="auto"/>
                <w:kern w:val="2"/>
                <w:sz w:val="24"/>
                <w:szCs w:val="22"/>
                <w:highlight w:val="none"/>
                <w:lang w:val="en-GB" w:eastAsia="zh-CN" w:bidi="ar-SA"/>
              </w:rPr>
              <w:t>所采用</w:t>
            </w:r>
            <w:r>
              <w:rPr>
                <w:rFonts w:hint="eastAsia" w:ascii="Times New Roman" w:hAnsi="Times New Roman" w:eastAsia="宋体" w:cs="Times New Roman"/>
                <w:b w:val="0"/>
                <w:color w:val="auto"/>
                <w:kern w:val="2"/>
                <w:sz w:val="24"/>
                <w:szCs w:val="22"/>
                <w:highlight w:val="none"/>
                <w:lang w:val="en-GB" w:eastAsia="zh-CN" w:bidi="ar-SA"/>
              </w:rPr>
              <w:t>的“</w:t>
            </w:r>
            <w:r>
              <w:rPr>
                <w:rFonts w:hint="eastAsia" w:cs="Times New Roman"/>
                <w:b w:val="0"/>
                <w:color w:val="auto"/>
                <w:kern w:val="2"/>
                <w:sz w:val="24"/>
                <w:szCs w:val="22"/>
                <w:highlight w:val="none"/>
                <w:lang w:val="en-US" w:eastAsia="zh-CN" w:bidi="ar-SA"/>
              </w:rPr>
              <w:t>袋式除尘器</w:t>
            </w:r>
            <w:r>
              <w:rPr>
                <w:rFonts w:hint="eastAsia" w:ascii="Times New Roman" w:hAnsi="Times New Roman" w:eastAsia="宋体" w:cs="Times New Roman"/>
                <w:b w:val="0"/>
                <w:color w:val="auto"/>
                <w:kern w:val="2"/>
                <w:sz w:val="24"/>
                <w:szCs w:val="22"/>
                <w:highlight w:val="none"/>
                <w:lang w:val="en-GB" w:eastAsia="zh-CN" w:bidi="ar-SA"/>
              </w:rPr>
              <w:t>”</w:t>
            </w:r>
            <w:r>
              <w:rPr>
                <w:rFonts w:hint="default" w:ascii="Times New Roman" w:hAnsi="Times New Roman" w:eastAsia="宋体" w:cs="Times New Roman"/>
                <w:b w:val="0"/>
                <w:color w:val="auto"/>
                <w:kern w:val="2"/>
                <w:sz w:val="24"/>
                <w:szCs w:val="22"/>
                <w:highlight w:val="none"/>
                <w:lang w:val="en-GB" w:eastAsia="zh-CN" w:bidi="ar-SA"/>
              </w:rPr>
              <w:t>治理技术为</w:t>
            </w:r>
            <w:r>
              <w:rPr>
                <w:rFonts w:hint="eastAsia" w:ascii="Times New Roman" w:hAnsi="Times New Roman" w:eastAsia="宋体" w:cs="Times New Roman"/>
                <w:b w:val="0"/>
                <w:color w:val="auto"/>
                <w:kern w:val="2"/>
                <w:sz w:val="24"/>
                <w:szCs w:val="22"/>
                <w:highlight w:val="none"/>
                <w:lang w:val="en-US" w:eastAsia="zh-CN" w:bidi="ar-SA"/>
              </w:rPr>
              <w:t>其中的</w:t>
            </w:r>
            <w:r>
              <w:rPr>
                <w:rFonts w:hint="default" w:ascii="Times New Roman" w:hAnsi="Times New Roman" w:eastAsia="宋体" w:cs="Times New Roman"/>
                <w:b w:val="0"/>
                <w:color w:val="auto"/>
                <w:kern w:val="2"/>
                <w:sz w:val="24"/>
                <w:szCs w:val="22"/>
                <w:highlight w:val="none"/>
                <w:lang w:val="en-GB" w:eastAsia="zh-CN" w:bidi="ar-SA"/>
              </w:rPr>
              <w:t>可行技术。</w:t>
            </w:r>
          </w:p>
          <w:p w14:paraId="7D2372C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2" w:firstLineChars="200"/>
              <w:textAlignment w:val="auto"/>
              <w:rPr>
                <w:rFonts w:hint="default" w:ascii="Times New Roman" w:hAnsi="Times New Roman" w:eastAsia="宋体" w:cs="Times New Roman"/>
                <w:color w:val="auto"/>
                <w:sz w:val="24"/>
                <w:szCs w:val="22"/>
                <w:highlight w:val="none"/>
                <w:lang w:val="en-US" w:eastAsia="zh-CN"/>
              </w:rPr>
            </w:pPr>
            <w:r>
              <w:rPr>
                <w:rFonts w:hint="eastAsia" w:cs="Times New Roman"/>
                <w:b/>
                <w:bCs/>
                <w:color w:val="auto"/>
                <w:sz w:val="24"/>
                <w:szCs w:val="22"/>
                <w:highlight w:val="none"/>
                <w:lang w:val="en-US" w:eastAsia="zh-CN"/>
              </w:rPr>
              <w:t>袋式除尘器</w:t>
            </w:r>
            <w:r>
              <w:rPr>
                <w:rFonts w:hint="default" w:ascii="Times New Roman" w:hAnsi="Times New Roman" w:eastAsia="宋体" w:cs="Times New Roman"/>
                <w:b/>
                <w:bCs/>
                <w:color w:val="auto"/>
                <w:sz w:val="24"/>
                <w:szCs w:val="22"/>
                <w:highlight w:val="none"/>
                <w:lang w:val="en-US" w:eastAsia="zh-CN"/>
              </w:rPr>
              <w:t>除尘原理：</w:t>
            </w:r>
            <w:r>
              <w:rPr>
                <w:rFonts w:hint="default" w:ascii="Times New Roman" w:hAnsi="Times New Roman" w:eastAsia="宋体" w:cs="Times New Roman"/>
                <w:color w:val="auto"/>
                <w:sz w:val="24"/>
                <w:szCs w:val="22"/>
                <w:highlight w:val="none"/>
                <w:lang w:val="en-US" w:eastAsia="zh-CN"/>
              </w:rPr>
              <w:t xml:space="preserve">含尘气体由灰斗上部进风口进入后，在挡风板的作用下，气流向上流动，流速降低，部分大颗粒粉尘由于惯性力的作用被分离出来落入灰斗。含尘气体进入中箱体经滤袋的过滤净化，粉尘被阻留在滤袋的外表面，净化后的气体经滤袋口进入上箱体，由出风口排出。随着滤袋表面粉尘不断增加，除尘器进出口压差也随之上升。当除尘器阻力达到设定值时，控制系统发出清灰指令，清灰系统开始工作。首先电磁阀接到信号后立即开启，使小膜片上部气室的压缩空气被排放，由于小膜片两端受力的改变，使被小膜片关闭的排气通道开启，大膜片上部气室的压缩空气由此通道排出，大膜片两端受力改变，使大膜片动作，将关闭的输出口打开， 气包内的压缩空气经由输出管和喷吹管喷入袋内，实现清灰。 </w:t>
            </w:r>
          </w:p>
          <w:p w14:paraId="5BFC4D1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当控制信号停止后，电磁阀关闭，小膜片、大膜片相继复位，喷吹停止。</w:t>
            </w:r>
          </w:p>
          <w:p w14:paraId="04F16D2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szCs w:val="22"/>
                <w:highlight w:val="none"/>
              </w:rPr>
            </w:pPr>
            <w:r>
              <w:rPr>
                <w:rFonts w:hint="eastAsia" w:cs="Times New Roman"/>
                <w:color w:val="auto"/>
                <w:sz w:val="24"/>
                <w:szCs w:val="22"/>
                <w:highlight w:val="none"/>
                <w:lang w:val="en-US" w:eastAsia="zh-CN"/>
              </w:rPr>
              <w:t>袋式</w:t>
            </w:r>
            <w:r>
              <w:rPr>
                <w:rFonts w:hint="default" w:ascii="Times New Roman" w:hAnsi="Times New Roman" w:eastAsia="宋体" w:cs="Times New Roman"/>
                <w:color w:val="auto"/>
                <w:sz w:val="24"/>
                <w:szCs w:val="22"/>
                <w:highlight w:val="none"/>
                <w:lang w:val="en-US" w:eastAsia="zh-CN"/>
              </w:rPr>
              <w:t>除尘器的除尘工艺很成熟，除尘效率</w:t>
            </w:r>
            <w:r>
              <w:rPr>
                <w:rFonts w:hint="eastAsia" w:cs="Times New Roman"/>
                <w:color w:val="auto"/>
                <w:sz w:val="24"/>
                <w:szCs w:val="22"/>
                <w:highlight w:val="none"/>
                <w:lang w:val="en-US" w:eastAsia="zh-CN"/>
              </w:rPr>
              <w:t>最高</w:t>
            </w:r>
            <w:r>
              <w:rPr>
                <w:rFonts w:hint="default" w:ascii="Times New Roman" w:hAnsi="Times New Roman" w:eastAsia="宋体" w:cs="Times New Roman"/>
                <w:color w:val="auto"/>
                <w:sz w:val="24"/>
                <w:szCs w:val="22"/>
                <w:highlight w:val="none"/>
                <w:lang w:val="en-US" w:eastAsia="zh-CN"/>
              </w:rPr>
              <w:t>可达到99.9%</w:t>
            </w:r>
            <w:r>
              <w:rPr>
                <w:rFonts w:hint="eastAsia" w:cs="Times New Roman"/>
                <w:color w:val="auto"/>
                <w:sz w:val="24"/>
                <w:szCs w:val="22"/>
                <w:highlight w:val="none"/>
                <w:lang w:val="en-US" w:eastAsia="zh-CN"/>
              </w:rPr>
              <w:t>。</w:t>
            </w:r>
          </w:p>
          <w:p w14:paraId="21B5FE76">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fldChar w:fldCharType="begin"/>
            </w:r>
            <w:r>
              <w:rPr>
                <w:rFonts w:ascii="宋体" w:hAnsi="宋体" w:eastAsia="宋体" w:cs="宋体"/>
                <w:color w:val="auto"/>
                <w:sz w:val="24"/>
                <w:szCs w:val="24"/>
                <w:highlight w:val="none"/>
              </w:rPr>
              <w:instrText xml:space="preserve">INCLUDEPICTURE \d "https://img2.baidu.com/it/u=1522067454,2003984439&amp;fm=253&amp;fmt=auto&amp;app=138&amp;f=JPEG?w=838&amp;h=496" \* MERGEFORMATINET </w:instrText>
            </w:r>
            <w:r>
              <w:rPr>
                <w:rFonts w:ascii="宋体" w:hAnsi="宋体" w:eastAsia="宋体" w:cs="宋体"/>
                <w:color w:val="auto"/>
                <w:sz w:val="24"/>
                <w:szCs w:val="24"/>
                <w:highlight w:val="none"/>
              </w:rPr>
              <w:fldChar w:fldCharType="separate"/>
            </w:r>
            <w:r>
              <w:rPr>
                <w:rFonts w:ascii="宋体" w:hAnsi="宋体" w:eastAsia="宋体" w:cs="宋体"/>
                <w:color w:val="auto"/>
                <w:sz w:val="24"/>
                <w:szCs w:val="24"/>
                <w:highlight w:val="none"/>
              </w:rPr>
              <w:drawing>
                <wp:inline distT="0" distB="0" distL="114300" distR="114300">
                  <wp:extent cx="4603115" cy="2724785"/>
                  <wp:effectExtent l="9525" t="9525" r="10160" b="21590"/>
                  <wp:docPr id="1"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descr="IMG_256"/>
                          <pic:cNvPicPr>
                            <a:picLocks noChangeAspect="1"/>
                          </pic:cNvPicPr>
                        </pic:nvPicPr>
                        <pic:blipFill>
                          <a:blip r:embed="rId19"/>
                          <a:stretch>
                            <a:fillRect/>
                          </a:stretch>
                        </pic:blipFill>
                        <pic:spPr>
                          <a:xfrm>
                            <a:off x="0" y="0"/>
                            <a:ext cx="4603115" cy="2724785"/>
                          </a:xfrm>
                          <a:prstGeom prst="rect">
                            <a:avLst/>
                          </a:prstGeom>
                          <a:noFill/>
                          <a:ln>
                            <a:solidFill>
                              <a:schemeClr val="tx1"/>
                            </a:solidFill>
                          </a:ln>
                        </pic:spPr>
                      </pic:pic>
                    </a:graphicData>
                  </a:graphic>
                </wp:inline>
              </w:drawing>
            </w:r>
            <w:r>
              <w:rPr>
                <w:rFonts w:ascii="宋体" w:hAnsi="宋体" w:eastAsia="宋体" w:cs="宋体"/>
                <w:color w:val="auto"/>
                <w:sz w:val="24"/>
                <w:szCs w:val="24"/>
                <w:highlight w:val="none"/>
              </w:rPr>
              <w:fldChar w:fldCharType="end"/>
            </w:r>
          </w:p>
          <w:p w14:paraId="38D41417">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bidi="ar-SA"/>
              </w:rPr>
              <w:t>图4-1  袋式除尘器示意图</w:t>
            </w:r>
          </w:p>
          <w:p w14:paraId="089AED15">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有机废气净化措施</w:t>
            </w:r>
          </w:p>
          <w:p w14:paraId="15FBFF7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 w:val="0"/>
                <w:color w:val="auto"/>
                <w:kern w:val="2"/>
                <w:sz w:val="24"/>
                <w:szCs w:val="22"/>
                <w:highlight w:val="none"/>
                <w:lang w:val="en-GB" w:eastAsia="zh-CN" w:bidi="ar-SA"/>
              </w:rPr>
            </w:pPr>
            <w:r>
              <w:rPr>
                <w:rFonts w:hint="eastAsia" w:ascii="Times New Roman" w:hAnsi="Times New Roman" w:eastAsia="宋体" w:cs="Times New Roman"/>
                <w:b w:val="0"/>
                <w:color w:val="auto"/>
                <w:kern w:val="2"/>
                <w:sz w:val="24"/>
                <w:szCs w:val="22"/>
                <w:highlight w:val="none"/>
                <w:lang w:val="en-US" w:eastAsia="zh-CN" w:bidi="ar-SA"/>
              </w:rPr>
              <w:t>根据</w:t>
            </w:r>
            <w:r>
              <w:rPr>
                <w:rFonts w:hint="eastAsia" w:cs="Times New Roman"/>
                <w:b w:val="0"/>
                <w:color w:val="auto"/>
                <w:kern w:val="2"/>
                <w:sz w:val="24"/>
                <w:szCs w:val="22"/>
                <w:highlight w:val="none"/>
                <w:lang w:val="en-US" w:eastAsia="zh-CN" w:bidi="ar-SA"/>
              </w:rPr>
              <w:t>《排污许可证申请与核发技术规范 制鞋工业》（HJ1123-2020）表F.1 排污单位废气污染防治可行技术参考表，挥发性有机物可行技术包括“水基型胶粘剂源头替代、吸附法、生物法、吸附法与低温等离子体法或光催化氧化法组合使用”</w:t>
            </w:r>
            <w:r>
              <w:rPr>
                <w:rFonts w:hint="eastAsia" w:ascii="Times New Roman" w:hAnsi="Times New Roman" w:eastAsia="宋体" w:cs="Times New Roman"/>
                <w:b w:val="0"/>
                <w:color w:val="auto"/>
                <w:kern w:val="2"/>
                <w:sz w:val="24"/>
                <w:szCs w:val="22"/>
                <w:highlight w:val="none"/>
                <w:lang w:val="en-US" w:eastAsia="zh-CN" w:bidi="ar-SA"/>
              </w:rPr>
              <w:t>。本项目</w:t>
            </w:r>
            <w:r>
              <w:rPr>
                <w:rFonts w:hint="eastAsia" w:cs="Times New Roman"/>
                <w:b w:val="0"/>
                <w:color w:val="auto"/>
                <w:kern w:val="2"/>
                <w:sz w:val="24"/>
                <w:szCs w:val="22"/>
                <w:highlight w:val="none"/>
                <w:lang w:val="en-US" w:eastAsia="zh-CN" w:bidi="ar-SA"/>
              </w:rPr>
              <w:t>注塑、浇注</w:t>
            </w:r>
            <w:r>
              <w:rPr>
                <w:rFonts w:hint="eastAsia" w:ascii="Times New Roman" w:hAnsi="Times New Roman" w:eastAsia="宋体" w:cs="Times New Roman"/>
                <w:b w:val="0"/>
                <w:color w:val="auto"/>
                <w:kern w:val="2"/>
                <w:sz w:val="24"/>
                <w:szCs w:val="22"/>
                <w:highlight w:val="none"/>
                <w:lang w:val="en-US" w:eastAsia="zh-CN" w:bidi="ar-SA"/>
              </w:rPr>
              <w:t>等工序产生的有机废气</w:t>
            </w:r>
            <w:r>
              <w:rPr>
                <w:rFonts w:hint="default" w:ascii="Times New Roman" w:hAnsi="Times New Roman" w:eastAsia="宋体" w:cs="Times New Roman"/>
                <w:b w:val="0"/>
                <w:color w:val="auto"/>
                <w:kern w:val="2"/>
                <w:sz w:val="24"/>
                <w:szCs w:val="22"/>
                <w:highlight w:val="none"/>
                <w:lang w:val="en-GB" w:eastAsia="zh-CN" w:bidi="ar-SA"/>
              </w:rPr>
              <w:t>采用</w:t>
            </w:r>
            <w:r>
              <w:rPr>
                <w:rFonts w:hint="eastAsia" w:ascii="Times New Roman" w:hAnsi="Times New Roman" w:eastAsia="宋体" w:cs="Times New Roman"/>
                <w:b w:val="0"/>
                <w:color w:val="auto"/>
                <w:kern w:val="2"/>
                <w:sz w:val="24"/>
                <w:szCs w:val="22"/>
                <w:highlight w:val="none"/>
                <w:lang w:val="en-GB" w:eastAsia="zh-CN" w:bidi="ar-SA"/>
              </w:rPr>
              <w:t>的“</w:t>
            </w:r>
            <w:r>
              <w:rPr>
                <w:rFonts w:hint="eastAsia" w:ascii="Times New Roman" w:hAnsi="Times New Roman" w:eastAsia="宋体" w:cs="Times New Roman"/>
                <w:b w:val="0"/>
                <w:color w:val="auto"/>
                <w:kern w:val="2"/>
                <w:sz w:val="24"/>
                <w:szCs w:val="22"/>
                <w:highlight w:val="none"/>
                <w:lang w:val="en-US" w:eastAsia="zh-CN" w:bidi="ar-SA"/>
              </w:rPr>
              <w:t>二级活性炭装置</w:t>
            </w:r>
            <w:r>
              <w:rPr>
                <w:rFonts w:hint="eastAsia" w:ascii="Times New Roman" w:hAnsi="Times New Roman" w:eastAsia="宋体" w:cs="Times New Roman"/>
                <w:b w:val="0"/>
                <w:color w:val="auto"/>
                <w:kern w:val="2"/>
                <w:sz w:val="24"/>
                <w:szCs w:val="22"/>
                <w:highlight w:val="none"/>
                <w:lang w:val="en-GB" w:eastAsia="zh-CN" w:bidi="ar-SA"/>
              </w:rPr>
              <w:t>”</w:t>
            </w:r>
            <w:r>
              <w:rPr>
                <w:rFonts w:hint="eastAsia" w:ascii="Times New Roman" w:hAnsi="Times New Roman" w:eastAsia="宋体" w:cs="Times New Roman"/>
                <w:b w:val="0"/>
                <w:color w:val="auto"/>
                <w:kern w:val="2"/>
                <w:sz w:val="24"/>
                <w:szCs w:val="22"/>
                <w:highlight w:val="none"/>
                <w:lang w:val="en-US" w:eastAsia="zh-CN" w:bidi="ar-SA"/>
              </w:rPr>
              <w:t>吸附技术</w:t>
            </w:r>
            <w:r>
              <w:rPr>
                <w:rFonts w:hint="default" w:ascii="Times New Roman" w:hAnsi="Times New Roman" w:eastAsia="宋体" w:cs="Times New Roman"/>
                <w:b w:val="0"/>
                <w:color w:val="auto"/>
                <w:kern w:val="2"/>
                <w:sz w:val="24"/>
                <w:szCs w:val="22"/>
                <w:highlight w:val="none"/>
                <w:lang w:val="en-GB" w:eastAsia="zh-CN" w:bidi="ar-SA"/>
              </w:rPr>
              <w:t>为</w:t>
            </w:r>
            <w:r>
              <w:rPr>
                <w:rFonts w:hint="eastAsia" w:ascii="Times New Roman" w:hAnsi="Times New Roman" w:eastAsia="宋体" w:cs="Times New Roman"/>
                <w:b w:val="0"/>
                <w:color w:val="auto"/>
                <w:kern w:val="2"/>
                <w:sz w:val="24"/>
                <w:szCs w:val="22"/>
                <w:highlight w:val="none"/>
                <w:lang w:val="en-US" w:eastAsia="zh-CN" w:bidi="ar-SA"/>
              </w:rPr>
              <w:t>其中的</w:t>
            </w:r>
            <w:r>
              <w:rPr>
                <w:rFonts w:hint="default" w:ascii="Times New Roman" w:hAnsi="Times New Roman" w:eastAsia="宋体" w:cs="Times New Roman"/>
                <w:b w:val="0"/>
                <w:color w:val="auto"/>
                <w:kern w:val="2"/>
                <w:sz w:val="24"/>
                <w:szCs w:val="22"/>
                <w:highlight w:val="none"/>
                <w:lang w:val="en-GB" w:eastAsia="zh-CN" w:bidi="ar-SA"/>
              </w:rPr>
              <w:t>可行技术。</w:t>
            </w:r>
          </w:p>
          <w:p w14:paraId="54A4DE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 w:val="0"/>
                <w:color w:val="auto"/>
                <w:kern w:val="2"/>
                <w:sz w:val="24"/>
                <w:szCs w:val="22"/>
                <w:highlight w:val="none"/>
                <w:lang w:val="en-US" w:eastAsia="zh-CN" w:bidi="ar-SA"/>
              </w:rPr>
            </w:pPr>
            <w:r>
              <w:rPr>
                <w:rFonts w:hint="eastAsia" w:ascii="Times New Roman" w:hAnsi="Times New Roman" w:eastAsia="宋体" w:cs="Times New Roman"/>
                <w:b w:val="0"/>
                <w:color w:val="auto"/>
                <w:kern w:val="2"/>
                <w:sz w:val="24"/>
                <w:szCs w:val="22"/>
                <w:highlight w:val="none"/>
                <w:lang w:val="en-US" w:eastAsia="zh-CN" w:bidi="ar-SA"/>
              </w:rPr>
              <w:t>根据《重点行业挥发性有机物治理环境管理技术规范 第13部分：制鞋行业》（DB34/T 4230.13-2022）中推荐的末端治理技术：“中、低浓度VOCs废气，有回收价值的宜采用吸附回收技术处理，无回收价值的宜采用吸附浓缩—燃烧等处理技术。”本项目有机废气有组织废气</w:t>
            </w:r>
            <w:r>
              <w:rPr>
                <w:rFonts w:hint="eastAsia" w:ascii="Times New Roman" w:hAnsi="Times New Roman" w:eastAsia="宋体" w:cs="Times New Roman"/>
                <w:b w:val="0"/>
                <w:color w:val="auto"/>
                <w:kern w:val="2"/>
                <w:sz w:val="24"/>
                <w:szCs w:val="24"/>
                <w:highlight w:val="none"/>
                <w:lang w:val="en-US" w:eastAsia="zh-CN" w:bidi="ar-SA"/>
              </w:rPr>
              <w:t>产生浓度仅为</w:t>
            </w:r>
            <w:r>
              <w:rPr>
                <w:rFonts w:hint="eastAsia" w:cs="Times New Roman"/>
                <w:color w:val="auto"/>
                <w:kern w:val="0"/>
                <w:sz w:val="24"/>
                <w:szCs w:val="24"/>
                <w:highlight w:val="none"/>
                <w:lang w:val="en-US" w:eastAsia="zh-CN" w:bidi="ar"/>
              </w:rPr>
              <w:t>46.202mg/m</w:t>
            </w:r>
            <w:r>
              <w:rPr>
                <w:rFonts w:hint="eastAsia" w:cs="Times New Roman"/>
                <w:color w:val="auto"/>
                <w:kern w:val="0"/>
                <w:sz w:val="24"/>
                <w:szCs w:val="24"/>
                <w:highlight w:val="none"/>
                <w:vertAlign w:val="superscript"/>
                <w:lang w:val="en-US" w:eastAsia="zh-CN" w:bidi="ar"/>
              </w:rPr>
              <w:t>3</w:t>
            </w:r>
            <w:r>
              <w:rPr>
                <w:rFonts w:hint="eastAsia" w:cs="Times New Roman"/>
                <w:color w:val="auto"/>
                <w:kern w:val="0"/>
                <w:sz w:val="24"/>
                <w:szCs w:val="24"/>
                <w:highlight w:val="none"/>
                <w:lang w:val="en-US" w:eastAsia="zh-CN" w:bidi="ar"/>
              </w:rPr>
              <w:t>，属于</w:t>
            </w:r>
            <w:r>
              <w:rPr>
                <w:rFonts w:hint="eastAsia" w:ascii="Times New Roman" w:hAnsi="Times New Roman" w:eastAsia="宋体" w:cs="Times New Roman"/>
                <w:b w:val="0"/>
                <w:color w:val="auto"/>
                <w:kern w:val="2"/>
                <w:sz w:val="24"/>
                <w:szCs w:val="24"/>
                <w:highlight w:val="none"/>
                <w:lang w:val="en-US" w:eastAsia="zh-CN" w:bidi="ar-SA"/>
              </w:rPr>
              <w:t>低浓度VOCs废</w:t>
            </w:r>
            <w:r>
              <w:rPr>
                <w:rFonts w:hint="eastAsia" w:ascii="Times New Roman" w:hAnsi="Times New Roman" w:eastAsia="宋体" w:cs="Times New Roman"/>
                <w:b w:val="0"/>
                <w:color w:val="auto"/>
                <w:kern w:val="2"/>
                <w:sz w:val="24"/>
                <w:szCs w:val="22"/>
                <w:highlight w:val="none"/>
                <w:lang w:val="en-US" w:eastAsia="zh-CN" w:bidi="ar-SA"/>
              </w:rPr>
              <w:t>气，采用吸附处理技术即可达标排放。</w:t>
            </w:r>
          </w:p>
          <w:p w14:paraId="535B4D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val="0"/>
                <w:bCs w:val="0"/>
                <w:color w:val="auto"/>
                <w:sz w:val="24"/>
                <w:szCs w:val="22"/>
                <w:highlight w:val="none"/>
              </w:rPr>
            </w:pPr>
            <w:r>
              <w:rPr>
                <w:b/>
                <w:bCs w:val="0"/>
                <w:color w:val="auto"/>
                <w:kern w:val="0"/>
                <w:sz w:val="24"/>
                <w:szCs w:val="22"/>
                <w:highlight w:val="none"/>
              </w:rPr>
              <w:t>活性炭吸附</w:t>
            </w:r>
            <w:r>
              <w:rPr>
                <w:rFonts w:hint="eastAsia"/>
                <w:b/>
                <w:bCs w:val="0"/>
                <w:color w:val="auto"/>
                <w:kern w:val="0"/>
                <w:sz w:val="24"/>
                <w:szCs w:val="22"/>
                <w:highlight w:val="none"/>
              </w:rPr>
              <w:t>工艺</w:t>
            </w:r>
            <w:r>
              <w:rPr>
                <w:rFonts w:hint="eastAsia"/>
                <w:b/>
                <w:bCs w:val="0"/>
                <w:color w:val="auto"/>
                <w:kern w:val="0"/>
                <w:sz w:val="24"/>
                <w:szCs w:val="22"/>
                <w:highlight w:val="none"/>
                <w:lang w:eastAsia="zh-CN"/>
              </w:rPr>
              <w:t>：</w:t>
            </w:r>
            <w:r>
              <w:rPr>
                <w:rFonts w:hint="default" w:ascii="Times New Roman" w:hAnsi="Times New Roman" w:eastAsia="宋体" w:cs="Times New Roman"/>
                <w:b w:val="0"/>
                <w:bCs w:val="0"/>
                <w:color w:val="auto"/>
                <w:kern w:val="0"/>
                <w:sz w:val="24"/>
                <w:szCs w:val="22"/>
                <w:highlight w:val="none"/>
              </w:rPr>
              <w:t>活性炭是一种很细小的炭粒，有很大的表面积，而且炭粒中还有</w:t>
            </w:r>
            <w:r>
              <w:rPr>
                <w:rFonts w:hint="default" w:ascii="Times New Roman" w:hAnsi="Times New Roman" w:eastAsia="宋体" w:cs="Times New Roman"/>
                <w:b w:val="0"/>
                <w:bCs w:val="0"/>
                <w:color w:val="auto"/>
                <w:sz w:val="24"/>
                <w:szCs w:val="22"/>
                <w:highlight w:val="none"/>
              </w:rPr>
              <w:t>更细小的孔——毛细管。这种毛细管具有很强的吸附能力</w:t>
            </w:r>
            <w:r>
              <w:rPr>
                <w:rFonts w:hint="default" w:ascii="Times New Roman" w:hAnsi="Times New Roman" w:eastAsia="宋体" w:cs="Times New Roman"/>
                <w:b w:val="0"/>
                <w:bCs w:val="0"/>
                <w:color w:val="auto"/>
                <w:sz w:val="24"/>
                <w:szCs w:val="22"/>
                <w:highlight w:val="none"/>
                <w:lang w:eastAsia="zh-CN"/>
              </w:rPr>
              <w:t>，</w:t>
            </w:r>
            <w:r>
              <w:rPr>
                <w:rFonts w:hint="default" w:ascii="Times New Roman" w:hAnsi="Times New Roman" w:eastAsia="宋体" w:cs="Times New Roman"/>
                <w:b w:val="0"/>
                <w:bCs w:val="0"/>
                <w:color w:val="auto"/>
                <w:sz w:val="24"/>
                <w:szCs w:val="22"/>
                <w:highlight w:val="none"/>
              </w:rPr>
              <w:t>由于炭粒的表面积很大，所以能与气体（有机废气）充分接触，当这些气体（有机废气）碰到毛细管就被吸附，起净化作用。当废气由风机提供动力，负压进入吸附箱后进入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大表面的多孔性活性炭吸附剂相接触，废气中的污染物被吸附在活性炭表面上，使其与气体混合物分离，净化后的气体高空排放。</w:t>
            </w:r>
          </w:p>
          <w:p w14:paraId="5DA88C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color w:val="auto"/>
                <w:szCs w:val="22"/>
                <w:highlight w:val="none"/>
              </w:rPr>
            </w:pPr>
            <w:r>
              <w:rPr>
                <w:color w:val="auto"/>
                <w:szCs w:val="22"/>
                <w:highlight w:val="none"/>
              </w:rPr>
              <w:drawing>
                <wp:inline distT="0" distB="0" distL="114300" distR="114300">
                  <wp:extent cx="4079875" cy="1811020"/>
                  <wp:effectExtent l="0" t="0" r="9525" b="5080"/>
                  <wp:docPr id="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pic:cNvPicPr>
                            <a:picLocks noChangeAspect="1"/>
                          </pic:cNvPicPr>
                        </pic:nvPicPr>
                        <pic:blipFill>
                          <a:blip r:embed="rId20"/>
                          <a:srcRect t="6664"/>
                          <a:stretch>
                            <a:fillRect/>
                          </a:stretch>
                        </pic:blipFill>
                        <pic:spPr>
                          <a:xfrm>
                            <a:off x="0" y="0"/>
                            <a:ext cx="4079875" cy="1811020"/>
                          </a:xfrm>
                          <a:prstGeom prst="rect">
                            <a:avLst/>
                          </a:prstGeom>
                          <a:noFill/>
                          <a:ln>
                            <a:noFill/>
                          </a:ln>
                        </pic:spPr>
                      </pic:pic>
                    </a:graphicData>
                  </a:graphic>
                </wp:inline>
              </w:drawing>
            </w:r>
          </w:p>
          <w:p w14:paraId="1534CA9F">
            <w:pPr>
              <w:pStyle w:val="16"/>
              <w:keepNext w:val="0"/>
              <w:keepLines w:val="0"/>
              <w:suppressLineNumbers w:val="0"/>
              <w:spacing w:before="0" w:beforeAutospacing="0" w:afterAutospacing="0"/>
              <w:ind w:left="0" w:leftChars="0" w:right="0" w:firstLine="0"/>
              <w:jc w:val="center"/>
              <w:rPr>
                <w:rFonts w:hint="eastAsia" w:ascii="Times New Roman" w:hAnsi="Times New Roman"/>
                <w:b/>
                <w:bCs/>
                <w:color w:val="auto"/>
                <w:sz w:val="24"/>
                <w:szCs w:val="24"/>
                <w:highlight w:val="none"/>
              </w:rPr>
            </w:pPr>
            <w:r>
              <w:rPr>
                <w:rFonts w:ascii="Times New Roman" w:hAnsi="Times New Roman"/>
                <w:b/>
                <w:bCs/>
                <w:color w:val="auto"/>
                <w:sz w:val="24"/>
                <w:szCs w:val="24"/>
                <w:highlight w:val="none"/>
              </w:rPr>
              <w:t>图4-</w:t>
            </w:r>
            <w:r>
              <w:rPr>
                <w:rFonts w:hint="eastAsia" w:ascii="Times New Roman" w:hAnsi="Times New Roman"/>
                <w:b/>
                <w:bCs/>
                <w:color w:val="auto"/>
                <w:sz w:val="24"/>
                <w:szCs w:val="24"/>
                <w:highlight w:val="none"/>
                <w:lang w:val="en-US" w:eastAsia="zh-CN"/>
              </w:rPr>
              <w:t>2</w:t>
            </w:r>
            <w:r>
              <w:rPr>
                <w:rFonts w:ascii="Times New Roman" w:hAnsi="Times New Roman"/>
                <w:b/>
                <w:bCs/>
                <w:color w:val="auto"/>
                <w:sz w:val="24"/>
                <w:szCs w:val="24"/>
                <w:highlight w:val="none"/>
              </w:rPr>
              <w:t xml:space="preserve"> </w:t>
            </w:r>
            <w:r>
              <w:rPr>
                <w:rFonts w:hint="eastAsia" w:ascii="Times New Roman" w:hAnsi="Times New Roman"/>
                <w:b/>
                <w:bCs/>
                <w:color w:val="auto"/>
                <w:sz w:val="24"/>
                <w:szCs w:val="24"/>
                <w:highlight w:val="none"/>
                <w:lang w:val="en-US" w:eastAsia="zh-CN"/>
              </w:rPr>
              <w:t xml:space="preserve"> </w:t>
            </w:r>
            <w:r>
              <w:rPr>
                <w:rFonts w:hint="eastAsia" w:ascii="Times New Roman" w:hAnsi="Times New Roman"/>
                <w:b/>
                <w:bCs/>
                <w:color w:val="auto"/>
                <w:sz w:val="24"/>
                <w:szCs w:val="24"/>
                <w:highlight w:val="none"/>
              </w:rPr>
              <w:t>活性炭吸附装置组成示意图</w:t>
            </w:r>
          </w:p>
          <w:p w14:paraId="736F35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color w:val="auto"/>
                <w:kern w:val="0"/>
                <w:sz w:val="24"/>
                <w:szCs w:val="22"/>
                <w:highlight w:val="none"/>
              </w:rPr>
            </w:pPr>
            <w:r>
              <w:rPr>
                <w:color w:val="auto"/>
                <w:kern w:val="0"/>
                <w:sz w:val="24"/>
                <w:szCs w:val="22"/>
                <w:highlight w:val="none"/>
              </w:rPr>
              <w:t>活性炭吸附箱体设计参数如下：</w:t>
            </w:r>
          </w:p>
          <w:p w14:paraId="69E2A8C6">
            <w:pPr>
              <w:pStyle w:val="34"/>
              <w:keepNext w:val="0"/>
              <w:keepLines w:val="0"/>
              <w:suppressLineNumbers w:val="0"/>
              <w:spacing w:before="0" w:beforeAutospacing="0" w:after="0" w:afterAutospacing="0" w:line="240" w:lineRule="auto"/>
              <w:ind w:left="0" w:right="0" w:firstLine="422" w:firstLineChars="200"/>
              <w:jc w:val="center"/>
              <w:rPr>
                <w:rFonts w:ascii="Times New Roman" w:hAnsi="Times New Roman"/>
                <w:b/>
                <w:bCs w:val="0"/>
                <w:color w:val="auto"/>
                <w:sz w:val="21"/>
                <w:szCs w:val="21"/>
                <w:highlight w:val="none"/>
              </w:rPr>
            </w:pPr>
            <w:r>
              <w:rPr>
                <w:rFonts w:ascii="Times New Roman" w:hAnsi="Times New Roman"/>
                <w:b/>
                <w:bCs w:val="0"/>
                <w:color w:val="auto"/>
                <w:sz w:val="21"/>
                <w:szCs w:val="21"/>
                <w:highlight w:val="none"/>
              </w:rPr>
              <w:t>表4-</w:t>
            </w:r>
            <w:r>
              <w:rPr>
                <w:rFonts w:hint="eastAsia"/>
                <w:b/>
                <w:bCs w:val="0"/>
                <w:color w:val="auto"/>
                <w:sz w:val="21"/>
                <w:szCs w:val="21"/>
                <w:highlight w:val="none"/>
                <w:lang w:val="en-US" w:eastAsia="zh-CN"/>
              </w:rPr>
              <w:t>4</w:t>
            </w:r>
            <w:r>
              <w:rPr>
                <w:rFonts w:ascii="Times New Roman" w:hAnsi="Times New Roman"/>
                <w:b/>
                <w:bCs w:val="0"/>
                <w:color w:val="auto"/>
                <w:sz w:val="21"/>
                <w:szCs w:val="21"/>
                <w:highlight w:val="none"/>
              </w:rPr>
              <w:t xml:space="preserve"> </w:t>
            </w:r>
            <w:r>
              <w:rPr>
                <w:rFonts w:hint="eastAsia"/>
                <w:b/>
                <w:bCs w:val="0"/>
                <w:color w:val="auto"/>
                <w:sz w:val="21"/>
                <w:szCs w:val="21"/>
                <w:highlight w:val="none"/>
                <w:lang w:val="en-US" w:eastAsia="zh-CN"/>
              </w:rPr>
              <w:t>有机废气治理</w:t>
            </w:r>
            <w:r>
              <w:rPr>
                <w:rFonts w:ascii="Times New Roman" w:hAnsi="Times New Roman"/>
                <w:b/>
                <w:bCs w:val="0"/>
                <w:color w:val="auto"/>
                <w:sz w:val="21"/>
                <w:szCs w:val="21"/>
                <w:highlight w:val="none"/>
              </w:rPr>
              <w:t>活性炭吸附装置技术参数表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760"/>
              <w:gridCol w:w="1875"/>
              <w:gridCol w:w="1947"/>
              <w:gridCol w:w="2649"/>
            </w:tblGrid>
            <w:tr w14:paraId="7E457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noWrap w:val="0"/>
                  <w:vAlign w:val="center"/>
                </w:tcPr>
                <w:p w14:paraId="4FE52B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969" w:type="pct"/>
                  <w:noWrap w:val="0"/>
                  <w:vAlign w:val="center"/>
                </w:tcPr>
                <w:p w14:paraId="70FD6E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处理风量</w:t>
                  </w:r>
                </w:p>
              </w:tc>
              <w:tc>
                <w:tcPr>
                  <w:tcW w:w="1032" w:type="pct"/>
                  <w:noWrap w:val="0"/>
                  <w:vAlign w:val="center"/>
                </w:tcPr>
                <w:p w14:paraId="3FCAF8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过滤风速</w:t>
                  </w:r>
                </w:p>
              </w:tc>
              <w:tc>
                <w:tcPr>
                  <w:tcW w:w="1072" w:type="pct"/>
                  <w:noWrap w:val="0"/>
                  <w:vAlign w:val="center"/>
                </w:tcPr>
                <w:p w14:paraId="7D40AC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过滤停留时间</w:t>
                  </w:r>
                </w:p>
              </w:tc>
              <w:tc>
                <w:tcPr>
                  <w:tcW w:w="1458" w:type="pct"/>
                  <w:noWrap w:val="0"/>
                  <w:vAlign w:val="center"/>
                </w:tcPr>
                <w:p w14:paraId="2AEC7A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处理效率</w:t>
                  </w:r>
                </w:p>
              </w:tc>
            </w:tr>
            <w:tr w14:paraId="2CF3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noWrap w:val="0"/>
                  <w:vAlign w:val="center"/>
                </w:tcPr>
                <w:p w14:paraId="26E98E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参数</w:t>
                  </w:r>
                </w:p>
              </w:tc>
              <w:tc>
                <w:tcPr>
                  <w:tcW w:w="969" w:type="pct"/>
                  <w:noWrap w:val="0"/>
                  <w:vAlign w:val="center"/>
                </w:tcPr>
                <w:p w14:paraId="470A45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1032" w:type="pct"/>
                  <w:noWrap w:val="0"/>
                  <w:vAlign w:val="center"/>
                </w:tcPr>
                <w:p w14:paraId="55088F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rPr>
                    <w:t>m/s</w:t>
                  </w:r>
                </w:p>
              </w:tc>
              <w:tc>
                <w:tcPr>
                  <w:tcW w:w="1072" w:type="pct"/>
                  <w:noWrap w:val="0"/>
                  <w:vAlign w:val="center"/>
                </w:tcPr>
                <w:p w14:paraId="31B25D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0.2~2s</w:t>
                  </w:r>
                </w:p>
              </w:tc>
              <w:tc>
                <w:tcPr>
                  <w:tcW w:w="1458" w:type="pct"/>
                  <w:noWrap w:val="0"/>
                  <w:vAlign w:val="center"/>
                </w:tcPr>
                <w:p w14:paraId="45356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90</w:t>
                  </w:r>
                  <w:r>
                    <w:rPr>
                      <w:rFonts w:hint="default" w:ascii="Times New Roman" w:hAnsi="Times New Roman" w:eastAsia="宋体" w:cs="Times New Roman"/>
                      <w:color w:val="auto"/>
                      <w:sz w:val="21"/>
                      <w:szCs w:val="21"/>
                      <w:highlight w:val="none"/>
                    </w:rPr>
                    <w:t>%</w:t>
                  </w:r>
                </w:p>
              </w:tc>
            </w:tr>
            <w:tr w14:paraId="68B62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noWrap w:val="0"/>
                  <w:vAlign w:val="center"/>
                </w:tcPr>
                <w:p w14:paraId="67AA58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969" w:type="pct"/>
                  <w:noWrap w:val="0"/>
                  <w:vAlign w:val="center"/>
                </w:tcPr>
                <w:p w14:paraId="0CC528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工作阻力</w:t>
                  </w:r>
                </w:p>
              </w:tc>
              <w:tc>
                <w:tcPr>
                  <w:tcW w:w="1032" w:type="pct"/>
                  <w:noWrap w:val="0"/>
                  <w:vAlign w:val="center"/>
                </w:tcPr>
                <w:p w14:paraId="63B267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介质</w:t>
                  </w:r>
                </w:p>
              </w:tc>
              <w:tc>
                <w:tcPr>
                  <w:tcW w:w="1072" w:type="pct"/>
                  <w:noWrap w:val="0"/>
                  <w:vAlign w:val="center"/>
                </w:tcPr>
                <w:p w14:paraId="6B5F97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过滤面积</w:t>
                  </w:r>
                </w:p>
              </w:tc>
              <w:tc>
                <w:tcPr>
                  <w:tcW w:w="1458" w:type="pct"/>
                  <w:noWrap w:val="0"/>
                  <w:vAlign w:val="center"/>
                </w:tcPr>
                <w:p w14:paraId="6BD31A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活性炭形态</w:t>
                  </w:r>
                </w:p>
              </w:tc>
            </w:tr>
            <w:tr w14:paraId="6411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noWrap w:val="0"/>
                  <w:vAlign w:val="center"/>
                </w:tcPr>
                <w:p w14:paraId="5D1159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参数</w:t>
                  </w:r>
                </w:p>
              </w:tc>
              <w:tc>
                <w:tcPr>
                  <w:tcW w:w="969" w:type="pct"/>
                  <w:noWrap w:val="0"/>
                  <w:vAlign w:val="center"/>
                </w:tcPr>
                <w:p w14:paraId="1483CB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800~1200Pa</w:t>
                  </w:r>
                </w:p>
              </w:tc>
              <w:tc>
                <w:tcPr>
                  <w:tcW w:w="1032" w:type="pct"/>
                  <w:noWrap w:val="0"/>
                  <w:vAlign w:val="center"/>
                </w:tcPr>
                <w:p w14:paraId="3D3200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有机废气</w:t>
                  </w:r>
                </w:p>
              </w:tc>
              <w:tc>
                <w:tcPr>
                  <w:tcW w:w="1072" w:type="pct"/>
                  <w:noWrap w:val="0"/>
                  <w:vAlign w:val="center"/>
                </w:tcPr>
                <w:p w14:paraId="768DF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1458" w:type="pct"/>
                  <w:noWrap w:val="0"/>
                  <w:vAlign w:val="center"/>
                </w:tcPr>
                <w:p w14:paraId="096D19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蜂窝</w:t>
                  </w:r>
                  <w:r>
                    <w:rPr>
                      <w:rFonts w:hint="default" w:ascii="Times New Roman" w:hAnsi="Times New Roman" w:eastAsia="宋体" w:cs="Times New Roman"/>
                      <w:color w:val="auto"/>
                      <w:sz w:val="21"/>
                      <w:szCs w:val="21"/>
                      <w:highlight w:val="none"/>
                    </w:rPr>
                    <w:t>状，尺寸</w:t>
                  </w:r>
                  <w:r>
                    <w:rPr>
                      <w:rFonts w:hint="default" w:ascii="Times New Roman" w:hAnsi="Times New Roman" w:eastAsia="宋体" w:cs="Times New Roman"/>
                      <w:color w:val="auto"/>
                      <w:sz w:val="21"/>
                      <w:szCs w:val="21"/>
                      <w:highlight w:val="none"/>
                      <w:lang w:val="pt-BR"/>
                    </w:rPr>
                    <w:t>100mm×100mm×100mm</w:t>
                  </w:r>
                </w:p>
              </w:tc>
            </w:tr>
            <w:tr w14:paraId="65C9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noWrap w:val="0"/>
                  <w:vAlign w:val="center"/>
                </w:tcPr>
                <w:p w14:paraId="5F9391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969" w:type="pct"/>
                  <w:noWrap w:val="0"/>
                  <w:vAlign w:val="center"/>
                </w:tcPr>
                <w:p w14:paraId="0F6158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介质温度</w:t>
                  </w:r>
                </w:p>
              </w:tc>
              <w:tc>
                <w:tcPr>
                  <w:tcW w:w="1032" w:type="pct"/>
                  <w:noWrap w:val="0"/>
                  <w:vAlign w:val="center"/>
                </w:tcPr>
                <w:p w14:paraId="636CDB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活性炭碘值</w:t>
                  </w:r>
                </w:p>
              </w:tc>
              <w:tc>
                <w:tcPr>
                  <w:tcW w:w="1072" w:type="pct"/>
                  <w:noWrap w:val="0"/>
                  <w:vAlign w:val="center"/>
                </w:tcPr>
                <w:p w14:paraId="795309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活性炭层厚度</w:t>
                  </w:r>
                </w:p>
              </w:tc>
              <w:tc>
                <w:tcPr>
                  <w:tcW w:w="1458" w:type="pct"/>
                  <w:noWrap w:val="0"/>
                  <w:vAlign w:val="center"/>
                </w:tcPr>
                <w:p w14:paraId="011FAD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活性炭堆积密度</w:t>
                  </w:r>
                </w:p>
              </w:tc>
            </w:tr>
            <w:tr w14:paraId="56E1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noWrap w:val="0"/>
                  <w:vAlign w:val="center"/>
                </w:tcPr>
                <w:p w14:paraId="156F8A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参数</w:t>
                  </w:r>
                </w:p>
              </w:tc>
              <w:tc>
                <w:tcPr>
                  <w:tcW w:w="969" w:type="pct"/>
                  <w:noWrap w:val="0"/>
                  <w:vAlign w:val="center"/>
                </w:tcPr>
                <w:p w14:paraId="2121C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1032" w:type="pct"/>
                  <w:noWrap w:val="0"/>
                  <w:vAlign w:val="center"/>
                </w:tcPr>
                <w:p w14:paraId="44203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＞800 mg/kg</w:t>
                  </w:r>
                </w:p>
              </w:tc>
              <w:tc>
                <w:tcPr>
                  <w:tcW w:w="1072" w:type="pct"/>
                  <w:noWrap w:val="0"/>
                  <w:vAlign w:val="center"/>
                </w:tcPr>
                <w:p w14:paraId="4C1698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单层厚度0.</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m</w:t>
                  </w:r>
                </w:p>
              </w:tc>
              <w:tc>
                <w:tcPr>
                  <w:tcW w:w="1458" w:type="pct"/>
                  <w:noWrap w:val="0"/>
                  <w:vAlign w:val="center"/>
                </w:tcPr>
                <w:p w14:paraId="5597C0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0.45</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0.65g/cm³</w:t>
                  </w:r>
                </w:p>
              </w:tc>
            </w:tr>
            <w:tr w14:paraId="2126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noWrap w:val="0"/>
                  <w:vAlign w:val="center"/>
                </w:tcPr>
                <w:p w14:paraId="761CB6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969" w:type="pct"/>
                  <w:noWrap w:val="0"/>
                  <w:vAlign w:val="center"/>
                </w:tcPr>
                <w:p w14:paraId="445886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一次填充量</w:t>
                  </w:r>
                </w:p>
              </w:tc>
              <w:tc>
                <w:tcPr>
                  <w:tcW w:w="1032" w:type="pct"/>
                  <w:noWrap w:val="0"/>
                  <w:vAlign w:val="center"/>
                </w:tcPr>
                <w:p w14:paraId="48EB7F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一次填装使用时间</w:t>
                  </w:r>
                </w:p>
              </w:tc>
              <w:tc>
                <w:tcPr>
                  <w:tcW w:w="1072" w:type="pct"/>
                  <w:noWrap w:val="0"/>
                  <w:vAlign w:val="center"/>
                </w:tcPr>
                <w:p w14:paraId="617955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更换频次</w:t>
                  </w:r>
                </w:p>
              </w:tc>
              <w:tc>
                <w:tcPr>
                  <w:tcW w:w="1458" w:type="pct"/>
                  <w:noWrap w:val="0"/>
                  <w:vAlign w:val="center"/>
                </w:tcPr>
                <w:p w14:paraId="3B5ECE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活性炭</w:t>
                  </w:r>
                  <w:r>
                    <w:rPr>
                      <w:rFonts w:hint="default" w:ascii="Times New Roman" w:hAnsi="Times New Roman" w:cs="Times New Roman"/>
                      <w:b/>
                      <w:color w:val="auto"/>
                      <w:sz w:val="21"/>
                      <w:szCs w:val="21"/>
                      <w:highlight w:val="none"/>
                      <w:lang w:val="en-US" w:eastAsia="zh-CN"/>
                    </w:rPr>
                    <w:t>需求</w:t>
                  </w:r>
                  <w:r>
                    <w:rPr>
                      <w:rFonts w:hint="default" w:ascii="Times New Roman" w:hAnsi="Times New Roman" w:eastAsia="宋体" w:cs="Times New Roman"/>
                      <w:b/>
                      <w:color w:val="auto"/>
                      <w:sz w:val="21"/>
                      <w:szCs w:val="21"/>
                      <w:highlight w:val="none"/>
                    </w:rPr>
                    <w:t>量（t/a）</w:t>
                  </w:r>
                </w:p>
              </w:tc>
            </w:tr>
            <w:tr w14:paraId="261A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noWrap w:val="0"/>
                  <w:vAlign w:val="center"/>
                </w:tcPr>
                <w:p w14:paraId="0D6A8A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参数</w:t>
                  </w:r>
                </w:p>
              </w:tc>
              <w:tc>
                <w:tcPr>
                  <w:tcW w:w="969" w:type="pct"/>
                  <w:noWrap w:val="0"/>
                  <w:vAlign w:val="center"/>
                </w:tcPr>
                <w:p w14:paraId="340821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450</w:t>
                  </w:r>
                  <w:r>
                    <w:rPr>
                      <w:rFonts w:hint="default" w:ascii="Times New Roman" w:hAnsi="Times New Roman" w:eastAsia="宋体" w:cs="Times New Roman"/>
                      <w:color w:val="auto"/>
                      <w:sz w:val="21"/>
                      <w:szCs w:val="21"/>
                      <w:highlight w:val="none"/>
                    </w:rPr>
                    <w:t>kg×2</w:t>
                  </w:r>
                </w:p>
                <w:p w14:paraId="18B52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二</w:t>
                  </w:r>
                  <w:r>
                    <w:rPr>
                      <w:rFonts w:hint="default" w:ascii="Times New Roman" w:hAnsi="Times New Roman" w:eastAsia="宋体" w:cs="Times New Roman"/>
                      <w:color w:val="auto"/>
                      <w:sz w:val="21"/>
                      <w:szCs w:val="21"/>
                      <w:highlight w:val="none"/>
                    </w:rPr>
                    <w:t>级）</w:t>
                  </w:r>
                </w:p>
              </w:tc>
              <w:tc>
                <w:tcPr>
                  <w:tcW w:w="1032" w:type="pct"/>
                  <w:noWrap w:val="0"/>
                  <w:vAlign w:val="center"/>
                </w:tcPr>
                <w:p w14:paraId="3D3572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一季度</w:t>
                  </w:r>
                </w:p>
              </w:tc>
              <w:tc>
                <w:tcPr>
                  <w:tcW w:w="1072" w:type="pct"/>
                  <w:noWrap w:val="0"/>
                  <w:vAlign w:val="center"/>
                </w:tcPr>
                <w:p w14:paraId="44E0FF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rPr>
                    <w:t>每</w:t>
                  </w:r>
                  <w:r>
                    <w:rPr>
                      <w:rFonts w:hint="eastAsia" w:cs="Times New Roman"/>
                      <w:color w:val="auto"/>
                      <w:kern w:val="0"/>
                      <w:sz w:val="21"/>
                      <w:szCs w:val="21"/>
                      <w:highlight w:val="none"/>
                      <w:lang w:val="en-US" w:eastAsia="zh-CN"/>
                    </w:rPr>
                    <w:t>季度</w:t>
                  </w:r>
                  <w:r>
                    <w:rPr>
                      <w:rFonts w:hint="default" w:ascii="Times New Roman" w:hAnsi="Times New Roman" w:eastAsia="宋体" w:cs="Times New Roman"/>
                      <w:color w:val="auto"/>
                      <w:sz w:val="21"/>
                      <w:szCs w:val="21"/>
                      <w:highlight w:val="none"/>
                    </w:rPr>
                    <w:t>更换一次</w:t>
                  </w:r>
                </w:p>
              </w:tc>
              <w:tc>
                <w:tcPr>
                  <w:tcW w:w="1458" w:type="pct"/>
                  <w:noWrap w:val="0"/>
                  <w:vAlign w:val="center"/>
                </w:tcPr>
                <w:p w14:paraId="34682B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3.46</w:t>
                  </w:r>
                </w:p>
              </w:tc>
            </w:tr>
            <w:bookmarkEnd w:id="13"/>
            <w:bookmarkEnd w:id="14"/>
            <w:bookmarkEnd w:id="15"/>
          </w:tbl>
          <w:p w14:paraId="4E112216">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jc w:val="center"/>
              <w:textAlignment w:val="auto"/>
              <w:rPr>
                <w:b/>
                <w:color w:val="auto"/>
                <w:sz w:val="24"/>
                <w:szCs w:val="22"/>
                <w:highlight w:val="none"/>
              </w:rPr>
            </w:pPr>
            <w:r>
              <w:rPr>
                <w:rFonts w:hint="eastAsia" w:ascii="Times New Roman" w:hAnsi="Times New Roman" w:eastAsia="宋体" w:cs="Times New Roman"/>
                <w:b/>
                <w:bCs w:val="0"/>
                <w:color w:val="auto"/>
                <w:kern w:val="2"/>
                <w:sz w:val="21"/>
                <w:szCs w:val="21"/>
                <w:highlight w:val="none"/>
                <w:lang w:val="en-US" w:eastAsia="zh-CN" w:bidi="ar-SA"/>
              </w:rPr>
              <w:t>表4-</w:t>
            </w:r>
            <w:r>
              <w:rPr>
                <w:rFonts w:hint="eastAsia" w:cs="Times New Roman"/>
                <w:b/>
                <w:bCs w:val="0"/>
                <w:color w:val="auto"/>
                <w:kern w:val="2"/>
                <w:sz w:val="21"/>
                <w:szCs w:val="21"/>
                <w:highlight w:val="none"/>
                <w:lang w:val="en-US" w:eastAsia="zh-CN" w:bidi="ar-SA"/>
              </w:rPr>
              <w:t>5</w:t>
            </w:r>
            <w:r>
              <w:rPr>
                <w:rFonts w:hint="eastAsia" w:ascii="Times New Roman" w:hAnsi="Times New Roman" w:eastAsia="宋体" w:cs="Times New Roman"/>
                <w:b/>
                <w:bCs w:val="0"/>
                <w:color w:val="auto"/>
                <w:kern w:val="2"/>
                <w:sz w:val="21"/>
                <w:szCs w:val="21"/>
                <w:highlight w:val="none"/>
                <w:lang w:val="en-US" w:eastAsia="zh-CN" w:bidi="ar-SA"/>
              </w:rPr>
              <w:t xml:space="preserve">  本项目有机废气处理装置与HJ2026-2013</w:t>
            </w:r>
            <w:r>
              <w:rPr>
                <w:rFonts w:hint="eastAsia" w:cs="Times New Roman"/>
                <w:b/>
                <w:bCs w:val="0"/>
                <w:color w:val="auto"/>
                <w:kern w:val="2"/>
                <w:sz w:val="21"/>
                <w:szCs w:val="21"/>
                <w:highlight w:val="none"/>
                <w:lang w:val="en-US" w:eastAsia="zh-CN" w:bidi="ar-SA"/>
              </w:rPr>
              <w:t>等</w:t>
            </w:r>
            <w:r>
              <w:rPr>
                <w:rFonts w:hint="eastAsia" w:ascii="Times New Roman" w:hAnsi="Times New Roman" w:eastAsia="宋体" w:cs="Times New Roman"/>
                <w:b/>
                <w:bCs w:val="0"/>
                <w:color w:val="auto"/>
                <w:kern w:val="2"/>
                <w:sz w:val="21"/>
                <w:szCs w:val="21"/>
                <w:highlight w:val="none"/>
                <w:lang w:val="en-US" w:eastAsia="zh-CN" w:bidi="ar-SA"/>
              </w:rPr>
              <w:t>符合性分析</w:t>
            </w:r>
          </w:p>
          <w:tbl>
            <w:tblPr>
              <w:tblStyle w:val="39"/>
              <w:tblW w:w="4997"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2"/>
              <w:gridCol w:w="2952"/>
              <w:gridCol w:w="3116"/>
              <w:gridCol w:w="1106"/>
            </w:tblGrid>
            <w:tr w14:paraId="0D57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tcBorders>
                    <w:tl2br w:val="nil"/>
                    <w:tr2bl w:val="nil"/>
                  </w:tcBorders>
                  <w:noWrap w:val="0"/>
                  <w:vAlign w:val="center"/>
                </w:tcPr>
                <w:p w14:paraId="2199172C">
                  <w:pPr>
                    <w:keepNext w:val="0"/>
                    <w:keepLines w:val="0"/>
                    <w:suppressLineNumbers w:val="0"/>
                    <w:spacing w:before="0" w:beforeAutospacing="0" w:after="0" w:afterAutospacing="0"/>
                    <w:ind w:left="0" w:right="0"/>
                    <w:jc w:val="center"/>
                    <w:rPr>
                      <w:b/>
                      <w:color w:val="auto"/>
                      <w:szCs w:val="21"/>
                      <w:highlight w:val="none"/>
                    </w:rPr>
                  </w:pPr>
                  <w:r>
                    <w:rPr>
                      <w:b/>
                      <w:color w:val="auto"/>
                      <w:szCs w:val="21"/>
                      <w:highlight w:val="none"/>
                    </w:rPr>
                    <w:t>规范名称</w:t>
                  </w:r>
                </w:p>
              </w:tc>
              <w:tc>
                <w:tcPr>
                  <w:tcW w:w="1626" w:type="pct"/>
                  <w:tcBorders>
                    <w:tl2br w:val="nil"/>
                    <w:tr2bl w:val="nil"/>
                  </w:tcBorders>
                  <w:noWrap w:val="0"/>
                  <w:vAlign w:val="center"/>
                </w:tcPr>
                <w:p w14:paraId="0FF9CE20">
                  <w:pPr>
                    <w:keepNext w:val="0"/>
                    <w:keepLines w:val="0"/>
                    <w:suppressLineNumbers w:val="0"/>
                    <w:spacing w:before="0" w:beforeAutospacing="0" w:after="0" w:afterAutospacing="0"/>
                    <w:ind w:left="0" w:right="0"/>
                    <w:jc w:val="center"/>
                    <w:rPr>
                      <w:b/>
                      <w:color w:val="auto"/>
                      <w:szCs w:val="21"/>
                      <w:highlight w:val="none"/>
                    </w:rPr>
                  </w:pPr>
                  <w:r>
                    <w:rPr>
                      <w:b/>
                      <w:color w:val="auto"/>
                      <w:szCs w:val="21"/>
                      <w:highlight w:val="none"/>
                    </w:rPr>
                    <w:t>规范要求</w:t>
                  </w:r>
                </w:p>
              </w:tc>
              <w:tc>
                <w:tcPr>
                  <w:tcW w:w="1716" w:type="pct"/>
                  <w:tcBorders>
                    <w:tl2br w:val="nil"/>
                    <w:tr2bl w:val="nil"/>
                  </w:tcBorders>
                  <w:noWrap w:val="0"/>
                  <w:vAlign w:val="center"/>
                </w:tcPr>
                <w:p w14:paraId="1F479EBA">
                  <w:pPr>
                    <w:keepNext w:val="0"/>
                    <w:keepLines w:val="0"/>
                    <w:suppressLineNumbers w:val="0"/>
                    <w:spacing w:before="0" w:beforeAutospacing="0" w:after="0" w:afterAutospacing="0"/>
                    <w:ind w:left="0" w:right="0"/>
                    <w:jc w:val="center"/>
                    <w:rPr>
                      <w:b/>
                      <w:color w:val="auto"/>
                      <w:szCs w:val="21"/>
                      <w:highlight w:val="none"/>
                    </w:rPr>
                  </w:pPr>
                  <w:r>
                    <w:rPr>
                      <w:b/>
                      <w:color w:val="auto"/>
                      <w:szCs w:val="21"/>
                      <w:highlight w:val="none"/>
                    </w:rPr>
                    <w:t>本项目</w:t>
                  </w:r>
                </w:p>
              </w:tc>
              <w:tc>
                <w:tcPr>
                  <w:tcW w:w="609" w:type="pct"/>
                  <w:tcBorders>
                    <w:tl2br w:val="nil"/>
                    <w:tr2bl w:val="nil"/>
                  </w:tcBorders>
                  <w:noWrap w:val="0"/>
                  <w:vAlign w:val="center"/>
                </w:tcPr>
                <w:p w14:paraId="1FC64C6D">
                  <w:pPr>
                    <w:keepNext w:val="0"/>
                    <w:keepLines w:val="0"/>
                    <w:suppressLineNumbers w:val="0"/>
                    <w:spacing w:before="0" w:beforeAutospacing="0" w:after="0" w:afterAutospacing="0"/>
                    <w:ind w:left="0" w:right="0"/>
                    <w:jc w:val="center"/>
                    <w:rPr>
                      <w:b/>
                      <w:color w:val="auto"/>
                      <w:szCs w:val="21"/>
                      <w:highlight w:val="none"/>
                    </w:rPr>
                  </w:pPr>
                  <w:r>
                    <w:rPr>
                      <w:b/>
                      <w:color w:val="auto"/>
                      <w:szCs w:val="21"/>
                      <w:highlight w:val="none"/>
                    </w:rPr>
                    <w:t>相符性</w:t>
                  </w:r>
                </w:p>
              </w:tc>
            </w:tr>
            <w:tr w14:paraId="61D3A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vMerge w:val="restart"/>
                  <w:tcBorders>
                    <w:tl2br w:val="nil"/>
                    <w:tr2bl w:val="nil"/>
                  </w:tcBorders>
                  <w:noWrap w:val="0"/>
                  <w:vAlign w:val="center"/>
                </w:tcPr>
                <w:p w14:paraId="1A60CCBD">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吸附法工业有机废气治理工程技术规范（HJ2026-2013）</w:t>
                  </w:r>
                </w:p>
              </w:tc>
              <w:tc>
                <w:tcPr>
                  <w:tcW w:w="1626" w:type="pct"/>
                  <w:tcBorders>
                    <w:tl2br w:val="nil"/>
                    <w:tr2bl w:val="nil"/>
                  </w:tcBorders>
                  <w:noWrap w:val="0"/>
                  <w:vAlign w:val="center"/>
                </w:tcPr>
                <w:p w14:paraId="2DD53C6F">
                  <w:pPr>
                    <w:keepNext w:val="0"/>
                    <w:keepLines w:val="0"/>
                    <w:suppressLineNumbers w:val="0"/>
                    <w:spacing w:before="0" w:beforeAutospacing="0" w:after="0" w:afterAutospacing="0"/>
                    <w:ind w:left="0" w:right="0"/>
                    <w:jc w:val="center"/>
                    <w:rPr>
                      <w:color w:val="auto"/>
                      <w:szCs w:val="21"/>
                      <w:highlight w:val="none"/>
                    </w:rPr>
                  </w:pPr>
                  <w:r>
                    <w:rPr>
                      <w:bCs/>
                      <w:color w:val="auto"/>
                      <w:kern w:val="0"/>
                      <w:szCs w:val="22"/>
                      <w:highlight w:val="none"/>
                    </w:rPr>
                    <w:t>颗粒物浓度超过1mg/m</w:t>
                  </w:r>
                  <w:r>
                    <w:rPr>
                      <w:bCs/>
                      <w:color w:val="auto"/>
                      <w:kern w:val="0"/>
                      <w:szCs w:val="22"/>
                      <w:highlight w:val="none"/>
                      <w:vertAlign w:val="superscript"/>
                    </w:rPr>
                    <w:t>3</w:t>
                  </w:r>
                  <w:r>
                    <w:rPr>
                      <w:bCs/>
                      <w:color w:val="auto"/>
                      <w:kern w:val="0"/>
                      <w:szCs w:val="22"/>
                      <w:highlight w:val="none"/>
                    </w:rPr>
                    <w:t>时，采取过滤或洗涤措施进行预处理。</w:t>
                  </w:r>
                </w:p>
              </w:tc>
              <w:tc>
                <w:tcPr>
                  <w:tcW w:w="1716" w:type="pct"/>
                  <w:tcBorders>
                    <w:tl2br w:val="nil"/>
                    <w:tr2bl w:val="nil"/>
                  </w:tcBorders>
                  <w:noWrap w:val="0"/>
                  <w:vAlign w:val="center"/>
                </w:tcPr>
                <w:p w14:paraId="21E9DDCE">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本项目</w:t>
                  </w:r>
                  <w:r>
                    <w:rPr>
                      <w:rFonts w:hint="eastAsia"/>
                      <w:color w:val="auto"/>
                      <w:szCs w:val="21"/>
                      <w:highlight w:val="none"/>
                      <w:lang w:val="en-US" w:eastAsia="zh-CN"/>
                    </w:rPr>
                    <w:t>有机废气</w:t>
                  </w:r>
                  <w:r>
                    <w:rPr>
                      <w:color w:val="auto"/>
                      <w:szCs w:val="21"/>
                      <w:highlight w:val="none"/>
                    </w:rPr>
                    <w:t>进入</w:t>
                  </w:r>
                  <w:r>
                    <w:rPr>
                      <w:rFonts w:hint="eastAsia"/>
                      <w:color w:val="auto"/>
                      <w:szCs w:val="21"/>
                      <w:highlight w:val="none"/>
                      <w:lang w:eastAsia="zh-CN"/>
                    </w:rPr>
                    <w:t>二级活性炭吸附装置处理的废气中</w:t>
                  </w:r>
                  <w:r>
                    <w:rPr>
                      <w:bCs/>
                      <w:color w:val="auto"/>
                      <w:kern w:val="0"/>
                      <w:szCs w:val="22"/>
                      <w:highlight w:val="none"/>
                    </w:rPr>
                    <w:t>颗粒物浓度</w:t>
                  </w:r>
                  <w:r>
                    <w:rPr>
                      <w:rFonts w:hint="eastAsia"/>
                      <w:bCs/>
                      <w:color w:val="auto"/>
                      <w:kern w:val="0"/>
                      <w:szCs w:val="22"/>
                      <w:highlight w:val="none"/>
                      <w:lang w:val="en-US" w:eastAsia="zh-CN"/>
                    </w:rPr>
                    <w:t>低于</w:t>
                  </w:r>
                  <w:r>
                    <w:rPr>
                      <w:bCs/>
                      <w:color w:val="auto"/>
                      <w:kern w:val="0"/>
                      <w:szCs w:val="22"/>
                      <w:highlight w:val="none"/>
                    </w:rPr>
                    <w:t>1mg/m</w:t>
                  </w:r>
                  <w:r>
                    <w:rPr>
                      <w:bCs/>
                      <w:color w:val="auto"/>
                      <w:kern w:val="0"/>
                      <w:szCs w:val="22"/>
                      <w:highlight w:val="none"/>
                      <w:vertAlign w:val="superscript"/>
                    </w:rPr>
                    <w:t>3</w:t>
                  </w:r>
                  <w:r>
                    <w:rPr>
                      <w:rFonts w:hint="eastAsia"/>
                      <w:color w:val="auto"/>
                      <w:szCs w:val="21"/>
                      <w:highlight w:val="none"/>
                      <w:lang w:eastAsia="zh-CN"/>
                    </w:rPr>
                    <w:t>。</w:t>
                  </w:r>
                </w:p>
              </w:tc>
              <w:tc>
                <w:tcPr>
                  <w:tcW w:w="609" w:type="pct"/>
                  <w:tcBorders>
                    <w:tl2br w:val="nil"/>
                    <w:tr2bl w:val="nil"/>
                  </w:tcBorders>
                  <w:noWrap w:val="0"/>
                  <w:vAlign w:val="center"/>
                </w:tcPr>
                <w:p w14:paraId="4023086F">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符合</w:t>
                  </w:r>
                </w:p>
              </w:tc>
            </w:tr>
            <w:tr w14:paraId="33E6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vMerge w:val="continue"/>
                  <w:tcBorders>
                    <w:tl2br w:val="nil"/>
                    <w:tr2bl w:val="nil"/>
                  </w:tcBorders>
                  <w:noWrap w:val="0"/>
                  <w:vAlign w:val="center"/>
                </w:tcPr>
                <w:p w14:paraId="76B0A7EF">
                  <w:pPr>
                    <w:keepNext w:val="0"/>
                    <w:keepLines w:val="0"/>
                    <w:suppressLineNumbers w:val="0"/>
                    <w:spacing w:before="0" w:beforeAutospacing="0" w:after="0" w:afterAutospacing="0"/>
                    <w:ind w:left="0" w:right="0"/>
                    <w:jc w:val="center"/>
                    <w:rPr>
                      <w:color w:val="auto"/>
                      <w:szCs w:val="21"/>
                      <w:highlight w:val="none"/>
                    </w:rPr>
                  </w:pPr>
                </w:p>
              </w:tc>
              <w:tc>
                <w:tcPr>
                  <w:tcW w:w="1626" w:type="pct"/>
                  <w:tcBorders>
                    <w:tl2br w:val="nil"/>
                    <w:tr2bl w:val="nil"/>
                  </w:tcBorders>
                  <w:noWrap w:val="0"/>
                  <w:vAlign w:val="center"/>
                </w:tcPr>
                <w:p w14:paraId="25E64072">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color w:val="auto"/>
                      <w:szCs w:val="21"/>
                      <w:highlight w:val="none"/>
                    </w:rPr>
                    <w:t>进入吸附</w:t>
                  </w:r>
                  <w:r>
                    <w:rPr>
                      <w:rFonts w:hint="default" w:ascii="Times New Roman" w:hAnsi="Times New Roman" w:cs="Times New Roman"/>
                      <w:color w:val="auto"/>
                      <w:szCs w:val="21"/>
                      <w:highlight w:val="none"/>
                    </w:rPr>
                    <w:t>装置的废气温度宜低于40</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eastAsia="zh-CN"/>
                    </w:rPr>
                    <w:t>。</w:t>
                  </w:r>
                </w:p>
              </w:tc>
              <w:tc>
                <w:tcPr>
                  <w:tcW w:w="1716" w:type="pct"/>
                  <w:tcBorders>
                    <w:tl2br w:val="nil"/>
                    <w:tr2bl w:val="nil"/>
                  </w:tcBorders>
                  <w:noWrap w:val="0"/>
                  <w:vAlign w:val="center"/>
                </w:tcPr>
                <w:p w14:paraId="4EAD2EFA">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color w:val="auto"/>
                      <w:szCs w:val="21"/>
                      <w:highlight w:val="none"/>
                    </w:rPr>
                    <w:t>本项目进入</w:t>
                  </w:r>
                  <w:r>
                    <w:rPr>
                      <w:rFonts w:hint="eastAsia"/>
                      <w:color w:val="auto"/>
                      <w:szCs w:val="21"/>
                      <w:highlight w:val="none"/>
                      <w:lang w:val="en-US" w:eastAsia="zh-CN"/>
                    </w:rPr>
                    <w:t>二级活性炭</w:t>
                  </w:r>
                  <w:r>
                    <w:rPr>
                      <w:color w:val="auto"/>
                      <w:szCs w:val="21"/>
                      <w:highlight w:val="none"/>
                    </w:rPr>
                    <w:t>吸附装置的</w:t>
                  </w:r>
                  <w:r>
                    <w:rPr>
                      <w:rFonts w:hint="eastAsia"/>
                      <w:color w:val="auto"/>
                      <w:szCs w:val="21"/>
                      <w:highlight w:val="none"/>
                      <w:lang w:eastAsia="zh-CN"/>
                    </w:rPr>
                    <w:t>有机</w:t>
                  </w:r>
                  <w:r>
                    <w:rPr>
                      <w:color w:val="auto"/>
                      <w:szCs w:val="21"/>
                      <w:highlight w:val="none"/>
                    </w:rPr>
                    <w:t>废气温度</w:t>
                  </w:r>
                  <w:r>
                    <w:rPr>
                      <w:rFonts w:hint="eastAsia"/>
                      <w:color w:val="auto"/>
                      <w:szCs w:val="21"/>
                      <w:highlight w:val="none"/>
                      <w:lang w:val="en-US" w:eastAsia="zh-CN"/>
                    </w:rPr>
                    <w:t>均可</w:t>
                  </w:r>
                  <w:r>
                    <w:rPr>
                      <w:color w:val="auto"/>
                      <w:szCs w:val="21"/>
                      <w:highlight w:val="none"/>
                    </w:rPr>
                    <w:t>低于40</w:t>
                  </w:r>
                  <w:r>
                    <w:rPr>
                      <w:rFonts w:hint="default" w:ascii="Times New Roman" w:hAnsi="Times New Roman" w:cs="Times New Roman"/>
                      <w:color w:val="auto"/>
                      <w:szCs w:val="21"/>
                      <w:highlight w:val="none"/>
                      <w:lang w:val="en-US" w:eastAsia="zh-CN"/>
                    </w:rPr>
                    <w:t>℃</w:t>
                  </w:r>
                  <w:r>
                    <w:rPr>
                      <w:rFonts w:hint="eastAsia"/>
                      <w:color w:val="auto"/>
                      <w:szCs w:val="21"/>
                      <w:highlight w:val="none"/>
                      <w:lang w:eastAsia="zh-CN"/>
                    </w:rPr>
                    <w:t>。</w:t>
                  </w:r>
                </w:p>
              </w:tc>
              <w:tc>
                <w:tcPr>
                  <w:tcW w:w="609" w:type="pct"/>
                  <w:tcBorders>
                    <w:tl2br w:val="nil"/>
                    <w:tr2bl w:val="nil"/>
                  </w:tcBorders>
                  <w:noWrap w:val="0"/>
                  <w:vAlign w:val="center"/>
                </w:tcPr>
                <w:p w14:paraId="497118E5">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符合</w:t>
                  </w:r>
                </w:p>
              </w:tc>
            </w:tr>
            <w:tr w14:paraId="386E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vMerge w:val="continue"/>
                  <w:tcBorders>
                    <w:tl2br w:val="nil"/>
                    <w:tr2bl w:val="nil"/>
                  </w:tcBorders>
                  <w:noWrap w:val="0"/>
                  <w:vAlign w:val="center"/>
                </w:tcPr>
                <w:p w14:paraId="7F99A297">
                  <w:pPr>
                    <w:keepNext w:val="0"/>
                    <w:keepLines w:val="0"/>
                    <w:suppressLineNumbers w:val="0"/>
                    <w:spacing w:before="0" w:beforeAutospacing="0" w:after="0" w:afterAutospacing="0"/>
                    <w:ind w:left="0" w:right="0"/>
                    <w:jc w:val="center"/>
                    <w:rPr>
                      <w:color w:val="auto"/>
                      <w:szCs w:val="21"/>
                      <w:highlight w:val="none"/>
                    </w:rPr>
                  </w:pPr>
                </w:p>
              </w:tc>
              <w:tc>
                <w:tcPr>
                  <w:tcW w:w="1626" w:type="pct"/>
                  <w:tcBorders>
                    <w:tl2br w:val="nil"/>
                    <w:tr2bl w:val="nil"/>
                  </w:tcBorders>
                  <w:noWrap w:val="0"/>
                  <w:vAlign w:val="center"/>
                </w:tcPr>
                <w:p w14:paraId="195C605A">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color w:val="auto"/>
                      <w:szCs w:val="21"/>
                      <w:highlight w:val="none"/>
                    </w:rPr>
                    <w:t>治理设施的处理能力应根据废气处理量确定，设计风量宜按照最大废气排放量的120%进行设计</w:t>
                  </w:r>
                  <w:r>
                    <w:rPr>
                      <w:rFonts w:hint="eastAsia"/>
                      <w:color w:val="auto"/>
                      <w:szCs w:val="21"/>
                      <w:highlight w:val="none"/>
                      <w:lang w:eastAsia="zh-CN"/>
                    </w:rPr>
                    <w:t>。</w:t>
                  </w:r>
                </w:p>
              </w:tc>
              <w:tc>
                <w:tcPr>
                  <w:tcW w:w="1716" w:type="pct"/>
                  <w:tcBorders>
                    <w:tl2br w:val="nil"/>
                    <w:tr2bl w:val="nil"/>
                  </w:tcBorders>
                  <w:noWrap w:val="0"/>
                  <w:vAlign w:val="center"/>
                </w:tcPr>
                <w:p w14:paraId="420EEE8E">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color w:val="auto"/>
                      <w:szCs w:val="21"/>
                      <w:highlight w:val="none"/>
                    </w:rPr>
                    <w:t>本项目</w:t>
                  </w:r>
                  <w:r>
                    <w:rPr>
                      <w:rFonts w:hint="eastAsia"/>
                      <w:color w:val="auto"/>
                      <w:szCs w:val="21"/>
                      <w:highlight w:val="none"/>
                      <w:lang w:eastAsia="zh-CN"/>
                    </w:rPr>
                    <w:t>有机</w:t>
                  </w:r>
                  <w:r>
                    <w:rPr>
                      <w:color w:val="auto"/>
                      <w:szCs w:val="21"/>
                      <w:highlight w:val="none"/>
                    </w:rPr>
                    <w:t>废气设计风量按处理风量的12</w:t>
                  </w:r>
                  <w:r>
                    <w:rPr>
                      <w:rFonts w:hint="eastAsia"/>
                      <w:color w:val="auto"/>
                      <w:szCs w:val="21"/>
                      <w:highlight w:val="none"/>
                    </w:rPr>
                    <w:t>0</w:t>
                  </w:r>
                  <w:r>
                    <w:rPr>
                      <w:color w:val="auto"/>
                      <w:szCs w:val="21"/>
                      <w:highlight w:val="none"/>
                    </w:rPr>
                    <w:t>%进行设计</w:t>
                  </w:r>
                  <w:r>
                    <w:rPr>
                      <w:rFonts w:hint="eastAsia"/>
                      <w:color w:val="auto"/>
                      <w:szCs w:val="21"/>
                      <w:highlight w:val="none"/>
                      <w:lang w:eastAsia="zh-CN"/>
                    </w:rPr>
                    <w:t>。</w:t>
                  </w:r>
                </w:p>
              </w:tc>
              <w:tc>
                <w:tcPr>
                  <w:tcW w:w="609" w:type="pct"/>
                  <w:tcBorders>
                    <w:tl2br w:val="nil"/>
                    <w:tr2bl w:val="nil"/>
                  </w:tcBorders>
                  <w:noWrap w:val="0"/>
                  <w:vAlign w:val="center"/>
                </w:tcPr>
                <w:p w14:paraId="592557AF">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符合</w:t>
                  </w:r>
                </w:p>
              </w:tc>
            </w:tr>
            <w:tr w14:paraId="6582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vMerge w:val="continue"/>
                  <w:tcBorders>
                    <w:tl2br w:val="nil"/>
                    <w:tr2bl w:val="nil"/>
                  </w:tcBorders>
                  <w:noWrap w:val="0"/>
                  <w:vAlign w:val="center"/>
                </w:tcPr>
                <w:p w14:paraId="657125E3">
                  <w:pPr>
                    <w:keepNext w:val="0"/>
                    <w:keepLines w:val="0"/>
                    <w:suppressLineNumbers w:val="0"/>
                    <w:spacing w:before="0" w:beforeAutospacing="0" w:after="0" w:afterAutospacing="0"/>
                    <w:ind w:left="0" w:right="0"/>
                    <w:jc w:val="center"/>
                    <w:rPr>
                      <w:color w:val="auto"/>
                      <w:szCs w:val="21"/>
                      <w:highlight w:val="none"/>
                    </w:rPr>
                  </w:pPr>
                </w:p>
              </w:tc>
              <w:tc>
                <w:tcPr>
                  <w:tcW w:w="1626" w:type="pct"/>
                  <w:tcBorders>
                    <w:tl2br w:val="nil"/>
                    <w:tr2bl w:val="nil"/>
                  </w:tcBorders>
                  <w:shd w:val="clear" w:color="auto" w:fill="auto"/>
                  <w:noWrap w:val="0"/>
                  <w:vAlign w:val="center"/>
                </w:tcPr>
                <w:p w14:paraId="2774F40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吸附装置的净化效率不得低于90%</w:t>
                  </w:r>
                  <w:r>
                    <w:rPr>
                      <w:rFonts w:hint="eastAsia"/>
                      <w:color w:val="auto"/>
                      <w:szCs w:val="21"/>
                      <w:highlight w:val="none"/>
                      <w:lang w:eastAsia="zh-CN"/>
                    </w:rPr>
                    <w:t>。</w:t>
                  </w:r>
                </w:p>
              </w:tc>
              <w:tc>
                <w:tcPr>
                  <w:tcW w:w="1716" w:type="pct"/>
                  <w:tcBorders>
                    <w:tl2br w:val="nil"/>
                    <w:tr2bl w:val="nil"/>
                  </w:tcBorders>
                  <w:shd w:val="clear" w:color="auto" w:fill="auto"/>
                  <w:noWrap w:val="0"/>
                  <w:vAlign w:val="center"/>
                </w:tcPr>
                <w:p w14:paraId="30A1B93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二级</w:t>
                  </w:r>
                  <w:r>
                    <w:rPr>
                      <w:rFonts w:hint="eastAsia"/>
                      <w:color w:val="auto"/>
                      <w:szCs w:val="21"/>
                      <w:highlight w:val="none"/>
                      <w:lang w:val="en-US" w:eastAsia="zh-CN"/>
                    </w:rPr>
                    <w:t>蜂窝</w:t>
                  </w:r>
                  <w:r>
                    <w:rPr>
                      <w:rFonts w:hint="eastAsia"/>
                      <w:color w:val="auto"/>
                      <w:szCs w:val="21"/>
                      <w:highlight w:val="none"/>
                    </w:rPr>
                    <w:t>活性炭</w:t>
                  </w:r>
                  <w:r>
                    <w:rPr>
                      <w:color w:val="auto"/>
                      <w:szCs w:val="21"/>
                      <w:highlight w:val="none"/>
                    </w:rPr>
                    <w:t>吸附装置的净化效率大于90%</w:t>
                  </w:r>
                  <w:r>
                    <w:rPr>
                      <w:rFonts w:hint="eastAsia"/>
                      <w:color w:val="auto"/>
                      <w:szCs w:val="21"/>
                      <w:highlight w:val="none"/>
                      <w:lang w:eastAsia="zh-CN"/>
                    </w:rPr>
                    <w:t>。</w:t>
                  </w:r>
                </w:p>
              </w:tc>
              <w:tc>
                <w:tcPr>
                  <w:tcW w:w="609" w:type="pct"/>
                  <w:tcBorders>
                    <w:tl2br w:val="nil"/>
                    <w:tr2bl w:val="nil"/>
                  </w:tcBorders>
                  <w:shd w:val="clear" w:color="auto" w:fill="auto"/>
                  <w:noWrap w:val="0"/>
                  <w:vAlign w:val="center"/>
                </w:tcPr>
                <w:p w14:paraId="7A812078">
                  <w:pPr>
                    <w:keepNext w:val="0"/>
                    <w:keepLines w:val="0"/>
                    <w:suppressLineNumbers w:val="0"/>
                    <w:spacing w:before="0" w:beforeAutospacing="0" w:after="0" w:afterAutospacing="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符合</w:t>
                  </w:r>
                </w:p>
              </w:tc>
            </w:tr>
            <w:tr w14:paraId="36CE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vMerge w:val="continue"/>
                  <w:tcBorders>
                    <w:tl2br w:val="nil"/>
                    <w:tr2bl w:val="nil"/>
                  </w:tcBorders>
                  <w:noWrap w:val="0"/>
                  <w:vAlign w:val="center"/>
                </w:tcPr>
                <w:p w14:paraId="3845379A">
                  <w:pPr>
                    <w:keepNext w:val="0"/>
                    <w:keepLines w:val="0"/>
                    <w:suppressLineNumbers w:val="0"/>
                    <w:spacing w:before="0" w:beforeAutospacing="0" w:after="0" w:afterAutospacing="0"/>
                    <w:ind w:left="0" w:right="0"/>
                    <w:jc w:val="center"/>
                    <w:rPr>
                      <w:color w:val="auto"/>
                      <w:szCs w:val="21"/>
                      <w:highlight w:val="none"/>
                    </w:rPr>
                  </w:pPr>
                </w:p>
              </w:tc>
              <w:tc>
                <w:tcPr>
                  <w:tcW w:w="1626" w:type="pct"/>
                  <w:tcBorders>
                    <w:tl2br w:val="nil"/>
                    <w:tr2bl w:val="nil"/>
                  </w:tcBorders>
                  <w:noWrap w:val="0"/>
                  <w:vAlign w:val="center"/>
                </w:tcPr>
                <w:p w14:paraId="5045883A">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color w:val="auto"/>
                      <w:szCs w:val="21"/>
                      <w:highlight w:val="none"/>
                    </w:rPr>
                    <w:t>当废气中有机物浓度高时且易于冷凝时，宜先采用冷凝工艺对废气中有机物进行部分回收后，再进行吸附净化</w:t>
                  </w:r>
                  <w:r>
                    <w:rPr>
                      <w:rFonts w:hint="eastAsia"/>
                      <w:color w:val="auto"/>
                      <w:szCs w:val="21"/>
                      <w:highlight w:val="none"/>
                      <w:lang w:eastAsia="zh-CN"/>
                    </w:rPr>
                    <w:t>。</w:t>
                  </w:r>
                </w:p>
              </w:tc>
              <w:tc>
                <w:tcPr>
                  <w:tcW w:w="1716" w:type="pct"/>
                  <w:tcBorders>
                    <w:tl2br w:val="nil"/>
                    <w:tr2bl w:val="nil"/>
                  </w:tcBorders>
                  <w:noWrap w:val="0"/>
                  <w:vAlign w:val="center"/>
                </w:tcPr>
                <w:p w14:paraId="3C4E7911">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s="Times New Roman"/>
                      <w:color w:val="auto"/>
                      <w:szCs w:val="21"/>
                      <w:highlight w:val="none"/>
                      <w:lang w:val="en-US" w:eastAsia="zh-CN"/>
                    </w:rPr>
                    <w:t>本项目有机废气产生浓度</w:t>
                  </w:r>
                  <w:r>
                    <w:rPr>
                      <w:rFonts w:hint="default" w:ascii="Times New Roman" w:hAnsi="Times New Roman" w:cs="Times New Roman"/>
                      <w:color w:val="auto"/>
                      <w:szCs w:val="21"/>
                      <w:highlight w:val="none"/>
                    </w:rPr>
                    <w:t>。</w:t>
                  </w:r>
                </w:p>
              </w:tc>
              <w:tc>
                <w:tcPr>
                  <w:tcW w:w="609" w:type="pct"/>
                  <w:tcBorders>
                    <w:tl2br w:val="nil"/>
                    <w:tr2bl w:val="nil"/>
                  </w:tcBorders>
                  <w:noWrap w:val="0"/>
                  <w:vAlign w:val="center"/>
                </w:tcPr>
                <w:p w14:paraId="46E0226A">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符合</w:t>
                  </w:r>
                </w:p>
              </w:tc>
            </w:tr>
            <w:tr w14:paraId="13D9F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vMerge w:val="continue"/>
                  <w:tcBorders>
                    <w:tl2br w:val="nil"/>
                    <w:tr2bl w:val="nil"/>
                  </w:tcBorders>
                  <w:noWrap w:val="0"/>
                  <w:vAlign w:val="center"/>
                </w:tcPr>
                <w:p w14:paraId="42361B27">
                  <w:pPr>
                    <w:keepNext w:val="0"/>
                    <w:keepLines w:val="0"/>
                    <w:suppressLineNumbers w:val="0"/>
                    <w:spacing w:before="0" w:beforeAutospacing="0" w:after="0" w:afterAutospacing="0"/>
                    <w:ind w:left="0" w:right="0"/>
                    <w:jc w:val="center"/>
                    <w:rPr>
                      <w:color w:val="auto"/>
                      <w:szCs w:val="21"/>
                      <w:highlight w:val="none"/>
                    </w:rPr>
                  </w:pPr>
                </w:p>
              </w:tc>
              <w:tc>
                <w:tcPr>
                  <w:tcW w:w="1626" w:type="pct"/>
                  <w:tcBorders>
                    <w:tl2br w:val="nil"/>
                    <w:tr2bl w:val="nil"/>
                  </w:tcBorders>
                  <w:noWrap w:val="0"/>
                  <w:vAlign w:val="center"/>
                </w:tcPr>
                <w:p w14:paraId="6CDC5130">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固定床吸附装置吸附层气体流速应根据吸附剂形态确定，采用颗粒状吸附剂时，气体流速宜低于0.6m/s，采用纤维状吸附剂时，气体流速宜低于0.15m/s，采用蜂窝状吸附剂时，气体流速宜低于1.2m/s</w:t>
                  </w:r>
                  <w:r>
                    <w:rPr>
                      <w:rFonts w:hint="eastAsia"/>
                      <w:color w:val="auto"/>
                      <w:szCs w:val="21"/>
                      <w:highlight w:val="none"/>
                    </w:rPr>
                    <w:t>。</w:t>
                  </w:r>
                </w:p>
              </w:tc>
              <w:tc>
                <w:tcPr>
                  <w:tcW w:w="1716" w:type="pct"/>
                  <w:tcBorders>
                    <w:tl2br w:val="nil"/>
                    <w:tr2bl w:val="nil"/>
                  </w:tcBorders>
                  <w:noWrap w:val="0"/>
                  <w:vAlign w:val="center"/>
                </w:tcPr>
                <w:p w14:paraId="7650A3CC">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default" w:ascii="Times New Roman" w:hAnsi="Times New Roman" w:cs="Times New Roman"/>
                      <w:color w:val="auto"/>
                      <w:szCs w:val="21"/>
                      <w:highlight w:val="none"/>
                    </w:rPr>
                    <w:t>本项目采用二级</w:t>
                  </w:r>
                  <w:r>
                    <w:rPr>
                      <w:rFonts w:hint="eastAsia" w:cs="Times New Roman"/>
                      <w:color w:val="auto"/>
                      <w:szCs w:val="21"/>
                      <w:highlight w:val="none"/>
                      <w:lang w:val="en-US" w:eastAsia="zh-CN"/>
                    </w:rPr>
                    <w:t>蜂窝</w:t>
                  </w:r>
                  <w:r>
                    <w:rPr>
                      <w:rFonts w:hint="default" w:ascii="Times New Roman" w:hAnsi="Times New Roman" w:cs="Times New Roman"/>
                      <w:color w:val="auto"/>
                      <w:szCs w:val="21"/>
                      <w:highlight w:val="none"/>
                    </w:rPr>
                    <w:t>活性炭吸附处理，有机废气设计排风量为</w:t>
                  </w:r>
                  <w:r>
                    <w:rPr>
                      <w:rFonts w:hint="eastAsia" w:cs="Times New Roman"/>
                      <w:color w:val="auto"/>
                      <w:szCs w:val="21"/>
                      <w:highlight w:val="none"/>
                      <w:lang w:val="en-US" w:eastAsia="zh-CN"/>
                    </w:rPr>
                    <w:t>10</w:t>
                  </w:r>
                  <w:r>
                    <w:rPr>
                      <w:rFonts w:hint="eastAsia" w:ascii="Times New Roman" w:hAnsi="Times New Roman" w:cs="Times New Roman"/>
                      <w:color w:val="auto"/>
                      <w:szCs w:val="21"/>
                      <w:highlight w:val="none"/>
                      <w:lang w:val="en-US" w:eastAsia="zh-CN"/>
                    </w:rPr>
                    <w:t>000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/h（</w:t>
                  </w:r>
                  <w:r>
                    <w:rPr>
                      <w:rFonts w:hint="eastAsia" w:cs="Times New Roman"/>
                      <w:color w:val="auto"/>
                      <w:szCs w:val="21"/>
                      <w:highlight w:val="none"/>
                      <w:lang w:val="en-US" w:eastAsia="zh-CN"/>
                    </w:rPr>
                    <w:t>2.78</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/s），废气通过的横切面积设</w:t>
                  </w:r>
                  <w:r>
                    <w:rPr>
                      <w:rFonts w:hint="eastAsia" w:ascii="Times New Roman" w:hAnsi="Times New Roman" w:cs="Times New Roman"/>
                      <w:color w:val="auto"/>
                      <w:szCs w:val="21"/>
                      <w:highlight w:val="none"/>
                      <w:lang w:val="en-US" w:eastAsia="zh-CN"/>
                    </w:rPr>
                    <w:t>大于</w:t>
                  </w:r>
                  <w:r>
                    <w:rPr>
                      <w:rFonts w:hint="eastAsia" w:cs="Times New Roman"/>
                      <w:color w:val="auto"/>
                      <w:szCs w:val="21"/>
                      <w:highlight w:val="none"/>
                      <w:lang w:val="en-US" w:eastAsia="zh-CN"/>
                    </w:rPr>
                    <w:t>2.4</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，则吸附层气体流速</w:t>
                  </w:r>
                  <w:r>
                    <w:rPr>
                      <w:rFonts w:hint="eastAsia"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（2.78</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2.4）</w:t>
                  </w:r>
                  <w:r>
                    <w:rPr>
                      <w:rFonts w:hint="default" w:ascii="Times New Roman" w:hAnsi="Times New Roman" w:cs="Times New Roman"/>
                      <w:color w:val="auto"/>
                      <w:szCs w:val="21"/>
                      <w:highlight w:val="none"/>
                    </w:rPr>
                    <w:t>m/s=</w:t>
                  </w:r>
                  <w:r>
                    <w:rPr>
                      <w:rFonts w:hint="eastAsia" w:cs="Times New Roman"/>
                      <w:color w:val="auto"/>
                      <w:szCs w:val="21"/>
                      <w:highlight w:val="none"/>
                      <w:lang w:val="en-US" w:eastAsia="zh-CN"/>
                    </w:rPr>
                    <w:t>1.16</w:t>
                  </w:r>
                  <w:r>
                    <w:rPr>
                      <w:rFonts w:hint="default" w:ascii="Times New Roman" w:hAnsi="Times New Roman" w:cs="Times New Roman"/>
                      <w:color w:val="auto"/>
                      <w:szCs w:val="21"/>
                      <w:highlight w:val="none"/>
                    </w:rPr>
                    <w:t>m/s＜</w:t>
                  </w:r>
                  <w:r>
                    <w:rPr>
                      <w:rFonts w:hint="eastAsia" w:cs="Times New Roman"/>
                      <w:color w:val="auto"/>
                      <w:szCs w:val="21"/>
                      <w:highlight w:val="none"/>
                      <w:lang w:val="en-US" w:eastAsia="zh-CN"/>
                    </w:rPr>
                    <w:t>1.2</w:t>
                  </w:r>
                  <w:r>
                    <w:rPr>
                      <w:rFonts w:hint="default" w:ascii="Times New Roman" w:hAnsi="Times New Roman" w:cs="Times New Roman"/>
                      <w:color w:val="auto"/>
                      <w:szCs w:val="21"/>
                      <w:highlight w:val="none"/>
                    </w:rPr>
                    <w:t>m/s，满足要求</w:t>
                  </w:r>
                  <w:r>
                    <w:rPr>
                      <w:rFonts w:hint="eastAsia"/>
                      <w:color w:val="auto"/>
                      <w:szCs w:val="22"/>
                      <w:highlight w:val="none"/>
                      <w:lang w:eastAsia="zh-CN"/>
                    </w:rPr>
                    <w:t>。</w:t>
                  </w:r>
                </w:p>
              </w:tc>
              <w:tc>
                <w:tcPr>
                  <w:tcW w:w="609" w:type="pct"/>
                  <w:tcBorders>
                    <w:tl2br w:val="nil"/>
                    <w:tr2bl w:val="nil"/>
                  </w:tcBorders>
                  <w:noWrap w:val="0"/>
                  <w:vAlign w:val="center"/>
                </w:tcPr>
                <w:p w14:paraId="781D0127">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符合</w:t>
                  </w:r>
                </w:p>
              </w:tc>
            </w:tr>
            <w:tr w14:paraId="12A9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tcBorders>
                    <w:tl2br w:val="nil"/>
                    <w:tr2bl w:val="nil"/>
                  </w:tcBorders>
                  <w:noWrap w:val="0"/>
                  <w:vAlign w:val="center"/>
                </w:tcPr>
                <w:p w14:paraId="19D20C3F">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《2020年挥发性有机物治理攻坚方案》</w:t>
                  </w:r>
                </w:p>
              </w:tc>
              <w:tc>
                <w:tcPr>
                  <w:tcW w:w="1626" w:type="pct"/>
                  <w:tcBorders>
                    <w:tl2br w:val="nil"/>
                    <w:tr2bl w:val="nil"/>
                  </w:tcBorders>
                  <w:noWrap w:val="0"/>
                  <w:vAlign w:val="center"/>
                </w:tcPr>
                <w:p w14:paraId="52253C4D">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rPr>
                    <w:t>采用活性炭吸附技术的，应选择碘值不低于800毫克/克的活性炭，并按设计要求足量添加、及时更换</w:t>
                  </w:r>
                  <w:r>
                    <w:rPr>
                      <w:rFonts w:hint="eastAsia"/>
                      <w:color w:val="auto"/>
                      <w:szCs w:val="21"/>
                      <w:highlight w:val="none"/>
                      <w:lang w:eastAsia="zh-CN"/>
                    </w:rPr>
                    <w:t>。</w:t>
                  </w:r>
                </w:p>
              </w:tc>
              <w:tc>
                <w:tcPr>
                  <w:tcW w:w="1716" w:type="pct"/>
                  <w:tcBorders>
                    <w:tl2br w:val="nil"/>
                    <w:tr2bl w:val="nil"/>
                  </w:tcBorders>
                  <w:noWrap w:val="0"/>
                  <w:vAlign w:val="center"/>
                </w:tcPr>
                <w:p w14:paraId="025972DF">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rPr>
                    <w:t>本项目采用碘值不低于800mg/g的</w:t>
                  </w:r>
                  <w:r>
                    <w:rPr>
                      <w:rFonts w:hint="eastAsia"/>
                      <w:color w:val="auto"/>
                      <w:szCs w:val="21"/>
                      <w:highlight w:val="none"/>
                      <w:lang w:val="en-US" w:eastAsia="zh-CN"/>
                    </w:rPr>
                    <w:t>蜂窝</w:t>
                  </w:r>
                  <w:r>
                    <w:rPr>
                      <w:rFonts w:hint="eastAsia"/>
                      <w:color w:val="auto"/>
                      <w:szCs w:val="21"/>
                      <w:highlight w:val="none"/>
                    </w:rPr>
                    <w:t>活性炭吸附处理有机废气</w:t>
                  </w:r>
                  <w:r>
                    <w:rPr>
                      <w:rFonts w:hint="eastAsia"/>
                      <w:color w:val="auto"/>
                      <w:szCs w:val="21"/>
                      <w:highlight w:val="none"/>
                      <w:lang w:eastAsia="zh-CN"/>
                    </w:rPr>
                    <w:t>，</w:t>
                  </w:r>
                  <w:r>
                    <w:rPr>
                      <w:rFonts w:hint="eastAsia"/>
                      <w:color w:val="auto"/>
                      <w:szCs w:val="21"/>
                      <w:highlight w:val="none"/>
                    </w:rPr>
                    <w:t>按设计要求足量添加、及时更换</w:t>
                  </w:r>
                  <w:r>
                    <w:rPr>
                      <w:rFonts w:hint="eastAsia"/>
                      <w:color w:val="auto"/>
                      <w:szCs w:val="21"/>
                      <w:highlight w:val="none"/>
                      <w:lang w:eastAsia="zh-CN"/>
                    </w:rPr>
                    <w:t>。</w:t>
                  </w:r>
                </w:p>
              </w:tc>
              <w:tc>
                <w:tcPr>
                  <w:tcW w:w="609" w:type="pct"/>
                  <w:tcBorders>
                    <w:tl2br w:val="nil"/>
                    <w:tr2bl w:val="nil"/>
                  </w:tcBorders>
                  <w:noWrap w:val="0"/>
                  <w:vAlign w:val="center"/>
                </w:tcPr>
                <w:p w14:paraId="6CDD9690">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符合</w:t>
                  </w:r>
                </w:p>
              </w:tc>
            </w:tr>
          </w:tbl>
          <w:p w14:paraId="2825CF76">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jc w:val="left"/>
              <w:textAlignment w:val="auto"/>
              <w:rPr>
                <w:rFonts w:hint="default"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1.5</w:t>
            </w:r>
            <w:r>
              <w:rPr>
                <w:rFonts w:hint="default" w:ascii="Times New Roman" w:hAnsi="Times New Roman" w:cs="Times New Roman"/>
                <w:b/>
                <w:bCs/>
                <w:color w:val="auto"/>
                <w:sz w:val="24"/>
                <w:szCs w:val="24"/>
                <w:highlight w:val="none"/>
              </w:rPr>
              <w:t>无组织废气污染防治措施</w:t>
            </w:r>
          </w:p>
          <w:p w14:paraId="7D8620E9">
            <w:pPr>
              <w:pStyle w:val="15"/>
              <w:keepNext w:val="0"/>
              <w:keepLines w:val="0"/>
              <w:suppressLineNumbers w:val="0"/>
              <w:spacing w:before="0" w:beforeAutospacing="0" w:after="0" w:afterAutospacing="0" w:line="360" w:lineRule="auto"/>
              <w:ind w:left="0" w:leftChars="0" w:right="0" w:firstLine="480" w:firstLineChars="200"/>
              <w:rPr>
                <w:rFonts w:ascii="Times New Roman" w:hAnsi="Times New Roman"/>
                <w:color w:val="auto"/>
                <w:sz w:val="24"/>
                <w:szCs w:val="24"/>
                <w:highlight w:val="none"/>
              </w:rPr>
            </w:pPr>
            <w:r>
              <w:rPr>
                <w:rFonts w:hint="default" w:ascii="Times New Roman" w:hAnsi="Times New Roman" w:cs="Times New Roman"/>
                <w:color w:val="auto"/>
                <w:sz w:val="24"/>
                <w:szCs w:val="24"/>
                <w:highlight w:val="none"/>
                <w:lang w:val="en-US" w:eastAsia="zh-CN"/>
              </w:rPr>
              <w:t>项目生产过程中使用的液态物料如：</w:t>
            </w:r>
            <w:r>
              <w:rPr>
                <w:rFonts w:hint="eastAsia" w:cs="Times New Roman"/>
                <w:color w:val="auto"/>
                <w:sz w:val="24"/>
                <w:szCs w:val="24"/>
                <w:highlight w:val="none"/>
                <w:lang w:val="en-US" w:eastAsia="zh-CN"/>
              </w:rPr>
              <w:t>DOP、聚氨酯原液</w:t>
            </w:r>
            <w:r>
              <w:rPr>
                <w:rFonts w:hint="default" w:ascii="Times New Roman" w:hAnsi="Times New Roman" w:cs="Times New Roman"/>
                <w:color w:val="auto"/>
                <w:sz w:val="24"/>
                <w:szCs w:val="24"/>
                <w:highlight w:val="none"/>
                <w:lang w:val="en-US" w:eastAsia="zh-CN"/>
              </w:rPr>
              <w:t>等储存、运输过程均采取密闭包装桶包装</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生产时</w:t>
            </w:r>
            <w:r>
              <w:rPr>
                <w:rFonts w:hint="eastAsia" w:cs="Times New Roman"/>
                <w:color w:val="auto"/>
                <w:sz w:val="24"/>
                <w:szCs w:val="24"/>
                <w:highlight w:val="none"/>
                <w:lang w:val="en-US" w:eastAsia="zh-CN"/>
              </w:rPr>
              <w:t>采用密闭管道抽料至设备</w:t>
            </w:r>
            <w:r>
              <w:rPr>
                <w:rFonts w:hint="default" w:ascii="Times New Roman" w:hAnsi="Times New Roman" w:cs="Times New Roman"/>
                <w:color w:val="auto"/>
                <w:sz w:val="24"/>
                <w:szCs w:val="24"/>
                <w:highlight w:val="none"/>
                <w:lang w:val="en-US" w:eastAsia="zh-CN"/>
              </w:rPr>
              <w:t>，不用时加盖封口保持密闭状态</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投料间、充绒间均密闭设置</w:t>
            </w:r>
            <w:r>
              <w:rPr>
                <w:rFonts w:hint="default" w:ascii="Times New Roman" w:hAnsi="Times New Roman" w:cs="Times New Roman"/>
                <w:color w:val="auto"/>
                <w:sz w:val="24"/>
                <w:szCs w:val="24"/>
                <w:highlight w:val="none"/>
                <w:lang w:val="en-US" w:eastAsia="zh-CN"/>
              </w:rPr>
              <w:t>，提高了废气收集效率，尽可能减少了无组织排放</w:t>
            </w:r>
            <w:r>
              <w:rPr>
                <w:rFonts w:hint="eastAsia" w:cs="Times New Roman"/>
                <w:color w:val="auto"/>
                <w:sz w:val="24"/>
                <w:szCs w:val="24"/>
                <w:highlight w:val="none"/>
                <w:lang w:val="en-US" w:eastAsia="zh-CN"/>
              </w:rPr>
              <w:t>。以上措施</w:t>
            </w:r>
            <w:r>
              <w:rPr>
                <w:rFonts w:hint="default" w:ascii="Times New Roman" w:hAnsi="Times New Roman" w:cs="Times New Roman"/>
                <w:color w:val="auto"/>
                <w:sz w:val="24"/>
                <w:szCs w:val="24"/>
                <w:highlight w:val="none"/>
                <w:lang w:val="en-US" w:eastAsia="zh-CN"/>
              </w:rPr>
              <w:t>能够保证无组织排放的非甲烷总烃</w:t>
            </w:r>
            <w:r>
              <w:rPr>
                <w:rFonts w:hint="eastAsia" w:cs="Times New Roman"/>
                <w:color w:val="auto"/>
                <w:sz w:val="24"/>
                <w:szCs w:val="24"/>
                <w:highlight w:val="none"/>
                <w:lang w:val="en-US" w:eastAsia="zh-CN"/>
              </w:rPr>
              <w:t>和颗粒物</w:t>
            </w:r>
            <w:r>
              <w:rPr>
                <w:rFonts w:hint="default" w:ascii="Times New Roman" w:hAnsi="Times New Roman" w:cs="Times New Roman"/>
                <w:color w:val="auto"/>
                <w:sz w:val="24"/>
                <w:szCs w:val="24"/>
                <w:highlight w:val="none"/>
                <w:lang w:val="en-US" w:eastAsia="zh-CN"/>
              </w:rPr>
              <w:t>满</w:t>
            </w:r>
            <w:r>
              <w:rPr>
                <w:rFonts w:hint="default" w:ascii="Times New Roman" w:hAnsi="Times New Roman" w:eastAsia="宋体" w:cs="Times New Roman"/>
                <w:color w:val="auto"/>
                <w:sz w:val="24"/>
                <w:szCs w:val="24"/>
                <w:highlight w:val="none"/>
                <w:lang w:val="en-US" w:eastAsia="zh-CN"/>
              </w:rPr>
              <w:t>足</w:t>
            </w:r>
            <w:r>
              <w:rPr>
                <w:rFonts w:hint="eastAsia" w:ascii="Times New Roman" w:hAnsi="Times New Roman" w:eastAsia="宋体" w:cs="Times New Roman"/>
                <w:color w:val="auto"/>
                <w:sz w:val="24"/>
                <w:szCs w:val="24"/>
                <w:highlight w:val="none"/>
                <w:lang w:val="en-US" w:eastAsia="zh-CN"/>
              </w:rPr>
              <w:t>厂区内、</w:t>
            </w:r>
            <w:r>
              <w:rPr>
                <w:rFonts w:hint="default" w:ascii="Times New Roman" w:hAnsi="Times New Roman" w:cs="Times New Roman"/>
                <w:color w:val="auto"/>
                <w:sz w:val="24"/>
                <w:szCs w:val="24"/>
                <w:highlight w:val="none"/>
                <w:lang w:val="en-US" w:eastAsia="zh-CN"/>
              </w:rPr>
              <w:t>非甲烷总烃</w:t>
            </w:r>
            <w:r>
              <w:rPr>
                <w:rFonts w:hint="eastAsia" w:ascii="Times New Roman" w:hAnsi="Times New Roman" w:eastAsia="宋体" w:cs="Times New Roman"/>
                <w:color w:val="auto"/>
                <w:sz w:val="24"/>
                <w:szCs w:val="24"/>
                <w:highlight w:val="none"/>
                <w:lang w:val="en-US" w:eastAsia="zh-CN"/>
              </w:rPr>
              <w:t>厂界监控点</w:t>
            </w:r>
            <w:r>
              <w:rPr>
                <w:rFonts w:hint="default" w:ascii="Times New Roman" w:hAnsi="Times New Roman" w:eastAsia="宋体" w:cs="Times New Roman"/>
                <w:color w:val="auto"/>
                <w:sz w:val="24"/>
                <w:szCs w:val="24"/>
                <w:highlight w:val="none"/>
                <w:lang w:val="en-US" w:eastAsia="zh-CN"/>
              </w:rPr>
              <w:t>限值要求。</w:t>
            </w:r>
          </w:p>
          <w:p w14:paraId="4717E8E0">
            <w:pPr>
              <w:keepNext w:val="0"/>
              <w:keepLines w:val="0"/>
              <w:suppressLineNumbers w:val="0"/>
              <w:adjustRightInd w:val="0"/>
              <w:spacing w:before="0" w:beforeAutospacing="0" w:after="0" w:afterAutospacing="0" w:line="360" w:lineRule="auto"/>
              <w:ind w:left="0" w:right="0"/>
              <w:jc w:val="left"/>
              <w:rPr>
                <w:rFonts w:hint="default" w:ascii="Times New Roman" w:hAnsi="Times New Roman" w:eastAsia="宋体" w:cs="Times New Roman"/>
                <w:b/>
                <w:color w:val="auto"/>
                <w:kern w:val="0"/>
                <w:sz w:val="24"/>
                <w:szCs w:val="22"/>
                <w:highlight w:val="none"/>
                <w:lang w:eastAsia="zh-CN"/>
              </w:rPr>
            </w:pPr>
            <w:r>
              <w:rPr>
                <w:rFonts w:hint="default" w:ascii="Times New Roman" w:hAnsi="Times New Roman" w:eastAsia="宋体" w:cs="Times New Roman"/>
                <w:b/>
                <w:color w:val="auto"/>
                <w:kern w:val="0"/>
                <w:sz w:val="24"/>
                <w:szCs w:val="22"/>
                <w:highlight w:val="none"/>
              </w:rPr>
              <w:t>1.</w:t>
            </w:r>
            <w:r>
              <w:rPr>
                <w:rFonts w:hint="eastAsia" w:cs="Times New Roman"/>
                <w:b/>
                <w:color w:val="auto"/>
                <w:kern w:val="0"/>
                <w:sz w:val="24"/>
                <w:szCs w:val="22"/>
                <w:highlight w:val="none"/>
                <w:lang w:val="en-US" w:eastAsia="zh-CN"/>
              </w:rPr>
              <w:t>6</w:t>
            </w:r>
            <w:r>
              <w:rPr>
                <w:rFonts w:hint="default" w:ascii="Times New Roman" w:hAnsi="Times New Roman" w:eastAsia="宋体" w:cs="Times New Roman"/>
                <w:b/>
                <w:color w:val="auto"/>
                <w:kern w:val="0"/>
                <w:sz w:val="24"/>
                <w:szCs w:val="22"/>
                <w:highlight w:val="none"/>
              </w:rPr>
              <w:t>废气</w:t>
            </w:r>
            <w:r>
              <w:rPr>
                <w:rFonts w:hint="default" w:ascii="Times New Roman" w:hAnsi="Times New Roman" w:eastAsia="宋体" w:cs="Times New Roman"/>
                <w:b/>
                <w:color w:val="auto"/>
                <w:kern w:val="0"/>
                <w:sz w:val="24"/>
                <w:szCs w:val="22"/>
                <w:highlight w:val="none"/>
                <w:lang w:eastAsia="zh-CN"/>
              </w:rPr>
              <w:t>污染物自行</w:t>
            </w:r>
            <w:r>
              <w:rPr>
                <w:rFonts w:hint="default" w:ascii="Times New Roman" w:hAnsi="Times New Roman" w:eastAsia="宋体" w:cs="Times New Roman"/>
                <w:b/>
                <w:color w:val="auto"/>
                <w:kern w:val="0"/>
                <w:sz w:val="24"/>
                <w:szCs w:val="22"/>
                <w:highlight w:val="none"/>
              </w:rPr>
              <w:t>监测</w:t>
            </w:r>
            <w:r>
              <w:rPr>
                <w:rFonts w:hint="default" w:ascii="Times New Roman" w:hAnsi="Times New Roman" w:eastAsia="宋体" w:cs="Times New Roman"/>
                <w:b/>
                <w:color w:val="auto"/>
                <w:kern w:val="0"/>
                <w:sz w:val="24"/>
                <w:szCs w:val="22"/>
                <w:highlight w:val="none"/>
                <w:lang w:eastAsia="zh-CN"/>
              </w:rPr>
              <w:t>计划</w:t>
            </w:r>
          </w:p>
          <w:p w14:paraId="2E2F6DE5">
            <w:pPr>
              <w:keepNext w:val="0"/>
              <w:keepLines w:val="0"/>
              <w:suppressLineNumbers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2"/>
                <w:highlight w:val="none"/>
              </w:rPr>
            </w:pPr>
            <w:r>
              <w:rPr>
                <w:rFonts w:hint="default" w:ascii="Times New Roman" w:hAnsi="Times New Roman" w:eastAsia="宋体" w:cs="Times New Roman"/>
                <w:color w:val="auto"/>
                <w:sz w:val="24"/>
                <w:szCs w:val="22"/>
                <w:highlight w:val="none"/>
              </w:rPr>
              <w:t>本项目监测</w:t>
            </w:r>
            <w:r>
              <w:rPr>
                <w:rFonts w:hint="default" w:ascii="Times New Roman" w:hAnsi="Times New Roman" w:eastAsia="宋体" w:cs="Times New Roman"/>
                <w:color w:val="auto"/>
                <w:sz w:val="24"/>
                <w:szCs w:val="22"/>
                <w:highlight w:val="none"/>
                <w:lang w:eastAsia="zh-CN"/>
              </w:rPr>
              <w:t>根据</w:t>
            </w:r>
            <w:r>
              <w:rPr>
                <w:rFonts w:hint="default" w:ascii="Times New Roman" w:hAnsi="Times New Roman" w:eastAsia="宋体" w:cs="Times New Roman"/>
                <w:color w:val="auto"/>
                <w:kern w:val="0"/>
                <w:sz w:val="24"/>
                <w:szCs w:val="24"/>
                <w:highlight w:val="none"/>
                <w:lang w:val="en-US" w:eastAsia="zh-CN" w:bidi="ar-SA"/>
              </w:rPr>
              <w:t xml:space="preserve">《排污单位自行监测技术指南 </w:t>
            </w:r>
            <w:r>
              <w:rPr>
                <w:rFonts w:hint="eastAsia" w:cs="Times New Roman"/>
                <w:color w:val="auto"/>
                <w:kern w:val="0"/>
                <w:sz w:val="24"/>
                <w:szCs w:val="24"/>
                <w:highlight w:val="none"/>
                <w:lang w:val="en-US" w:eastAsia="zh-CN" w:bidi="ar-SA"/>
              </w:rPr>
              <w:t>总则</w:t>
            </w:r>
            <w:r>
              <w:rPr>
                <w:rFonts w:hint="default"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（HJ819-22017）</w:t>
            </w:r>
            <w:r>
              <w:rPr>
                <w:rFonts w:hint="eastAsia" w:cs="Times New Roman"/>
                <w:color w:val="auto"/>
                <w:sz w:val="24"/>
                <w:szCs w:val="24"/>
                <w:highlight w:val="none"/>
                <w:lang w:val="en-US" w:eastAsia="zh-CN"/>
              </w:rPr>
              <w:t>和参照</w:t>
            </w:r>
            <w:r>
              <w:rPr>
                <w:rFonts w:hint="default" w:ascii="Times New Roman" w:hAnsi="Times New Roman" w:eastAsia="宋体" w:cs="Times New Roman"/>
                <w:color w:val="auto"/>
                <w:sz w:val="24"/>
                <w:szCs w:val="24"/>
                <w:highlight w:val="none"/>
              </w:rPr>
              <w:t>《排污</w:t>
            </w:r>
            <w:r>
              <w:rPr>
                <w:rFonts w:hint="eastAsia" w:cs="Times New Roman"/>
                <w:color w:val="auto"/>
                <w:sz w:val="24"/>
                <w:szCs w:val="24"/>
                <w:highlight w:val="none"/>
                <w:lang w:val="en-US" w:eastAsia="zh-CN"/>
              </w:rPr>
              <w:t>许可证申请与核发技术规范 制鞋工业</w:t>
            </w:r>
            <w:r>
              <w:rPr>
                <w:rFonts w:hint="default" w:ascii="Times New Roman" w:hAnsi="Times New Roman" w:eastAsia="宋体" w:cs="Times New Roman"/>
                <w:color w:val="auto"/>
                <w:sz w:val="24"/>
                <w:szCs w:val="24"/>
                <w:highlight w:val="none"/>
              </w:rPr>
              <w:t>》（HJ</w:t>
            </w: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123</w:t>
            </w: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）中</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简化管理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要求</w:t>
            </w:r>
            <w:r>
              <w:rPr>
                <w:rFonts w:hint="default" w:ascii="Times New Roman" w:hAnsi="Times New Roman" w:eastAsia="宋体" w:cs="Times New Roman"/>
                <w:color w:val="auto"/>
                <w:sz w:val="24"/>
                <w:szCs w:val="22"/>
                <w:highlight w:val="none"/>
              </w:rPr>
              <w:t>，</w:t>
            </w:r>
            <w:r>
              <w:rPr>
                <w:rFonts w:hint="default" w:ascii="Times New Roman" w:hAnsi="Times New Roman" w:eastAsia="宋体" w:cs="Times New Roman"/>
                <w:color w:val="auto"/>
                <w:kern w:val="0"/>
                <w:sz w:val="24"/>
                <w:szCs w:val="24"/>
                <w:highlight w:val="none"/>
                <w:lang w:val="en-US" w:eastAsia="zh-CN" w:bidi="ar-SA"/>
              </w:rPr>
              <w:t>废气排放监测点位、监测指标及最低监测频次见下表</w:t>
            </w:r>
            <w:r>
              <w:rPr>
                <w:rFonts w:hint="default" w:ascii="Times New Roman" w:hAnsi="Times New Roman" w:eastAsia="宋体" w:cs="Times New Roman"/>
                <w:color w:val="auto"/>
                <w:kern w:val="0"/>
                <w:sz w:val="24"/>
                <w:szCs w:val="22"/>
                <w:highlight w:val="none"/>
              </w:rPr>
              <w:t>。</w:t>
            </w:r>
          </w:p>
          <w:p w14:paraId="173AAA50">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表4-</w:t>
            </w:r>
            <w:r>
              <w:rPr>
                <w:rFonts w:hint="eastAsia" w:cs="Times New Roman"/>
                <w:b/>
                <w:color w:val="auto"/>
                <w:kern w:val="0"/>
                <w:sz w:val="21"/>
                <w:szCs w:val="21"/>
                <w:highlight w:val="none"/>
                <w:lang w:val="en-US" w:eastAsia="zh-CN"/>
              </w:rPr>
              <w:t>6</w:t>
            </w:r>
            <w:r>
              <w:rPr>
                <w:rFonts w:hint="default" w:ascii="Times New Roman" w:hAnsi="Times New Roman" w:eastAsia="宋体" w:cs="Times New Roman"/>
                <w:b/>
                <w:color w:val="auto"/>
                <w:kern w:val="0"/>
                <w:sz w:val="21"/>
                <w:szCs w:val="21"/>
                <w:highlight w:val="none"/>
                <w:lang w:val="en-US" w:eastAsia="zh-CN"/>
              </w:rPr>
              <w:t xml:space="preserve">  </w:t>
            </w:r>
            <w:r>
              <w:rPr>
                <w:rFonts w:hint="default" w:ascii="Times New Roman" w:hAnsi="Times New Roman" w:eastAsia="宋体" w:cs="Times New Roman"/>
                <w:b/>
                <w:color w:val="auto"/>
                <w:kern w:val="0"/>
                <w:sz w:val="21"/>
                <w:szCs w:val="21"/>
                <w:highlight w:val="none"/>
              </w:rPr>
              <w:t>废气监测一览表</w:t>
            </w:r>
          </w:p>
          <w:tbl>
            <w:tblPr>
              <w:tblStyle w:val="39"/>
              <w:tblW w:w="49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818"/>
              <w:gridCol w:w="1310"/>
              <w:gridCol w:w="1151"/>
              <w:gridCol w:w="1784"/>
              <w:gridCol w:w="1084"/>
              <w:gridCol w:w="948"/>
              <w:gridCol w:w="881"/>
            </w:tblGrid>
            <w:tr w14:paraId="54CC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9" w:type="pct"/>
                  <w:tcBorders>
                    <w:tl2br w:val="nil"/>
                    <w:tr2bl w:val="nil"/>
                  </w:tcBorders>
                  <w:noWrap w:val="0"/>
                  <w:vAlign w:val="center"/>
                </w:tcPr>
                <w:p w14:paraId="0FBBDD5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监测类别</w:t>
                  </w:r>
                </w:p>
              </w:tc>
              <w:tc>
                <w:tcPr>
                  <w:tcW w:w="1189" w:type="pct"/>
                  <w:gridSpan w:val="2"/>
                  <w:tcBorders>
                    <w:tl2br w:val="nil"/>
                    <w:tr2bl w:val="nil"/>
                  </w:tcBorders>
                  <w:noWrap w:val="0"/>
                  <w:vAlign w:val="center"/>
                </w:tcPr>
                <w:p w14:paraId="1D7AEEA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监测项目</w:t>
                  </w:r>
                </w:p>
              </w:tc>
              <w:tc>
                <w:tcPr>
                  <w:tcW w:w="643" w:type="pct"/>
                  <w:tcBorders>
                    <w:tl2br w:val="nil"/>
                    <w:tr2bl w:val="nil"/>
                  </w:tcBorders>
                  <w:noWrap w:val="0"/>
                  <w:vAlign w:val="center"/>
                </w:tcPr>
                <w:p w14:paraId="4E43884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997" w:type="pct"/>
                  <w:tcBorders>
                    <w:tl2br w:val="nil"/>
                    <w:tr2bl w:val="nil"/>
                  </w:tcBorders>
                  <w:noWrap w:val="0"/>
                  <w:vAlign w:val="center"/>
                </w:tcPr>
                <w:p w14:paraId="7F2085C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监测内容</w:t>
                  </w:r>
                </w:p>
              </w:tc>
              <w:tc>
                <w:tcPr>
                  <w:tcW w:w="606" w:type="pct"/>
                  <w:tcBorders>
                    <w:tl2br w:val="nil"/>
                    <w:tr2bl w:val="nil"/>
                  </w:tcBorders>
                  <w:noWrap w:val="0"/>
                  <w:vAlign w:val="center"/>
                </w:tcPr>
                <w:p w14:paraId="24BC64F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监测频次</w:t>
                  </w:r>
                </w:p>
              </w:tc>
              <w:tc>
                <w:tcPr>
                  <w:tcW w:w="530" w:type="pct"/>
                  <w:tcBorders>
                    <w:tl2br w:val="nil"/>
                    <w:tr2bl w:val="nil"/>
                  </w:tcBorders>
                  <w:noWrap w:val="0"/>
                  <w:vAlign w:val="center"/>
                </w:tcPr>
                <w:p w14:paraId="6ADE7F0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监测方法</w:t>
                  </w:r>
                </w:p>
              </w:tc>
              <w:tc>
                <w:tcPr>
                  <w:tcW w:w="492" w:type="pct"/>
                  <w:tcBorders>
                    <w:tl2br w:val="nil"/>
                    <w:tr2bl w:val="nil"/>
                  </w:tcBorders>
                  <w:noWrap w:val="0"/>
                  <w:vAlign w:val="center"/>
                </w:tcPr>
                <w:p w14:paraId="5EAE4D5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监测要求</w:t>
                  </w:r>
                </w:p>
              </w:tc>
            </w:tr>
            <w:tr w14:paraId="180D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9" w:type="pct"/>
                  <w:vMerge w:val="restart"/>
                  <w:tcBorders>
                    <w:tl2br w:val="nil"/>
                    <w:tr2bl w:val="nil"/>
                  </w:tcBorders>
                  <w:noWrap w:val="0"/>
                  <w:vAlign w:val="center"/>
                </w:tcPr>
                <w:p w14:paraId="4F4D930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废气监测</w:t>
                  </w:r>
                </w:p>
              </w:tc>
              <w:tc>
                <w:tcPr>
                  <w:tcW w:w="457" w:type="pct"/>
                  <w:vMerge w:val="restart"/>
                  <w:tcBorders>
                    <w:tl2br w:val="nil"/>
                    <w:tr2bl w:val="nil"/>
                  </w:tcBorders>
                  <w:noWrap w:val="0"/>
                  <w:vAlign w:val="center"/>
                </w:tcPr>
                <w:p w14:paraId="7C743D3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有组织</w:t>
                  </w:r>
                </w:p>
              </w:tc>
              <w:tc>
                <w:tcPr>
                  <w:tcW w:w="732" w:type="pct"/>
                  <w:tcBorders>
                    <w:tl2br w:val="nil"/>
                    <w:tr2bl w:val="nil"/>
                  </w:tcBorders>
                  <w:noWrap w:val="0"/>
                  <w:vAlign w:val="center"/>
                </w:tcPr>
                <w:p w14:paraId="2286C01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颗粒物</w:t>
                  </w:r>
                </w:p>
              </w:tc>
              <w:tc>
                <w:tcPr>
                  <w:tcW w:w="643" w:type="pct"/>
                  <w:tcBorders>
                    <w:tl2br w:val="nil"/>
                    <w:tr2bl w:val="nil"/>
                  </w:tcBorders>
                  <w:noWrap w:val="0"/>
                  <w:vAlign w:val="center"/>
                </w:tcPr>
                <w:p w14:paraId="1B5DD55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eastAsia="zh-CN"/>
                    </w:rPr>
                    <w:t>DA001</w:t>
                  </w:r>
                </w:p>
              </w:tc>
              <w:tc>
                <w:tcPr>
                  <w:tcW w:w="997" w:type="pct"/>
                  <w:vMerge w:val="restart"/>
                  <w:tcBorders>
                    <w:tl2br w:val="nil"/>
                    <w:tr2bl w:val="nil"/>
                  </w:tcBorders>
                  <w:noWrap w:val="0"/>
                  <w:vAlign w:val="center"/>
                </w:tcPr>
                <w:p w14:paraId="7E3A46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烟气流速，烟气温度，烟气含湿量，烟气量</w:t>
                  </w:r>
                  <w:r>
                    <w:rPr>
                      <w:rFonts w:hint="default" w:ascii="Times New Roman" w:hAnsi="Times New Roman" w:eastAsia="宋体" w:cs="Times New Roman"/>
                      <w:bCs/>
                      <w:color w:val="auto"/>
                      <w:szCs w:val="21"/>
                      <w:highlight w:val="none"/>
                      <w:lang w:eastAsia="zh-CN"/>
                    </w:rPr>
                    <w:t>，污染物产生和排放浓度</w:t>
                  </w:r>
                </w:p>
              </w:tc>
              <w:tc>
                <w:tcPr>
                  <w:tcW w:w="606" w:type="pct"/>
                  <w:tcBorders>
                    <w:tl2br w:val="nil"/>
                    <w:tr2bl w:val="nil"/>
                  </w:tcBorders>
                  <w:noWrap w:val="0"/>
                  <w:vAlign w:val="center"/>
                </w:tcPr>
                <w:p w14:paraId="5802FE5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一次</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rPr>
                    <w:t>年</w:t>
                  </w:r>
                </w:p>
              </w:tc>
              <w:tc>
                <w:tcPr>
                  <w:tcW w:w="530" w:type="pct"/>
                  <w:vMerge w:val="restart"/>
                  <w:tcBorders>
                    <w:tl2br w:val="nil"/>
                    <w:tr2bl w:val="nil"/>
                  </w:tcBorders>
                  <w:noWrap w:val="0"/>
                  <w:vAlign w:val="center"/>
                </w:tcPr>
                <w:p w14:paraId="3A3E282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按环境监测技术规范要求</w:t>
                  </w:r>
                </w:p>
              </w:tc>
              <w:tc>
                <w:tcPr>
                  <w:tcW w:w="492" w:type="pct"/>
                  <w:vMerge w:val="restart"/>
                  <w:tcBorders>
                    <w:tl2br w:val="nil"/>
                    <w:tr2bl w:val="nil"/>
                  </w:tcBorders>
                  <w:noWrap w:val="0"/>
                  <w:vAlign w:val="center"/>
                </w:tcPr>
                <w:p w14:paraId="54A3B81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委托有资质单位监测，建立监测数据库，记录存档</w:t>
                  </w:r>
                </w:p>
              </w:tc>
            </w:tr>
            <w:tr w14:paraId="4223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9" w:type="pct"/>
                  <w:vMerge w:val="continue"/>
                  <w:tcBorders>
                    <w:tl2br w:val="nil"/>
                    <w:tr2bl w:val="nil"/>
                  </w:tcBorders>
                  <w:noWrap w:val="0"/>
                  <w:vAlign w:val="center"/>
                </w:tcPr>
                <w:p w14:paraId="6A7D8E6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457" w:type="pct"/>
                  <w:vMerge w:val="continue"/>
                  <w:tcBorders>
                    <w:tl2br w:val="nil"/>
                    <w:tr2bl w:val="nil"/>
                  </w:tcBorders>
                  <w:noWrap w:val="0"/>
                  <w:vAlign w:val="center"/>
                </w:tcPr>
                <w:p w14:paraId="080B569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732" w:type="pct"/>
                  <w:tcBorders>
                    <w:tl2br w:val="nil"/>
                    <w:tr2bl w:val="nil"/>
                  </w:tcBorders>
                  <w:noWrap w:val="0"/>
                  <w:vAlign w:val="center"/>
                </w:tcPr>
                <w:p w14:paraId="462336A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非甲烷总烃</w:t>
                  </w:r>
                </w:p>
              </w:tc>
              <w:tc>
                <w:tcPr>
                  <w:tcW w:w="643" w:type="pct"/>
                  <w:vMerge w:val="restart"/>
                  <w:tcBorders>
                    <w:tl2br w:val="nil"/>
                    <w:tr2bl w:val="nil"/>
                  </w:tcBorders>
                  <w:noWrap w:val="0"/>
                  <w:vAlign w:val="center"/>
                </w:tcPr>
                <w:p w14:paraId="012D320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DA002</w:t>
                  </w:r>
                </w:p>
              </w:tc>
              <w:tc>
                <w:tcPr>
                  <w:tcW w:w="997" w:type="pct"/>
                  <w:vMerge w:val="continue"/>
                  <w:tcBorders>
                    <w:tl2br w:val="nil"/>
                    <w:tr2bl w:val="nil"/>
                  </w:tcBorders>
                  <w:noWrap w:val="0"/>
                  <w:vAlign w:val="center"/>
                </w:tcPr>
                <w:p w14:paraId="7EDE52E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606" w:type="pct"/>
                  <w:tcBorders>
                    <w:tl2br w:val="nil"/>
                    <w:tr2bl w:val="nil"/>
                  </w:tcBorders>
                  <w:noWrap w:val="0"/>
                  <w:vAlign w:val="center"/>
                </w:tcPr>
                <w:p w14:paraId="375CA0D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一次</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rPr>
                    <w:t>年</w:t>
                  </w:r>
                </w:p>
              </w:tc>
              <w:tc>
                <w:tcPr>
                  <w:tcW w:w="530" w:type="pct"/>
                  <w:vMerge w:val="continue"/>
                  <w:tcBorders>
                    <w:tl2br w:val="nil"/>
                    <w:tr2bl w:val="nil"/>
                  </w:tcBorders>
                  <w:noWrap w:val="0"/>
                  <w:vAlign w:val="center"/>
                </w:tcPr>
                <w:p w14:paraId="3F9E060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492" w:type="pct"/>
                  <w:vMerge w:val="continue"/>
                  <w:tcBorders>
                    <w:tl2br w:val="nil"/>
                    <w:tr2bl w:val="nil"/>
                  </w:tcBorders>
                  <w:noWrap w:val="0"/>
                  <w:vAlign w:val="center"/>
                </w:tcPr>
                <w:p w14:paraId="1D74A11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r>
            <w:tr w14:paraId="45B2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9" w:type="pct"/>
                  <w:vMerge w:val="continue"/>
                  <w:tcBorders>
                    <w:tl2br w:val="nil"/>
                    <w:tr2bl w:val="nil"/>
                  </w:tcBorders>
                  <w:noWrap w:val="0"/>
                  <w:vAlign w:val="center"/>
                </w:tcPr>
                <w:p w14:paraId="163841B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457" w:type="pct"/>
                  <w:vMerge w:val="continue"/>
                  <w:tcBorders>
                    <w:tl2br w:val="nil"/>
                    <w:tr2bl w:val="nil"/>
                  </w:tcBorders>
                  <w:noWrap w:val="0"/>
                  <w:vAlign w:val="center"/>
                </w:tcPr>
                <w:p w14:paraId="404277F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732" w:type="pct"/>
                  <w:tcBorders>
                    <w:tl2br w:val="nil"/>
                    <w:tr2bl w:val="nil"/>
                  </w:tcBorders>
                  <w:noWrap w:val="0"/>
                  <w:vAlign w:val="center"/>
                </w:tcPr>
                <w:p w14:paraId="7CB3BF9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氯乙烯</w:t>
                  </w:r>
                </w:p>
              </w:tc>
              <w:tc>
                <w:tcPr>
                  <w:tcW w:w="643" w:type="pct"/>
                  <w:vMerge w:val="continue"/>
                  <w:tcBorders>
                    <w:tl2br w:val="nil"/>
                    <w:tr2bl w:val="nil"/>
                  </w:tcBorders>
                  <w:noWrap w:val="0"/>
                  <w:vAlign w:val="center"/>
                </w:tcPr>
                <w:p w14:paraId="2DF1909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997" w:type="pct"/>
                  <w:vMerge w:val="continue"/>
                  <w:tcBorders>
                    <w:tl2br w:val="nil"/>
                    <w:tr2bl w:val="nil"/>
                  </w:tcBorders>
                  <w:noWrap w:val="0"/>
                  <w:vAlign w:val="center"/>
                </w:tcPr>
                <w:p w14:paraId="3481343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606" w:type="pct"/>
                  <w:tcBorders>
                    <w:tl2br w:val="nil"/>
                    <w:tr2bl w:val="nil"/>
                  </w:tcBorders>
                  <w:noWrap w:val="0"/>
                  <w:vAlign w:val="center"/>
                </w:tcPr>
                <w:p w14:paraId="3CA508E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一次</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rPr>
                    <w:t>年</w:t>
                  </w:r>
                </w:p>
              </w:tc>
              <w:tc>
                <w:tcPr>
                  <w:tcW w:w="530" w:type="pct"/>
                  <w:vMerge w:val="continue"/>
                  <w:tcBorders>
                    <w:tl2br w:val="nil"/>
                    <w:tr2bl w:val="nil"/>
                  </w:tcBorders>
                  <w:noWrap w:val="0"/>
                  <w:vAlign w:val="center"/>
                </w:tcPr>
                <w:p w14:paraId="36BBD17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492" w:type="pct"/>
                  <w:vMerge w:val="continue"/>
                  <w:tcBorders>
                    <w:tl2br w:val="nil"/>
                    <w:tr2bl w:val="nil"/>
                  </w:tcBorders>
                  <w:noWrap w:val="0"/>
                  <w:vAlign w:val="center"/>
                </w:tcPr>
                <w:p w14:paraId="3192A72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r>
            <w:tr w14:paraId="622F3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39" w:type="pct"/>
                  <w:vMerge w:val="continue"/>
                  <w:tcBorders>
                    <w:tl2br w:val="nil"/>
                    <w:tr2bl w:val="nil"/>
                  </w:tcBorders>
                  <w:noWrap w:val="0"/>
                  <w:vAlign w:val="center"/>
                </w:tcPr>
                <w:p w14:paraId="1C80196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457" w:type="pct"/>
                  <w:vMerge w:val="restart"/>
                  <w:tcBorders>
                    <w:tl2br w:val="nil"/>
                    <w:tr2bl w:val="nil"/>
                  </w:tcBorders>
                  <w:noWrap w:val="0"/>
                  <w:vAlign w:val="center"/>
                </w:tcPr>
                <w:p w14:paraId="3491B4F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无组织</w:t>
                  </w:r>
                </w:p>
              </w:tc>
              <w:tc>
                <w:tcPr>
                  <w:tcW w:w="732" w:type="pct"/>
                  <w:tcBorders>
                    <w:tl2br w:val="nil"/>
                    <w:tr2bl w:val="nil"/>
                  </w:tcBorders>
                  <w:noWrap w:val="0"/>
                  <w:vAlign w:val="center"/>
                </w:tcPr>
                <w:p w14:paraId="0A0F58C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rPr>
                    <w:t>颗粒物</w:t>
                  </w:r>
                  <w:r>
                    <w:rPr>
                      <w:rFonts w:hint="default" w:ascii="Times New Roman" w:hAnsi="Times New Roman" w:eastAsia="宋体" w:cs="Times New Roman"/>
                      <w:color w:val="auto"/>
                      <w:szCs w:val="21"/>
                      <w:highlight w:val="none"/>
                      <w:lang w:eastAsia="zh-CN"/>
                    </w:rPr>
                    <w:t>、非甲烷总烃、</w:t>
                  </w:r>
                  <w:r>
                    <w:rPr>
                      <w:rFonts w:hint="eastAsia" w:cs="Times New Roman"/>
                      <w:color w:val="auto"/>
                      <w:szCs w:val="21"/>
                      <w:highlight w:val="none"/>
                      <w:lang w:val="en-US" w:eastAsia="zh-CN"/>
                    </w:rPr>
                    <w:t>氯乙烯</w:t>
                  </w:r>
                </w:p>
              </w:tc>
              <w:tc>
                <w:tcPr>
                  <w:tcW w:w="643" w:type="pct"/>
                  <w:tcBorders>
                    <w:tl2br w:val="nil"/>
                    <w:tr2bl w:val="nil"/>
                  </w:tcBorders>
                  <w:noWrap w:val="0"/>
                  <w:vAlign w:val="center"/>
                </w:tcPr>
                <w:p w14:paraId="332FBF1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厂界</w:t>
                  </w:r>
                  <w:r>
                    <w:rPr>
                      <w:rFonts w:hint="eastAsia" w:cs="Times New Roman"/>
                      <w:color w:val="auto"/>
                      <w:szCs w:val="21"/>
                      <w:highlight w:val="none"/>
                      <w:lang w:val="en-US" w:eastAsia="zh-CN"/>
                    </w:rPr>
                    <w:t xml:space="preserve"> </w:t>
                  </w:r>
                </w:p>
              </w:tc>
              <w:tc>
                <w:tcPr>
                  <w:tcW w:w="997" w:type="pct"/>
                  <w:vMerge w:val="restart"/>
                  <w:tcBorders>
                    <w:tl2br w:val="nil"/>
                    <w:tr2bl w:val="nil"/>
                  </w:tcBorders>
                  <w:noWrap w:val="0"/>
                  <w:vAlign w:val="center"/>
                </w:tcPr>
                <w:p w14:paraId="56FBF7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温度</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气压</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风速</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风向</w:t>
                  </w:r>
                  <w:r>
                    <w:rPr>
                      <w:rFonts w:hint="default" w:ascii="Times New Roman" w:hAnsi="Times New Roman" w:eastAsia="宋体" w:cs="Times New Roman"/>
                      <w:bCs/>
                      <w:color w:val="auto"/>
                      <w:szCs w:val="21"/>
                      <w:highlight w:val="none"/>
                      <w:lang w:eastAsia="zh-CN"/>
                    </w:rPr>
                    <w:t>，污染物浓度</w:t>
                  </w:r>
                </w:p>
              </w:tc>
              <w:tc>
                <w:tcPr>
                  <w:tcW w:w="606" w:type="pct"/>
                  <w:vMerge w:val="restart"/>
                  <w:tcBorders>
                    <w:tl2br w:val="nil"/>
                    <w:tr2bl w:val="nil"/>
                  </w:tcBorders>
                  <w:noWrap w:val="0"/>
                  <w:vAlign w:val="center"/>
                </w:tcPr>
                <w:p w14:paraId="6B77500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一次</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rPr>
                    <w:t>年</w:t>
                  </w:r>
                </w:p>
              </w:tc>
              <w:tc>
                <w:tcPr>
                  <w:tcW w:w="530" w:type="pct"/>
                  <w:vMerge w:val="continue"/>
                  <w:tcBorders>
                    <w:tl2br w:val="nil"/>
                    <w:tr2bl w:val="nil"/>
                  </w:tcBorders>
                  <w:noWrap w:val="0"/>
                  <w:vAlign w:val="center"/>
                </w:tcPr>
                <w:p w14:paraId="402E122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492" w:type="pct"/>
                  <w:vMerge w:val="continue"/>
                  <w:tcBorders>
                    <w:tl2br w:val="nil"/>
                    <w:tr2bl w:val="nil"/>
                  </w:tcBorders>
                  <w:noWrap w:val="0"/>
                  <w:vAlign w:val="center"/>
                </w:tcPr>
                <w:p w14:paraId="432E08E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r>
            <w:tr w14:paraId="532A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539" w:type="pct"/>
                  <w:vMerge w:val="continue"/>
                  <w:tcBorders>
                    <w:tl2br w:val="nil"/>
                    <w:tr2bl w:val="nil"/>
                  </w:tcBorders>
                  <w:noWrap w:val="0"/>
                  <w:vAlign w:val="center"/>
                </w:tcPr>
                <w:p w14:paraId="6056E37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457" w:type="pct"/>
                  <w:vMerge w:val="continue"/>
                  <w:tcBorders>
                    <w:tl2br w:val="nil"/>
                    <w:tr2bl w:val="nil"/>
                  </w:tcBorders>
                  <w:noWrap w:val="0"/>
                  <w:vAlign w:val="center"/>
                </w:tcPr>
                <w:p w14:paraId="2014674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732" w:type="pct"/>
                  <w:tcBorders>
                    <w:tl2br w:val="nil"/>
                    <w:tr2bl w:val="nil"/>
                  </w:tcBorders>
                  <w:noWrap w:val="0"/>
                  <w:vAlign w:val="center"/>
                </w:tcPr>
                <w:p w14:paraId="455BE3B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非甲烷总烃</w:t>
                  </w:r>
                </w:p>
              </w:tc>
              <w:tc>
                <w:tcPr>
                  <w:tcW w:w="643" w:type="pct"/>
                  <w:tcBorders>
                    <w:tl2br w:val="nil"/>
                    <w:tr2bl w:val="nil"/>
                  </w:tcBorders>
                  <w:noWrap w:val="0"/>
                  <w:vAlign w:val="center"/>
                </w:tcPr>
                <w:p w14:paraId="3AAC91B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厂区内</w:t>
                  </w:r>
                </w:p>
              </w:tc>
              <w:tc>
                <w:tcPr>
                  <w:tcW w:w="997" w:type="pct"/>
                  <w:vMerge w:val="continue"/>
                  <w:tcBorders>
                    <w:tl2br w:val="nil"/>
                    <w:tr2bl w:val="nil"/>
                  </w:tcBorders>
                  <w:noWrap w:val="0"/>
                  <w:vAlign w:val="center"/>
                </w:tcPr>
                <w:p w14:paraId="2D75ED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center"/>
                    <w:rPr>
                      <w:rFonts w:hint="default" w:ascii="Times New Roman" w:hAnsi="Times New Roman" w:eastAsia="宋体" w:cs="Times New Roman"/>
                      <w:bCs/>
                      <w:color w:val="auto"/>
                      <w:szCs w:val="21"/>
                      <w:highlight w:val="none"/>
                    </w:rPr>
                  </w:pPr>
                </w:p>
              </w:tc>
              <w:tc>
                <w:tcPr>
                  <w:tcW w:w="606" w:type="pct"/>
                  <w:vMerge w:val="continue"/>
                  <w:tcBorders>
                    <w:tl2br w:val="nil"/>
                    <w:tr2bl w:val="nil"/>
                  </w:tcBorders>
                  <w:noWrap w:val="0"/>
                  <w:vAlign w:val="center"/>
                </w:tcPr>
                <w:p w14:paraId="35638A1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530" w:type="pct"/>
                  <w:vMerge w:val="continue"/>
                  <w:tcBorders>
                    <w:tl2br w:val="nil"/>
                    <w:tr2bl w:val="nil"/>
                  </w:tcBorders>
                  <w:noWrap w:val="0"/>
                  <w:vAlign w:val="center"/>
                </w:tcPr>
                <w:p w14:paraId="79D3C3D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492" w:type="pct"/>
                  <w:vMerge w:val="continue"/>
                  <w:tcBorders>
                    <w:tl2br w:val="nil"/>
                    <w:tr2bl w:val="nil"/>
                  </w:tcBorders>
                  <w:noWrap w:val="0"/>
                  <w:vAlign w:val="center"/>
                </w:tcPr>
                <w:p w14:paraId="2C332E5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r>
          </w:tbl>
          <w:p w14:paraId="0D6E95D6">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jc w:val="both"/>
              <w:textAlignment w:val="auto"/>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color w:val="auto"/>
                <w:kern w:val="0"/>
                <w:sz w:val="24"/>
                <w:szCs w:val="24"/>
                <w:highlight w:val="none"/>
                <w:lang w:val="en-US" w:eastAsia="zh-CN"/>
              </w:rPr>
              <w:t>2、废水</w:t>
            </w:r>
          </w:p>
          <w:p w14:paraId="6D016F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2.1废水</w:t>
            </w:r>
            <w:r>
              <w:rPr>
                <w:rFonts w:hint="default" w:ascii="Times New Roman" w:hAnsi="Times New Roman" w:cs="Times New Roman"/>
                <w:b/>
                <w:color w:val="auto"/>
                <w:kern w:val="0"/>
                <w:sz w:val="24"/>
                <w:szCs w:val="24"/>
                <w:highlight w:val="none"/>
                <w:lang w:val="en-US" w:eastAsia="zh-CN"/>
              </w:rPr>
              <w:t>污染物产生、</w:t>
            </w:r>
            <w:r>
              <w:rPr>
                <w:rFonts w:hint="default" w:ascii="Times New Roman" w:hAnsi="Times New Roman" w:eastAsia="宋体" w:cs="Times New Roman"/>
                <w:b/>
                <w:color w:val="auto"/>
                <w:kern w:val="0"/>
                <w:sz w:val="24"/>
                <w:szCs w:val="24"/>
                <w:highlight w:val="none"/>
              </w:rPr>
              <w:t>排放情况</w:t>
            </w:r>
          </w:p>
          <w:p w14:paraId="44C75D03">
            <w:pPr>
              <w:keepNext w:val="0"/>
              <w:keepLines w:val="0"/>
              <w:suppressLineNumbers w:val="0"/>
              <w:spacing w:before="0" w:beforeAutospacing="0" w:after="0" w:afterAutospacing="0" w:line="360" w:lineRule="auto"/>
              <w:ind w:left="0" w:right="0" w:firstLine="480" w:firstLineChars="200"/>
              <w:rPr>
                <w:rFonts w:hint="default"/>
                <w:color w:val="auto"/>
                <w:szCs w:val="22"/>
                <w:highlight w:val="none"/>
              </w:rPr>
            </w:pPr>
            <w:r>
              <w:rPr>
                <w:rFonts w:hint="default" w:ascii="Times New Roman" w:hAnsi="Times New Roman" w:eastAsia="宋体" w:cs="Times New Roman"/>
                <w:color w:val="auto"/>
                <w:sz w:val="24"/>
                <w:szCs w:val="22"/>
                <w:highlight w:val="none"/>
              </w:rPr>
              <w:t>项目区为雨污分流制，</w:t>
            </w:r>
            <w:r>
              <w:rPr>
                <w:rFonts w:hint="eastAsia" w:cs="Times New Roman"/>
                <w:color w:val="auto"/>
                <w:sz w:val="24"/>
                <w:szCs w:val="22"/>
                <w:highlight w:val="none"/>
                <w:lang w:val="en-US" w:eastAsia="zh-CN"/>
              </w:rPr>
              <w:t>外排</w:t>
            </w:r>
            <w:r>
              <w:rPr>
                <w:rFonts w:hint="default" w:ascii="Times New Roman" w:hAnsi="Times New Roman" w:eastAsia="宋体" w:cs="Times New Roman"/>
                <w:color w:val="auto"/>
                <w:sz w:val="24"/>
                <w:szCs w:val="22"/>
                <w:highlight w:val="none"/>
              </w:rPr>
              <w:t>废水</w:t>
            </w:r>
            <w:r>
              <w:rPr>
                <w:rFonts w:hint="eastAsia" w:cs="Times New Roman"/>
                <w:color w:val="auto"/>
                <w:sz w:val="24"/>
                <w:szCs w:val="22"/>
                <w:highlight w:val="none"/>
                <w:lang w:val="en-US" w:eastAsia="zh-CN"/>
              </w:rPr>
              <w:t>包括</w:t>
            </w:r>
            <w:r>
              <w:rPr>
                <w:rFonts w:hint="default" w:ascii="Times New Roman" w:hAnsi="Times New Roman" w:eastAsia="宋体" w:cs="Times New Roman"/>
                <w:color w:val="auto"/>
                <w:sz w:val="24"/>
                <w:szCs w:val="22"/>
                <w:highlight w:val="none"/>
              </w:rPr>
              <w:t>生活污水</w:t>
            </w:r>
            <w:r>
              <w:rPr>
                <w:rFonts w:hint="eastAsia" w:cs="Times New Roman"/>
                <w:color w:val="auto"/>
                <w:sz w:val="24"/>
                <w:szCs w:val="22"/>
                <w:highlight w:val="none"/>
                <w:lang w:eastAsia="zh-CN"/>
              </w:rPr>
              <w:t>、</w:t>
            </w:r>
            <w:r>
              <w:rPr>
                <w:rFonts w:hint="eastAsia" w:cs="Times New Roman"/>
                <w:color w:val="auto"/>
                <w:sz w:val="24"/>
                <w:szCs w:val="22"/>
                <w:highlight w:val="none"/>
                <w:lang w:val="en-US" w:eastAsia="zh-CN"/>
              </w:rPr>
              <w:t>食堂废水和地坪</w:t>
            </w:r>
            <w:r>
              <w:rPr>
                <w:rFonts w:hint="default" w:ascii="Times New Roman" w:hAnsi="Times New Roman" w:eastAsia="宋体" w:cs="Times New Roman"/>
                <w:color w:val="auto"/>
                <w:sz w:val="24"/>
                <w:szCs w:val="22"/>
                <w:highlight w:val="none"/>
                <w:lang w:eastAsia="zh-CN"/>
              </w:rPr>
              <w:t>保洁废水</w:t>
            </w:r>
            <w:r>
              <w:rPr>
                <w:rFonts w:hint="default" w:ascii="Times New Roman" w:hAnsi="Times New Roman" w:eastAsia="宋体" w:cs="Times New Roman"/>
                <w:color w:val="auto"/>
                <w:sz w:val="24"/>
                <w:szCs w:val="22"/>
                <w:highlight w:val="none"/>
              </w:rPr>
              <w:t>。</w:t>
            </w:r>
            <w:r>
              <w:rPr>
                <w:rFonts w:hint="default" w:ascii="Times New Roman" w:hAnsi="Times New Roman" w:eastAsia="宋体" w:cs="Times New Roman"/>
                <w:color w:val="auto"/>
                <w:sz w:val="24"/>
                <w:szCs w:val="22"/>
                <w:highlight w:val="none"/>
                <w:lang w:eastAsia="zh-CN"/>
              </w:rPr>
              <w:t>全厂废水产生量</w:t>
            </w:r>
            <w:r>
              <w:rPr>
                <w:rFonts w:hint="default" w:ascii="Times New Roman" w:hAnsi="Times New Roman" w:eastAsia="宋体" w:cs="Times New Roman"/>
                <w:color w:val="auto"/>
                <w:sz w:val="24"/>
                <w:szCs w:val="22"/>
                <w:highlight w:val="none"/>
              </w:rPr>
              <w:t>为</w:t>
            </w:r>
            <w:r>
              <w:rPr>
                <w:rFonts w:hint="eastAsia" w:cs="Times New Roman"/>
                <w:color w:val="auto"/>
                <w:sz w:val="24"/>
                <w:szCs w:val="22"/>
                <w:highlight w:val="none"/>
                <w:lang w:val="en-US" w:eastAsia="zh-CN"/>
              </w:rPr>
              <w:t>769.6</w:t>
            </w:r>
            <w:r>
              <w:rPr>
                <w:rFonts w:hint="default" w:ascii="Times New Roman" w:hAnsi="Times New Roman" w:eastAsia="宋体" w:cs="Times New Roman"/>
                <w:color w:val="auto"/>
                <w:sz w:val="24"/>
                <w:szCs w:val="22"/>
                <w:highlight w:val="none"/>
              </w:rPr>
              <w:t>t/a，</w:t>
            </w:r>
            <w:r>
              <w:rPr>
                <w:rFonts w:hint="eastAsia" w:ascii="Times New Roman" w:hAnsi="Times New Roman" w:eastAsia="宋体" w:cs="Times New Roman"/>
                <w:color w:val="auto"/>
                <w:sz w:val="24"/>
                <w:szCs w:val="22"/>
                <w:highlight w:val="none"/>
                <w:lang w:val="en-US" w:eastAsia="zh-CN"/>
              </w:rPr>
              <w:t>食堂废水经隔油池</w:t>
            </w:r>
            <w:r>
              <w:rPr>
                <w:rFonts w:hint="eastAsia" w:cs="Times New Roman"/>
                <w:color w:val="auto"/>
                <w:sz w:val="24"/>
                <w:szCs w:val="22"/>
                <w:highlight w:val="none"/>
                <w:lang w:val="en-US" w:eastAsia="zh-CN"/>
              </w:rPr>
              <w:t>、生活污水经化粪池处理后，和地坪</w:t>
            </w:r>
            <w:r>
              <w:rPr>
                <w:rFonts w:hint="default" w:ascii="Times New Roman" w:hAnsi="Times New Roman" w:eastAsia="宋体" w:cs="Times New Roman"/>
                <w:color w:val="auto"/>
                <w:sz w:val="24"/>
                <w:szCs w:val="22"/>
                <w:highlight w:val="none"/>
                <w:lang w:eastAsia="zh-CN"/>
              </w:rPr>
              <w:t>保洁废水</w:t>
            </w:r>
            <w:r>
              <w:rPr>
                <w:rFonts w:hint="eastAsia" w:cs="Times New Roman"/>
                <w:color w:val="auto"/>
                <w:sz w:val="24"/>
                <w:szCs w:val="24"/>
                <w:highlight w:val="none"/>
                <w:lang w:val="en-US" w:eastAsia="zh-CN"/>
              </w:rPr>
              <w:t>一并经总排口接</w:t>
            </w:r>
            <w:r>
              <w:rPr>
                <w:rFonts w:hint="default" w:ascii="Times New Roman" w:hAnsi="Times New Roman" w:eastAsia="宋体" w:cs="Times New Roman"/>
                <w:color w:val="auto"/>
                <w:sz w:val="24"/>
                <w:szCs w:val="24"/>
                <w:highlight w:val="none"/>
              </w:rPr>
              <w:t>入</w:t>
            </w:r>
            <w:r>
              <w:rPr>
                <w:rFonts w:hint="default" w:ascii="Times New Roman" w:hAnsi="Times New Roman" w:eastAsia="宋体" w:cs="Times New Roman"/>
                <w:color w:val="auto"/>
                <w:sz w:val="24"/>
                <w:szCs w:val="24"/>
                <w:highlight w:val="none"/>
                <w:lang w:eastAsia="zh-CN"/>
              </w:rPr>
              <w:t>市政</w:t>
            </w:r>
            <w:r>
              <w:rPr>
                <w:rFonts w:hint="default" w:ascii="Times New Roman" w:hAnsi="Times New Roman" w:eastAsia="宋体" w:cs="Times New Roman"/>
                <w:color w:val="auto"/>
                <w:sz w:val="24"/>
                <w:szCs w:val="24"/>
                <w:highlight w:val="none"/>
              </w:rPr>
              <w:t>污水管网，排放至</w:t>
            </w:r>
            <w:r>
              <w:rPr>
                <w:rFonts w:hint="eastAsia" w:cs="Times New Roman"/>
                <w:color w:val="auto"/>
                <w:sz w:val="24"/>
                <w:szCs w:val="24"/>
                <w:highlight w:val="none"/>
                <w:lang w:val="en-US" w:eastAsia="zh-CN"/>
              </w:rPr>
              <w:t>五河县</w:t>
            </w:r>
            <w:r>
              <w:rPr>
                <w:rFonts w:hint="default" w:ascii="Times New Roman" w:hAnsi="Times New Roman" w:cs="Times New Roman"/>
                <w:color w:val="auto"/>
                <w:sz w:val="24"/>
                <w:szCs w:val="24"/>
                <w:highlight w:val="none"/>
                <w:lang w:val="en-US" w:eastAsia="zh-CN"/>
              </w:rPr>
              <w:t>城</w:t>
            </w:r>
            <w:r>
              <w:rPr>
                <w:rFonts w:hint="eastAsia" w:cs="Times New Roman"/>
                <w:color w:val="auto"/>
                <w:sz w:val="24"/>
                <w:szCs w:val="24"/>
                <w:highlight w:val="none"/>
                <w:lang w:val="en-US" w:eastAsia="zh-CN"/>
              </w:rPr>
              <w:t>南</w:t>
            </w:r>
            <w:r>
              <w:rPr>
                <w:rFonts w:hint="default" w:ascii="Times New Roman" w:hAnsi="Times New Roman" w:cs="Times New Roman"/>
                <w:color w:val="auto"/>
                <w:sz w:val="24"/>
                <w:szCs w:val="24"/>
                <w:highlight w:val="none"/>
                <w:lang w:val="en-US" w:eastAsia="zh-CN"/>
              </w:rPr>
              <w:t>污水处理厂</w:t>
            </w:r>
            <w:r>
              <w:rPr>
                <w:rFonts w:hint="eastAsia" w:cs="Times New Roman"/>
                <w:color w:val="auto"/>
                <w:sz w:val="24"/>
                <w:szCs w:val="24"/>
                <w:highlight w:val="none"/>
                <w:lang w:val="en-US" w:eastAsia="zh-CN"/>
              </w:rPr>
              <w:t>深度处理</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val="en-US" w:eastAsia="zh-CN"/>
              </w:rPr>
              <w:t>废水污染源源强核算结果及相关参数一览见</w:t>
            </w:r>
            <w:r>
              <w:rPr>
                <w:rFonts w:hint="eastAsia" w:ascii="Times New Roman" w:hAnsi="Times New Roman" w:cs="Times New Roman"/>
                <w:color w:val="auto"/>
                <w:sz w:val="24"/>
                <w:szCs w:val="24"/>
                <w:highlight w:val="none"/>
                <w:lang w:val="en-US" w:eastAsia="zh-CN"/>
              </w:rPr>
              <w:t>下</w:t>
            </w:r>
            <w:r>
              <w:rPr>
                <w:rFonts w:hint="default" w:ascii="Times New Roman" w:hAnsi="Times New Roman" w:cs="Times New Roman"/>
                <w:color w:val="auto"/>
                <w:sz w:val="24"/>
                <w:szCs w:val="24"/>
                <w:highlight w:val="none"/>
                <w:lang w:val="en-US" w:eastAsia="zh-CN"/>
              </w:rPr>
              <w:t>表</w:t>
            </w:r>
            <w:r>
              <w:rPr>
                <w:rFonts w:hint="eastAsia" w:ascii="Times New Roman" w:hAnsi="Times New Roman" w:cs="Times New Roman"/>
                <w:color w:val="auto"/>
                <w:sz w:val="24"/>
                <w:szCs w:val="24"/>
                <w:highlight w:val="none"/>
                <w:lang w:val="en-US" w:eastAsia="zh-CN"/>
              </w:rPr>
              <w:t>：</w:t>
            </w:r>
          </w:p>
          <w:p w14:paraId="26DC9C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cs="Times New Roman"/>
                <w:b/>
                <w:bCs/>
                <w:color w:val="auto"/>
                <w:sz w:val="21"/>
                <w:szCs w:val="21"/>
                <w:highlight w:val="none"/>
                <w:lang w:val="en-US" w:eastAsia="zh-CN"/>
              </w:rPr>
              <w:t>4-7</w:t>
            </w:r>
            <w:r>
              <w:rPr>
                <w:rFonts w:hint="default" w:ascii="Times New Roman" w:hAnsi="Times New Roman" w:eastAsia="宋体" w:cs="Times New Roman"/>
                <w:b/>
                <w:bCs/>
                <w:color w:val="auto"/>
                <w:sz w:val="21"/>
                <w:szCs w:val="21"/>
                <w:highlight w:val="none"/>
              </w:rPr>
              <w:t xml:space="preserve"> </w:t>
            </w:r>
            <w:r>
              <w:rPr>
                <w:rFonts w:hint="eastAsia"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eastAsia="zh-CN"/>
              </w:rPr>
              <w:t>项目</w:t>
            </w:r>
            <w:r>
              <w:rPr>
                <w:rFonts w:hint="default" w:ascii="Times New Roman" w:hAnsi="Times New Roman" w:eastAsia="宋体" w:cs="Times New Roman"/>
                <w:b/>
                <w:bCs/>
                <w:color w:val="auto"/>
                <w:sz w:val="21"/>
                <w:szCs w:val="21"/>
                <w:highlight w:val="none"/>
              </w:rPr>
              <w:t>废水污染源源强核算结果及相关参数一览表</w:t>
            </w:r>
          </w:p>
          <w:tbl>
            <w:tblPr>
              <w:tblStyle w:val="39"/>
              <w:tblW w:w="90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11"/>
              <w:gridCol w:w="909"/>
              <w:gridCol w:w="1056"/>
              <w:gridCol w:w="836"/>
              <w:gridCol w:w="847"/>
              <w:gridCol w:w="1192"/>
              <w:gridCol w:w="855"/>
              <w:gridCol w:w="821"/>
              <w:gridCol w:w="854"/>
            </w:tblGrid>
            <w:tr w14:paraId="22B89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restart"/>
                  <w:tcBorders>
                    <w:tl2br w:val="nil"/>
                    <w:tr2bl w:val="nil"/>
                  </w:tcBorders>
                  <w:noWrap w:val="0"/>
                  <w:vAlign w:val="center"/>
                </w:tcPr>
                <w:p w14:paraId="5F0B2B1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污染源</w:t>
                  </w:r>
                </w:p>
              </w:tc>
              <w:tc>
                <w:tcPr>
                  <w:tcW w:w="909" w:type="dxa"/>
                  <w:vMerge w:val="restart"/>
                  <w:tcBorders>
                    <w:right w:val="single" w:color="auto" w:sz="4" w:space="0"/>
                    <w:tl2br w:val="nil"/>
                    <w:tr2bl w:val="nil"/>
                  </w:tcBorders>
                  <w:noWrap w:val="0"/>
                  <w:vAlign w:val="center"/>
                </w:tcPr>
                <w:p w14:paraId="4C5F7AC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废水量t/a</w:t>
                  </w:r>
                </w:p>
              </w:tc>
              <w:tc>
                <w:tcPr>
                  <w:tcW w:w="1056" w:type="dxa"/>
                  <w:vMerge w:val="restart"/>
                  <w:tcBorders>
                    <w:left w:val="single" w:color="auto" w:sz="4" w:space="0"/>
                    <w:right w:val="single" w:color="auto" w:sz="4" w:space="0"/>
                    <w:tl2br w:val="nil"/>
                    <w:tr2bl w:val="nil"/>
                  </w:tcBorders>
                  <w:noWrap w:val="0"/>
                  <w:vAlign w:val="center"/>
                </w:tcPr>
                <w:p w14:paraId="7E86899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w:t>
                  </w:r>
                </w:p>
              </w:tc>
              <w:tc>
                <w:tcPr>
                  <w:tcW w:w="1683" w:type="dxa"/>
                  <w:gridSpan w:val="2"/>
                  <w:tcBorders>
                    <w:left w:val="single" w:color="auto" w:sz="4" w:space="0"/>
                    <w:tl2br w:val="nil"/>
                    <w:tr2bl w:val="nil"/>
                  </w:tcBorders>
                  <w:noWrap w:val="0"/>
                  <w:vAlign w:val="center"/>
                </w:tcPr>
                <w:p w14:paraId="41D77F4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cs="Times New Roman"/>
                      <w:b/>
                      <w:bCs/>
                      <w:i w:val="0"/>
                      <w:iCs w:val="0"/>
                      <w:color w:val="auto"/>
                      <w:kern w:val="0"/>
                      <w:sz w:val="21"/>
                      <w:szCs w:val="21"/>
                      <w:highlight w:val="none"/>
                      <w:u w:val="none"/>
                      <w:lang w:val="en-US" w:eastAsia="zh-CN" w:bidi="ar"/>
                    </w:rPr>
                    <w:t>产生情况</w:t>
                  </w:r>
                </w:p>
              </w:tc>
              <w:tc>
                <w:tcPr>
                  <w:tcW w:w="1192" w:type="dxa"/>
                  <w:vMerge w:val="restart"/>
                  <w:tcBorders>
                    <w:tl2br w:val="nil"/>
                    <w:tr2bl w:val="nil"/>
                  </w:tcBorders>
                  <w:noWrap w:val="0"/>
                  <w:vAlign w:val="center"/>
                </w:tcPr>
                <w:p w14:paraId="0E2C940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治理措施</w:t>
                  </w:r>
                </w:p>
              </w:tc>
              <w:tc>
                <w:tcPr>
                  <w:tcW w:w="855" w:type="dxa"/>
                  <w:vMerge w:val="restart"/>
                  <w:tcBorders>
                    <w:tl2br w:val="nil"/>
                    <w:tr2bl w:val="nil"/>
                  </w:tcBorders>
                  <w:noWrap w:val="0"/>
                  <w:vAlign w:val="center"/>
                </w:tcPr>
                <w:p w14:paraId="68CDC4A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cs="Times New Roman"/>
                      <w:b/>
                      <w:bCs/>
                      <w:i w:val="0"/>
                      <w:iCs w:val="0"/>
                      <w:color w:val="auto"/>
                      <w:kern w:val="0"/>
                      <w:sz w:val="21"/>
                      <w:szCs w:val="21"/>
                      <w:highlight w:val="none"/>
                      <w:u w:val="none"/>
                      <w:lang w:val="en-US" w:eastAsia="zh-CN" w:bidi="ar"/>
                    </w:rPr>
                    <w:t>处理效率</w:t>
                  </w:r>
                </w:p>
              </w:tc>
              <w:tc>
                <w:tcPr>
                  <w:tcW w:w="1675" w:type="dxa"/>
                  <w:gridSpan w:val="2"/>
                  <w:tcBorders>
                    <w:left w:val="single" w:color="auto" w:sz="4" w:space="0"/>
                    <w:tl2br w:val="nil"/>
                    <w:tr2bl w:val="nil"/>
                  </w:tcBorders>
                  <w:noWrap w:val="0"/>
                  <w:vAlign w:val="center"/>
                </w:tcPr>
                <w:p w14:paraId="35AECCD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w:t>
                  </w:r>
                  <w:r>
                    <w:rPr>
                      <w:rFonts w:hint="eastAsia" w:ascii="Times New Roman" w:hAnsi="Times New Roman" w:cs="Times New Roman"/>
                      <w:b/>
                      <w:bCs/>
                      <w:i w:val="0"/>
                      <w:iCs w:val="0"/>
                      <w:color w:val="auto"/>
                      <w:kern w:val="0"/>
                      <w:sz w:val="21"/>
                      <w:szCs w:val="21"/>
                      <w:highlight w:val="none"/>
                      <w:u w:val="none"/>
                      <w:lang w:val="en-US" w:eastAsia="zh-CN" w:bidi="ar"/>
                    </w:rPr>
                    <w:t>情况</w:t>
                  </w:r>
                </w:p>
              </w:tc>
            </w:tr>
            <w:tr w14:paraId="6A2EC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continue"/>
                  <w:tcBorders>
                    <w:tl2br w:val="nil"/>
                    <w:tr2bl w:val="nil"/>
                  </w:tcBorders>
                  <w:noWrap/>
                  <w:vAlign w:val="center"/>
                </w:tcPr>
                <w:p w14:paraId="17167C8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909" w:type="dxa"/>
                  <w:vMerge w:val="continue"/>
                  <w:tcBorders>
                    <w:right w:val="single" w:color="auto" w:sz="4" w:space="0"/>
                    <w:tl2br w:val="nil"/>
                    <w:tr2bl w:val="nil"/>
                  </w:tcBorders>
                  <w:noWrap/>
                  <w:vAlign w:val="center"/>
                </w:tcPr>
                <w:p w14:paraId="48EC844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1056" w:type="dxa"/>
                  <w:vMerge w:val="continue"/>
                  <w:tcBorders>
                    <w:left w:val="single" w:color="auto" w:sz="4" w:space="0"/>
                    <w:right w:val="single" w:color="auto" w:sz="4" w:space="0"/>
                    <w:tl2br w:val="nil"/>
                    <w:tr2bl w:val="nil"/>
                  </w:tcBorders>
                  <w:noWrap/>
                  <w:vAlign w:val="center"/>
                </w:tcPr>
                <w:p w14:paraId="1CA9CFD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p>
              </w:tc>
              <w:tc>
                <w:tcPr>
                  <w:tcW w:w="836" w:type="dxa"/>
                  <w:tcBorders>
                    <w:left w:val="single" w:color="auto" w:sz="4" w:space="0"/>
                    <w:tl2br w:val="nil"/>
                    <w:tr2bl w:val="nil"/>
                  </w:tcBorders>
                  <w:noWrap w:val="0"/>
                  <w:vAlign w:val="center"/>
                </w:tcPr>
                <w:p w14:paraId="4F30501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产生浓度mg/L</w:t>
                  </w:r>
                </w:p>
              </w:tc>
              <w:tc>
                <w:tcPr>
                  <w:tcW w:w="847" w:type="dxa"/>
                  <w:tcBorders>
                    <w:tl2br w:val="nil"/>
                    <w:tr2bl w:val="nil"/>
                  </w:tcBorders>
                  <w:noWrap w:val="0"/>
                  <w:vAlign w:val="center"/>
                </w:tcPr>
                <w:p w14:paraId="101E5BD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产生量t/a</w:t>
                  </w:r>
                </w:p>
              </w:tc>
              <w:tc>
                <w:tcPr>
                  <w:tcW w:w="1192" w:type="dxa"/>
                  <w:vMerge w:val="continue"/>
                  <w:tcBorders>
                    <w:tl2br w:val="nil"/>
                    <w:tr2bl w:val="nil"/>
                  </w:tcBorders>
                  <w:noWrap w:val="0"/>
                  <w:vAlign w:val="center"/>
                </w:tcPr>
                <w:p w14:paraId="1C32645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p>
              </w:tc>
              <w:tc>
                <w:tcPr>
                  <w:tcW w:w="855" w:type="dxa"/>
                  <w:vMerge w:val="continue"/>
                  <w:tcBorders>
                    <w:tl2br w:val="nil"/>
                    <w:tr2bl w:val="nil"/>
                  </w:tcBorders>
                  <w:noWrap/>
                  <w:vAlign w:val="center"/>
                </w:tcPr>
                <w:p w14:paraId="56721A0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821" w:type="dxa"/>
                  <w:tcBorders>
                    <w:left w:val="single" w:color="auto" w:sz="4" w:space="0"/>
                    <w:tl2br w:val="nil"/>
                    <w:tr2bl w:val="nil"/>
                  </w:tcBorders>
                  <w:noWrap w:val="0"/>
                  <w:vAlign w:val="center"/>
                </w:tcPr>
                <w:p w14:paraId="4B13B14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排放浓度mg/L</w:t>
                  </w:r>
                </w:p>
              </w:tc>
              <w:tc>
                <w:tcPr>
                  <w:tcW w:w="854" w:type="dxa"/>
                  <w:tcBorders>
                    <w:tl2br w:val="nil"/>
                    <w:tr2bl w:val="nil"/>
                  </w:tcBorders>
                  <w:noWrap w:val="0"/>
                  <w:vAlign w:val="center"/>
                </w:tcPr>
                <w:p w14:paraId="2A89704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排放量t/a</w:t>
                  </w:r>
                </w:p>
              </w:tc>
            </w:tr>
            <w:tr w14:paraId="37521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restart"/>
                  <w:tcBorders>
                    <w:tl2br w:val="nil"/>
                    <w:tr2bl w:val="nil"/>
                  </w:tcBorders>
                  <w:noWrap w:val="0"/>
                  <w:vAlign w:val="center"/>
                </w:tcPr>
                <w:p w14:paraId="58E2B31F">
                  <w:pPr>
                    <w:keepNext w:val="0"/>
                    <w:keepLines w:val="0"/>
                    <w:suppressLineNumbers w:val="0"/>
                    <w:spacing w:before="0" w:beforeAutospacing="0" w:after="0" w:afterAutospacing="0" w:line="240" w:lineRule="auto"/>
                    <w:ind w:left="0" w:right="0"/>
                    <w:jc w:val="center"/>
                    <w:rPr>
                      <w:rFonts w:hint="eastAsia" w:cs="Times New Roman"/>
                      <w:i w:val="0"/>
                      <w:color w:val="auto"/>
                      <w:kern w:val="0"/>
                      <w:sz w:val="21"/>
                      <w:szCs w:val="21"/>
                      <w:highlight w:val="none"/>
                      <w:u w:val="none"/>
                      <w:lang w:val="en-US" w:eastAsia="zh-CN" w:bidi="ar"/>
                    </w:rPr>
                  </w:pPr>
                  <w:r>
                    <w:rPr>
                      <w:rFonts w:hint="eastAsia" w:cs="Times New Roman"/>
                      <w:color w:val="auto"/>
                      <w:szCs w:val="21"/>
                      <w:highlight w:val="none"/>
                      <w:lang w:val="en-US" w:eastAsia="zh-CN"/>
                    </w:rPr>
                    <w:t>生活</w:t>
                  </w:r>
                  <w:r>
                    <w:rPr>
                      <w:rFonts w:hint="default" w:ascii="Times New Roman" w:hAnsi="Times New Roman" w:eastAsia="宋体" w:cs="Times New Roman"/>
                      <w:color w:val="auto"/>
                      <w:szCs w:val="21"/>
                      <w:highlight w:val="none"/>
                    </w:rPr>
                    <w:t>污水</w:t>
                  </w:r>
                </w:p>
              </w:tc>
              <w:tc>
                <w:tcPr>
                  <w:tcW w:w="909" w:type="dxa"/>
                  <w:vMerge w:val="restart"/>
                  <w:tcBorders>
                    <w:tl2br w:val="nil"/>
                    <w:tr2bl w:val="nil"/>
                  </w:tcBorders>
                  <w:noWrap w:val="0"/>
                  <w:vAlign w:val="center"/>
                </w:tcPr>
                <w:p w14:paraId="3D44677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520</w:t>
                  </w:r>
                </w:p>
              </w:tc>
              <w:tc>
                <w:tcPr>
                  <w:tcW w:w="1056" w:type="dxa"/>
                  <w:tcBorders>
                    <w:tl2br w:val="nil"/>
                    <w:tr2bl w:val="nil"/>
                  </w:tcBorders>
                  <w:noWrap/>
                  <w:vAlign w:val="center"/>
                </w:tcPr>
                <w:p w14:paraId="2C775CE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pH</w:t>
                  </w:r>
                </w:p>
              </w:tc>
              <w:tc>
                <w:tcPr>
                  <w:tcW w:w="1683" w:type="dxa"/>
                  <w:gridSpan w:val="2"/>
                  <w:tcBorders>
                    <w:tl2br w:val="nil"/>
                    <w:tr2bl w:val="nil"/>
                  </w:tcBorders>
                  <w:noWrap w:val="0"/>
                  <w:vAlign w:val="center"/>
                </w:tcPr>
                <w:p w14:paraId="1D23F66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6~9（无量纲）</w:t>
                  </w:r>
                </w:p>
              </w:tc>
              <w:tc>
                <w:tcPr>
                  <w:tcW w:w="1192" w:type="dxa"/>
                  <w:vMerge w:val="restart"/>
                  <w:tcBorders>
                    <w:tl2br w:val="nil"/>
                    <w:tr2bl w:val="nil"/>
                  </w:tcBorders>
                  <w:noWrap w:val="0"/>
                  <w:vAlign w:val="center"/>
                </w:tcPr>
                <w:p w14:paraId="6D49991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b w:val="0"/>
                      <w:bCs/>
                      <w:color w:val="auto"/>
                      <w:szCs w:val="21"/>
                      <w:highlight w:val="none"/>
                      <w:lang w:val="en-US" w:eastAsia="zh-CN"/>
                    </w:rPr>
                    <w:t xml:space="preserve"> 化粪池</w:t>
                  </w:r>
                </w:p>
              </w:tc>
              <w:tc>
                <w:tcPr>
                  <w:tcW w:w="855" w:type="dxa"/>
                  <w:tcBorders>
                    <w:tl2br w:val="nil"/>
                    <w:tr2bl w:val="nil"/>
                  </w:tcBorders>
                  <w:noWrap/>
                  <w:vAlign w:val="center"/>
                </w:tcPr>
                <w:p w14:paraId="2ADC927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w:t>
                  </w:r>
                </w:p>
              </w:tc>
              <w:tc>
                <w:tcPr>
                  <w:tcW w:w="1675" w:type="dxa"/>
                  <w:gridSpan w:val="2"/>
                  <w:tcBorders>
                    <w:tl2br w:val="nil"/>
                    <w:tr2bl w:val="nil"/>
                  </w:tcBorders>
                  <w:noWrap w:val="0"/>
                  <w:vAlign w:val="center"/>
                </w:tcPr>
                <w:p w14:paraId="4870678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6~9（无量纲）</w:t>
                  </w:r>
                </w:p>
              </w:tc>
            </w:tr>
            <w:tr w14:paraId="717DF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continue"/>
                  <w:tcBorders>
                    <w:tl2br w:val="nil"/>
                    <w:tr2bl w:val="nil"/>
                  </w:tcBorders>
                  <w:noWrap w:val="0"/>
                  <w:vAlign w:val="center"/>
                </w:tcPr>
                <w:p w14:paraId="3595BB46">
                  <w:pPr>
                    <w:keepNext w:val="0"/>
                    <w:keepLines w:val="0"/>
                    <w:suppressLineNumbers w:val="0"/>
                    <w:spacing w:before="0" w:beforeAutospacing="0" w:after="0" w:afterAutospacing="0" w:line="240" w:lineRule="auto"/>
                    <w:ind w:left="0" w:right="0"/>
                    <w:jc w:val="center"/>
                    <w:rPr>
                      <w:rFonts w:hint="eastAsia" w:cs="Times New Roman"/>
                      <w:i w:val="0"/>
                      <w:color w:val="auto"/>
                      <w:kern w:val="0"/>
                      <w:sz w:val="21"/>
                      <w:szCs w:val="21"/>
                      <w:highlight w:val="none"/>
                      <w:u w:val="none"/>
                      <w:lang w:val="en-US" w:eastAsia="zh-CN" w:bidi="ar"/>
                    </w:rPr>
                  </w:pPr>
                </w:p>
              </w:tc>
              <w:tc>
                <w:tcPr>
                  <w:tcW w:w="909" w:type="dxa"/>
                  <w:vMerge w:val="continue"/>
                  <w:tcBorders>
                    <w:tl2br w:val="nil"/>
                    <w:tr2bl w:val="nil"/>
                  </w:tcBorders>
                  <w:noWrap w:val="0"/>
                  <w:vAlign w:val="center"/>
                </w:tcPr>
                <w:p w14:paraId="4C1AAFA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56" w:type="dxa"/>
                  <w:tcBorders>
                    <w:tl2br w:val="nil"/>
                    <w:tr2bl w:val="nil"/>
                  </w:tcBorders>
                  <w:noWrap/>
                  <w:vAlign w:val="center"/>
                </w:tcPr>
                <w:p w14:paraId="4408D19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COD</w:t>
                  </w:r>
                </w:p>
              </w:tc>
              <w:tc>
                <w:tcPr>
                  <w:tcW w:w="836" w:type="dxa"/>
                  <w:tcBorders>
                    <w:tl2br w:val="nil"/>
                    <w:tr2bl w:val="nil"/>
                  </w:tcBorders>
                  <w:noWrap w:val="0"/>
                  <w:vAlign w:val="center"/>
                </w:tcPr>
                <w:p w14:paraId="4A56143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w:t>
                  </w:r>
                  <w:r>
                    <w:rPr>
                      <w:rFonts w:hint="eastAsia"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eastAsia="宋体" w:cs="Times New Roman"/>
                      <w:i w:val="0"/>
                      <w:color w:val="auto"/>
                      <w:kern w:val="0"/>
                      <w:sz w:val="21"/>
                      <w:szCs w:val="21"/>
                      <w:highlight w:val="none"/>
                      <w:u w:val="none"/>
                      <w:lang w:val="en-US" w:eastAsia="zh-CN" w:bidi="ar"/>
                    </w:rPr>
                    <w:t>0</w:t>
                  </w:r>
                </w:p>
              </w:tc>
              <w:tc>
                <w:tcPr>
                  <w:tcW w:w="847" w:type="dxa"/>
                  <w:tcBorders>
                    <w:tl2br w:val="nil"/>
                    <w:tr2bl w:val="nil"/>
                  </w:tcBorders>
                  <w:noWrap w:val="0"/>
                  <w:vAlign w:val="center"/>
                </w:tcPr>
                <w:p w14:paraId="486FC06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0.156</w:t>
                  </w:r>
                </w:p>
              </w:tc>
              <w:tc>
                <w:tcPr>
                  <w:tcW w:w="1192" w:type="dxa"/>
                  <w:vMerge w:val="continue"/>
                  <w:tcBorders>
                    <w:tl2br w:val="nil"/>
                    <w:tr2bl w:val="nil"/>
                  </w:tcBorders>
                  <w:noWrap w:val="0"/>
                  <w:vAlign w:val="center"/>
                </w:tcPr>
                <w:p w14:paraId="0FA92C8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855" w:type="dxa"/>
                  <w:tcBorders>
                    <w:tl2br w:val="nil"/>
                    <w:tr2bl w:val="nil"/>
                  </w:tcBorders>
                  <w:noWrap/>
                  <w:vAlign w:val="center"/>
                </w:tcPr>
                <w:p w14:paraId="78C3CD4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15%</w:t>
                  </w:r>
                </w:p>
              </w:tc>
              <w:tc>
                <w:tcPr>
                  <w:tcW w:w="821" w:type="dxa"/>
                  <w:tcBorders>
                    <w:tl2br w:val="nil"/>
                    <w:tr2bl w:val="nil"/>
                  </w:tcBorders>
                  <w:noWrap w:val="0"/>
                  <w:vAlign w:val="center"/>
                </w:tcPr>
                <w:p w14:paraId="5FF440F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255</w:t>
                  </w:r>
                </w:p>
              </w:tc>
              <w:tc>
                <w:tcPr>
                  <w:tcW w:w="854" w:type="dxa"/>
                  <w:tcBorders>
                    <w:tl2br w:val="nil"/>
                    <w:tr2bl w:val="nil"/>
                  </w:tcBorders>
                  <w:noWrap w:val="0"/>
                  <w:vAlign w:val="center"/>
                </w:tcPr>
                <w:p w14:paraId="1CC1901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0.133</w:t>
                  </w:r>
                </w:p>
              </w:tc>
            </w:tr>
            <w:tr w14:paraId="0F4CB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continue"/>
                  <w:tcBorders>
                    <w:tl2br w:val="nil"/>
                    <w:tr2bl w:val="nil"/>
                  </w:tcBorders>
                  <w:noWrap w:val="0"/>
                  <w:vAlign w:val="center"/>
                </w:tcPr>
                <w:p w14:paraId="05848729">
                  <w:pPr>
                    <w:keepNext w:val="0"/>
                    <w:keepLines w:val="0"/>
                    <w:widowControl/>
                    <w:suppressLineNumbers w:val="0"/>
                    <w:spacing w:before="0" w:beforeAutospacing="0" w:after="0" w:afterAutospacing="0" w:line="240" w:lineRule="auto"/>
                    <w:ind w:left="0" w:right="0"/>
                    <w:jc w:val="center"/>
                    <w:textAlignment w:val="center"/>
                    <w:rPr>
                      <w:rFonts w:hint="eastAsia" w:cs="Times New Roman"/>
                      <w:i w:val="0"/>
                      <w:color w:val="auto"/>
                      <w:kern w:val="0"/>
                      <w:sz w:val="21"/>
                      <w:szCs w:val="21"/>
                      <w:highlight w:val="none"/>
                      <w:u w:val="none"/>
                      <w:lang w:val="en-US" w:eastAsia="zh-CN" w:bidi="ar"/>
                    </w:rPr>
                  </w:pPr>
                </w:p>
              </w:tc>
              <w:tc>
                <w:tcPr>
                  <w:tcW w:w="909" w:type="dxa"/>
                  <w:vMerge w:val="continue"/>
                  <w:tcBorders>
                    <w:tl2br w:val="nil"/>
                    <w:tr2bl w:val="nil"/>
                  </w:tcBorders>
                  <w:noWrap w:val="0"/>
                  <w:vAlign w:val="center"/>
                </w:tcPr>
                <w:p w14:paraId="0073F8EB">
                  <w:pPr>
                    <w:keepNext w:val="0"/>
                    <w:keepLines w:val="0"/>
                    <w:widowControl/>
                    <w:suppressLineNumbers w:val="0"/>
                    <w:spacing w:before="0" w:beforeAutospacing="0" w:after="0" w:afterAutospacing="0" w:line="240" w:lineRule="auto"/>
                    <w:ind w:left="0" w:right="0"/>
                    <w:jc w:val="center"/>
                    <w:textAlignment w:val="center"/>
                    <w:rPr>
                      <w:rFonts w:hint="eastAsia" w:cs="Times New Roman"/>
                      <w:i w:val="0"/>
                      <w:color w:val="auto"/>
                      <w:kern w:val="0"/>
                      <w:sz w:val="21"/>
                      <w:szCs w:val="21"/>
                      <w:highlight w:val="none"/>
                      <w:u w:val="none"/>
                      <w:lang w:val="en-US" w:eastAsia="zh-CN" w:bidi="ar"/>
                    </w:rPr>
                  </w:pPr>
                </w:p>
              </w:tc>
              <w:tc>
                <w:tcPr>
                  <w:tcW w:w="1056" w:type="dxa"/>
                  <w:tcBorders>
                    <w:tl2br w:val="nil"/>
                    <w:tr2bl w:val="nil"/>
                  </w:tcBorders>
                  <w:noWrap/>
                  <w:vAlign w:val="center"/>
                </w:tcPr>
                <w:p w14:paraId="4FC732D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p>
              </w:tc>
              <w:tc>
                <w:tcPr>
                  <w:tcW w:w="836" w:type="dxa"/>
                  <w:tcBorders>
                    <w:tl2br w:val="nil"/>
                    <w:tr2bl w:val="nil"/>
                  </w:tcBorders>
                  <w:noWrap w:val="0"/>
                  <w:vAlign w:val="center"/>
                </w:tcPr>
                <w:p w14:paraId="03324AB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18</w:t>
                  </w:r>
                  <w:r>
                    <w:rPr>
                      <w:rFonts w:hint="eastAsia" w:ascii="Times New Roman" w:hAnsi="Times New Roman" w:eastAsia="宋体" w:cs="Times New Roman"/>
                      <w:i w:val="0"/>
                      <w:color w:val="auto"/>
                      <w:kern w:val="0"/>
                      <w:sz w:val="21"/>
                      <w:szCs w:val="21"/>
                      <w:highlight w:val="none"/>
                      <w:u w:val="none"/>
                      <w:lang w:val="en-US" w:eastAsia="zh-CN" w:bidi="ar"/>
                    </w:rPr>
                    <w:t>0</w:t>
                  </w:r>
                </w:p>
              </w:tc>
              <w:tc>
                <w:tcPr>
                  <w:tcW w:w="847" w:type="dxa"/>
                  <w:tcBorders>
                    <w:tl2br w:val="nil"/>
                    <w:tr2bl w:val="nil"/>
                  </w:tcBorders>
                  <w:noWrap w:val="0"/>
                  <w:vAlign w:val="center"/>
                </w:tcPr>
                <w:p w14:paraId="7CB1CBF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0.094</w:t>
                  </w:r>
                </w:p>
              </w:tc>
              <w:tc>
                <w:tcPr>
                  <w:tcW w:w="1192" w:type="dxa"/>
                  <w:vMerge w:val="continue"/>
                  <w:tcBorders>
                    <w:tl2br w:val="nil"/>
                    <w:tr2bl w:val="nil"/>
                  </w:tcBorders>
                  <w:noWrap w:val="0"/>
                  <w:vAlign w:val="center"/>
                </w:tcPr>
                <w:p w14:paraId="3B7BBC1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855" w:type="dxa"/>
                  <w:tcBorders>
                    <w:tl2br w:val="nil"/>
                    <w:tr2bl w:val="nil"/>
                  </w:tcBorders>
                  <w:noWrap/>
                  <w:vAlign w:val="center"/>
                </w:tcPr>
                <w:p w14:paraId="5138DD3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10%</w:t>
                  </w:r>
                </w:p>
              </w:tc>
              <w:tc>
                <w:tcPr>
                  <w:tcW w:w="821" w:type="dxa"/>
                  <w:tcBorders>
                    <w:tl2br w:val="nil"/>
                    <w:tr2bl w:val="nil"/>
                  </w:tcBorders>
                  <w:noWrap w:val="0"/>
                  <w:vAlign w:val="center"/>
                </w:tcPr>
                <w:p w14:paraId="35F1AF7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162</w:t>
                  </w:r>
                </w:p>
              </w:tc>
              <w:tc>
                <w:tcPr>
                  <w:tcW w:w="854" w:type="dxa"/>
                  <w:tcBorders>
                    <w:tl2br w:val="nil"/>
                    <w:tr2bl w:val="nil"/>
                  </w:tcBorders>
                  <w:noWrap w:val="0"/>
                  <w:vAlign w:val="center"/>
                </w:tcPr>
                <w:p w14:paraId="26594D2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0.084</w:t>
                  </w:r>
                </w:p>
              </w:tc>
            </w:tr>
            <w:tr w14:paraId="51E3F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continue"/>
                  <w:tcBorders>
                    <w:tl2br w:val="nil"/>
                    <w:tr2bl w:val="nil"/>
                  </w:tcBorders>
                  <w:noWrap w:val="0"/>
                  <w:vAlign w:val="center"/>
                </w:tcPr>
                <w:p w14:paraId="436145D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09" w:type="dxa"/>
                  <w:vMerge w:val="continue"/>
                  <w:tcBorders>
                    <w:tl2br w:val="nil"/>
                    <w:tr2bl w:val="nil"/>
                  </w:tcBorders>
                  <w:noWrap w:val="0"/>
                  <w:vAlign w:val="center"/>
                </w:tcPr>
                <w:p w14:paraId="3AF1046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56" w:type="dxa"/>
                  <w:tcBorders>
                    <w:tl2br w:val="nil"/>
                    <w:tr2bl w:val="nil"/>
                  </w:tcBorders>
                  <w:noWrap/>
                  <w:vAlign w:val="center"/>
                </w:tcPr>
                <w:p w14:paraId="64839A1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SS</w:t>
                  </w:r>
                </w:p>
              </w:tc>
              <w:tc>
                <w:tcPr>
                  <w:tcW w:w="836" w:type="dxa"/>
                  <w:tcBorders>
                    <w:tl2br w:val="nil"/>
                    <w:tr2bl w:val="nil"/>
                  </w:tcBorders>
                  <w:noWrap w:val="0"/>
                  <w:vAlign w:val="center"/>
                </w:tcPr>
                <w:p w14:paraId="4602655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20</w:t>
                  </w:r>
                  <w:r>
                    <w:rPr>
                      <w:rFonts w:hint="eastAsia" w:ascii="Times New Roman" w:hAnsi="Times New Roman" w:eastAsia="宋体" w:cs="Times New Roman"/>
                      <w:i w:val="0"/>
                      <w:color w:val="auto"/>
                      <w:kern w:val="0"/>
                      <w:sz w:val="21"/>
                      <w:szCs w:val="21"/>
                      <w:highlight w:val="none"/>
                      <w:u w:val="none"/>
                      <w:lang w:val="en-US" w:eastAsia="zh-CN" w:bidi="ar"/>
                    </w:rPr>
                    <w:t>0</w:t>
                  </w:r>
                </w:p>
              </w:tc>
              <w:tc>
                <w:tcPr>
                  <w:tcW w:w="847" w:type="dxa"/>
                  <w:tcBorders>
                    <w:tl2br w:val="nil"/>
                    <w:tr2bl w:val="nil"/>
                  </w:tcBorders>
                  <w:noWrap w:val="0"/>
                  <w:vAlign w:val="center"/>
                </w:tcPr>
                <w:p w14:paraId="2D6C9B5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0.104</w:t>
                  </w:r>
                </w:p>
              </w:tc>
              <w:tc>
                <w:tcPr>
                  <w:tcW w:w="1192" w:type="dxa"/>
                  <w:vMerge w:val="continue"/>
                  <w:tcBorders>
                    <w:tl2br w:val="nil"/>
                    <w:tr2bl w:val="nil"/>
                  </w:tcBorders>
                  <w:noWrap w:val="0"/>
                  <w:vAlign w:val="center"/>
                </w:tcPr>
                <w:p w14:paraId="1C50CA0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5" w:type="dxa"/>
                  <w:tcBorders>
                    <w:tl2br w:val="nil"/>
                    <w:tr2bl w:val="nil"/>
                  </w:tcBorders>
                  <w:noWrap/>
                  <w:vAlign w:val="center"/>
                </w:tcPr>
                <w:p w14:paraId="232C590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30%</w:t>
                  </w:r>
                </w:p>
              </w:tc>
              <w:tc>
                <w:tcPr>
                  <w:tcW w:w="821" w:type="dxa"/>
                  <w:tcBorders>
                    <w:tl2br w:val="nil"/>
                    <w:tr2bl w:val="nil"/>
                  </w:tcBorders>
                  <w:noWrap w:val="0"/>
                  <w:vAlign w:val="center"/>
                </w:tcPr>
                <w:p w14:paraId="7D81750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140</w:t>
                  </w:r>
                </w:p>
              </w:tc>
              <w:tc>
                <w:tcPr>
                  <w:tcW w:w="854" w:type="dxa"/>
                  <w:tcBorders>
                    <w:tl2br w:val="nil"/>
                    <w:tr2bl w:val="nil"/>
                  </w:tcBorders>
                  <w:noWrap w:val="0"/>
                  <w:vAlign w:val="center"/>
                </w:tcPr>
                <w:p w14:paraId="533A920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0.073</w:t>
                  </w:r>
                </w:p>
              </w:tc>
            </w:tr>
            <w:tr w14:paraId="68B53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continue"/>
                  <w:tcBorders>
                    <w:bottom w:val="single" w:color="auto" w:sz="4" w:space="0"/>
                    <w:tl2br w:val="nil"/>
                    <w:tr2bl w:val="nil"/>
                  </w:tcBorders>
                  <w:noWrap w:val="0"/>
                  <w:vAlign w:val="center"/>
                </w:tcPr>
                <w:p w14:paraId="0081101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09" w:type="dxa"/>
                  <w:vMerge w:val="continue"/>
                  <w:tcBorders>
                    <w:bottom w:val="single" w:color="auto" w:sz="4" w:space="0"/>
                    <w:tl2br w:val="nil"/>
                    <w:tr2bl w:val="nil"/>
                  </w:tcBorders>
                  <w:noWrap w:val="0"/>
                  <w:vAlign w:val="center"/>
                </w:tcPr>
                <w:p w14:paraId="1D491F3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56" w:type="dxa"/>
                  <w:tcBorders>
                    <w:bottom w:val="single" w:color="auto" w:sz="4" w:space="0"/>
                    <w:tl2br w:val="nil"/>
                    <w:tr2bl w:val="nil"/>
                  </w:tcBorders>
                  <w:noWrap/>
                  <w:vAlign w:val="center"/>
                </w:tcPr>
                <w:p w14:paraId="1637D79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NH</w:t>
                  </w:r>
                  <w:r>
                    <w:rPr>
                      <w:rFonts w:hint="default" w:ascii="Times New Roman" w:hAnsi="Times New Roman" w:eastAsia="宋体" w:cs="Times New Roman"/>
                      <w:i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-N</w:t>
                  </w:r>
                </w:p>
              </w:tc>
              <w:tc>
                <w:tcPr>
                  <w:tcW w:w="836" w:type="dxa"/>
                  <w:tcBorders>
                    <w:tl2br w:val="nil"/>
                    <w:tr2bl w:val="nil"/>
                  </w:tcBorders>
                  <w:noWrap w:val="0"/>
                  <w:vAlign w:val="center"/>
                </w:tcPr>
                <w:p w14:paraId="60DC77E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30</w:t>
                  </w:r>
                </w:p>
              </w:tc>
              <w:tc>
                <w:tcPr>
                  <w:tcW w:w="847" w:type="dxa"/>
                  <w:tcBorders>
                    <w:tl2br w:val="nil"/>
                    <w:tr2bl w:val="nil"/>
                  </w:tcBorders>
                  <w:noWrap w:val="0"/>
                  <w:vAlign w:val="center"/>
                </w:tcPr>
                <w:p w14:paraId="1227C71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0.016</w:t>
                  </w:r>
                </w:p>
              </w:tc>
              <w:tc>
                <w:tcPr>
                  <w:tcW w:w="1192" w:type="dxa"/>
                  <w:vMerge w:val="continue"/>
                  <w:tcBorders>
                    <w:bottom w:val="single" w:color="auto" w:sz="4" w:space="0"/>
                    <w:tl2br w:val="nil"/>
                    <w:tr2bl w:val="nil"/>
                  </w:tcBorders>
                  <w:noWrap w:val="0"/>
                  <w:vAlign w:val="center"/>
                </w:tcPr>
                <w:p w14:paraId="3E0643D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5" w:type="dxa"/>
                  <w:tcBorders>
                    <w:tl2br w:val="nil"/>
                    <w:tr2bl w:val="nil"/>
                  </w:tcBorders>
                  <w:noWrap/>
                  <w:vAlign w:val="center"/>
                </w:tcPr>
                <w:p w14:paraId="69E0936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0</w:t>
                  </w:r>
                </w:p>
              </w:tc>
              <w:tc>
                <w:tcPr>
                  <w:tcW w:w="821" w:type="dxa"/>
                  <w:tcBorders>
                    <w:tl2br w:val="nil"/>
                    <w:tr2bl w:val="nil"/>
                  </w:tcBorders>
                  <w:noWrap w:val="0"/>
                  <w:vAlign w:val="center"/>
                </w:tcPr>
                <w:p w14:paraId="567337B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30</w:t>
                  </w:r>
                </w:p>
              </w:tc>
              <w:tc>
                <w:tcPr>
                  <w:tcW w:w="854" w:type="dxa"/>
                  <w:tcBorders>
                    <w:tl2br w:val="nil"/>
                    <w:tr2bl w:val="nil"/>
                  </w:tcBorders>
                  <w:shd w:val="clear" w:color="auto" w:fill="auto"/>
                  <w:noWrap w:val="0"/>
                  <w:vAlign w:val="center"/>
                </w:tcPr>
                <w:p w14:paraId="4520148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0.016</w:t>
                  </w:r>
                </w:p>
              </w:tc>
            </w:tr>
            <w:tr w14:paraId="0F576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restart"/>
                  <w:tcBorders>
                    <w:top w:val="single" w:color="auto" w:sz="4" w:space="0"/>
                    <w:tl2br w:val="nil"/>
                    <w:tr2bl w:val="nil"/>
                  </w:tcBorders>
                  <w:noWrap w:val="0"/>
                  <w:vAlign w:val="center"/>
                </w:tcPr>
                <w:p w14:paraId="1AF4AB9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地坪保洁废水</w:t>
                  </w:r>
                </w:p>
              </w:tc>
              <w:tc>
                <w:tcPr>
                  <w:tcW w:w="909" w:type="dxa"/>
                  <w:vMerge w:val="restart"/>
                  <w:tcBorders>
                    <w:top w:val="single" w:color="auto" w:sz="4" w:space="0"/>
                    <w:tl2br w:val="nil"/>
                    <w:tr2bl w:val="nil"/>
                  </w:tcBorders>
                  <w:noWrap w:val="0"/>
                  <w:vAlign w:val="center"/>
                </w:tcPr>
                <w:p w14:paraId="142A00E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93.6</w:t>
                  </w:r>
                </w:p>
              </w:tc>
              <w:tc>
                <w:tcPr>
                  <w:tcW w:w="1056" w:type="dxa"/>
                  <w:tcBorders>
                    <w:top w:val="single" w:color="auto" w:sz="4" w:space="0"/>
                    <w:tl2br w:val="nil"/>
                    <w:tr2bl w:val="nil"/>
                  </w:tcBorders>
                  <w:shd w:val="clear" w:color="auto" w:fill="auto"/>
                  <w:noWrap/>
                  <w:vAlign w:val="center"/>
                </w:tcPr>
                <w:p w14:paraId="4606FC6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pH</w:t>
                  </w:r>
                </w:p>
              </w:tc>
              <w:tc>
                <w:tcPr>
                  <w:tcW w:w="1683" w:type="dxa"/>
                  <w:gridSpan w:val="2"/>
                  <w:tcBorders>
                    <w:tl2br w:val="nil"/>
                    <w:tr2bl w:val="nil"/>
                  </w:tcBorders>
                  <w:shd w:val="clear" w:color="auto" w:fill="auto"/>
                  <w:noWrap w:val="0"/>
                  <w:vAlign w:val="center"/>
                </w:tcPr>
                <w:p w14:paraId="62BD1513">
                  <w:pPr>
                    <w:keepNext w:val="0"/>
                    <w:keepLines w:val="0"/>
                    <w:widowControl/>
                    <w:suppressLineNumbers w:val="0"/>
                    <w:spacing w:before="0" w:beforeAutospacing="0" w:after="0" w:afterAutospacing="0" w:line="240" w:lineRule="auto"/>
                    <w:ind w:left="0" w:right="0"/>
                    <w:jc w:val="center"/>
                    <w:textAlignment w:val="center"/>
                    <w:rPr>
                      <w:rFonts w:hint="eastAsia"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6~9（无量纲）</w:t>
                  </w:r>
                </w:p>
              </w:tc>
              <w:tc>
                <w:tcPr>
                  <w:tcW w:w="1192" w:type="dxa"/>
                  <w:vMerge w:val="restart"/>
                  <w:tcBorders>
                    <w:top w:val="single" w:color="auto" w:sz="4" w:space="0"/>
                    <w:tl2br w:val="nil"/>
                    <w:tr2bl w:val="nil"/>
                  </w:tcBorders>
                  <w:noWrap w:val="0"/>
                  <w:vAlign w:val="center"/>
                </w:tcPr>
                <w:p w14:paraId="778C707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855" w:type="dxa"/>
                  <w:tcBorders>
                    <w:tl2br w:val="nil"/>
                    <w:tr2bl w:val="nil"/>
                  </w:tcBorders>
                  <w:shd w:val="clear" w:color="auto" w:fill="auto"/>
                  <w:noWrap/>
                  <w:vAlign w:val="center"/>
                </w:tcPr>
                <w:p w14:paraId="668BA2E6">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w:t>
                  </w:r>
                </w:p>
              </w:tc>
              <w:tc>
                <w:tcPr>
                  <w:tcW w:w="1675" w:type="dxa"/>
                  <w:gridSpan w:val="2"/>
                  <w:tcBorders>
                    <w:tl2br w:val="nil"/>
                    <w:tr2bl w:val="nil"/>
                  </w:tcBorders>
                  <w:shd w:val="clear" w:color="auto" w:fill="auto"/>
                  <w:noWrap w:val="0"/>
                  <w:vAlign w:val="center"/>
                </w:tcPr>
                <w:p w14:paraId="179CDF9E">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6~9（无量纲）</w:t>
                  </w:r>
                </w:p>
              </w:tc>
            </w:tr>
            <w:tr w14:paraId="1A77D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continue"/>
                  <w:tcBorders>
                    <w:tl2br w:val="nil"/>
                    <w:tr2bl w:val="nil"/>
                  </w:tcBorders>
                  <w:noWrap w:val="0"/>
                  <w:vAlign w:val="center"/>
                </w:tcPr>
                <w:p w14:paraId="5B58F99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09" w:type="dxa"/>
                  <w:vMerge w:val="continue"/>
                  <w:tcBorders>
                    <w:tl2br w:val="nil"/>
                    <w:tr2bl w:val="nil"/>
                  </w:tcBorders>
                  <w:noWrap w:val="0"/>
                  <w:vAlign w:val="center"/>
                </w:tcPr>
                <w:p w14:paraId="3765FA0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56" w:type="dxa"/>
                  <w:tcBorders>
                    <w:tl2br w:val="nil"/>
                    <w:tr2bl w:val="nil"/>
                  </w:tcBorders>
                  <w:noWrap/>
                  <w:vAlign w:val="center"/>
                </w:tcPr>
                <w:p w14:paraId="3913B15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COD</w:t>
                  </w:r>
                </w:p>
              </w:tc>
              <w:tc>
                <w:tcPr>
                  <w:tcW w:w="836" w:type="dxa"/>
                  <w:tcBorders>
                    <w:tl2br w:val="nil"/>
                    <w:tr2bl w:val="nil"/>
                  </w:tcBorders>
                  <w:noWrap w:val="0"/>
                  <w:vAlign w:val="center"/>
                </w:tcPr>
                <w:p w14:paraId="07646CD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100</w:t>
                  </w:r>
                </w:p>
              </w:tc>
              <w:tc>
                <w:tcPr>
                  <w:tcW w:w="847" w:type="dxa"/>
                  <w:tcBorders>
                    <w:tl2br w:val="nil"/>
                    <w:tr2bl w:val="nil"/>
                  </w:tcBorders>
                  <w:noWrap w:val="0"/>
                  <w:vAlign w:val="center"/>
                </w:tcPr>
                <w:p w14:paraId="00CA4C0C">
                  <w:pPr>
                    <w:keepNext w:val="0"/>
                    <w:keepLines w:val="0"/>
                    <w:widowControl/>
                    <w:suppressLineNumbers w:val="0"/>
                    <w:spacing w:before="0" w:beforeAutospacing="0" w:after="0" w:afterAutospacing="0" w:line="240" w:lineRule="auto"/>
                    <w:ind w:left="0" w:right="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0.009</w:t>
                  </w:r>
                </w:p>
              </w:tc>
              <w:tc>
                <w:tcPr>
                  <w:tcW w:w="1192" w:type="dxa"/>
                  <w:vMerge w:val="continue"/>
                  <w:tcBorders>
                    <w:tl2br w:val="nil"/>
                    <w:tr2bl w:val="nil"/>
                  </w:tcBorders>
                  <w:noWrap w:val="0"/>
                  <w:vAlign w:val="center"/>
                </w:tcPr>
                <w:p w14:paraId="3E30102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5" w:type="dxa"/>
                  <w:tcBorders>
                    <w:tl2br w:val="nil"/>
                    <w:tr2bl w:val="nil"/>
                  </w:tcBorders>
                  <w:noWrap/>
                  <w:vAlign w:val="center"/>
                </w:tcPr>
                <w:p w14:paraId="4347B08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w:t>
                  </w:r>
                </w:p>
              </w:tc>
              <w:tc>
                <w:tcPr>
                  <w:tcW w:w="821" w:type="dxa"/>
                  <w:tcBorders>
                    <w:tl2br w:val="nil"/>
                    <w:tr2bl w:val="nil"/>
                  </w:tcBorders>
                  <w:shd w:val="clear" w:color="auto" w:fill="auto"/>
                  <w:noWrap w:val="0"/>
                  <w:vAlign w:val="center"/>
                </w:tcPr>
                <w:p w14:paraId="7BD42CB8">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100</w:t>
                  </w:r>
                </w:p>
              </w:tc>
              <w:tc>
                <w:tcPr>
                  <w:tcW w:w="854" w:type="dxa"/>
                  <w:tcBorders>
                    <w:tl2br w:val="nil"/>
                    <w:tr2bl w:val="nil"/>
                  </w:tcBorders>
                  <w:shd w:val="clear" w:color="auto" w:fill="auto"/>
                  <w:noWrap w:val="0"/>
                  <w:vAlign w:val="center"/>
                </w:tcPr>
                <w:p w14:paraId="4091BA25">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0.009</w:t>
                  </w:r>
                </w:p>
              </w:tc>
            </w:tr>
            <w:tr w14:paraId="78821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continue"/>
                  <w:tcBorders>
                    <w:tl2br w:val="nil"/>
                    <w:tr2bl w:val="nil"/>
                  </w:tcBorders>
                  <w:noWrap w:val="0"/>
                  <w:vAlign w:val="center"/>
                </w:tcPr>
                <w:p w14:paraId="68FE675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09" w:type="dxa"/>
                  <w:vMerge w:val="continue"/>
                  <w:tcBorders>
                    <w:tl2br w:val="nil"/>
                    <w:tr2bl w:val="nil"/>
                  </w:tcBorders>
                  <w:noWrap w:val="0"/>
                  <w:vAlign w:val="center"/>
                </w:tcPr>
                <w:p w14:paraId="32A778E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56" w:type="dxa"/>
                  <w:tcBorders>
                    <w:tl2br w:val="nil"/>
                    <w:tr2bl w:val="nil"/>
                  </w:tcBorders>
                  <w:noWrap/>
                  <w:vAlign w:val="center"/>
                </w:tcPr>
                <w:p w14:paraId="2278103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SS</w:t>
                  </w:r>
                </w:p>
              </w:tc>
              <w:tc>
                <w:tcPr>
                  <w:tcW w:w="836" w:type="dxa"/>
                  <w:tcBorders>
                    <w:tl2br w:val="nil"/>
                    <w:tr2bl w:val="nil"/>
                  </w:tcBorders>
                  <w:noWrap w:val="0"/>
                  <w:vAlign w:val="center"/>
                </w:tcPr>
                <w:p w14:paraId="405420F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300</w:t>
                  </w:r>
                </w:p>
              </w:tc>
              <w:tc>
                <w:tcPr>
                  <w:tcW w:w="847" w:type="dxa"/>
                  <w:tcBorders>
                    <w:tl2br w:val="nil"/>
                    <w:tr2bl w:val="nil"/>
                  </w:tcBorders>
                  <w:noWrap w:val="0"/>
                  <w:vAlign w:val="center"/>
                </w:tcPr>
                <w:p w14:paraId="2B3FFEF9">
                  <w:pPr>
                    <w:keepNext w:val="0"/>
                    <w:keepLines w:val="0"/>
                    <w:widowControl/>
                    <w:suppressLineNumbers w:val="0"/>
                    <w:spacing w:before="0" w:beforeAutospacing="0" w:after="0" w:afterAutospacing="0" w:line="240" w:lineRule="auto"/>
                    <w:ind w:left="0" w:right="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0.028</w:t>
                  </w:r>
                </w:p>
              </w:tc>
              <w:tc>
                <w:tcPr>
                  <w:tcW w:w="1192" w:type="dxa"/>
                  <w:vMerge w:val="continue"/>
                  <w:tcBorders>
                    <w:bottom w:val="single" w:color="auto" w:sz="4" w:space="0"/>
                    <w:tl2br w:val="nil"/>
                    <w:tr2bl w:val="nil"/>
                  </w:tcBorders>
                  <w:noWrap w:val="0"/>
                  <w:vAlign w:val="center"/>
                </w:tcPr>
                <w:p w14:paraId="67F5127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5" w:type="dxa"/>
                  <w:tcBorders>
                    <w:tl2br w:val="nil"/>
                    <w:tr2bl w:val="nil"/>
                  </w:tcBorders>
                  <w:noWrap/>
                  <w:vAlign w:val="center"/>
                </w:tcPr>
                <w:p w14:paraId="48632D6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w:t>
                  </w:r>
                </w:p>
              </w:tc>
              <w:tc>
                <w:tcPr>
                  <w:tcW w:w="821" w:type="dxa"/>
                  <w:tcBorders>
                    <w:tl2br w:val="nil"/>
                    <w:tr2bl w:val="nil"/>
                  </w:tcBorders>
                  <w:shd w:val="clear" w:color="auto" w:fill="auto"/>
                  <w:noWrap w:val="0"/>
                  <w:vAlign w:val="center"/>
                </w:tcPr>
                <w:p w14:paraId="1CDBF619">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300</w:t>
                  </w:r>
                </w:p>
              </w:tc>
              <w:tc>
                <w:tcPr>
                  <w:tcW w:w="854" w:type="dxa"/>
                  <w:tcBorders>
                    <w:tl2br w:val="nil"/>
                    <w:tr2bl w:val="nil"/>
                  </w:tcBorders>
                  <w:shd w:val="clear" w:color="auto" w:fill="auto"/>
                  <w:noWrap w:val="0"/>
                  <w:vAlign w:val="center"/>
                </w:tcPr>
                <w:p w14:paraId="48E124BA">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0.028</w:t>
                  </w:r>
                </w:p>
              </w:tc>
            </w:tr>
            <w:tr w14:paraId="354E9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restart"/>
                  <w:tcBorders>
                    <w:top w:val="single" w:color="auto" w:sz="4" w:space="0"/>
                    <w:tl2br w:val="nil"/>
                    <w:tr2bl w:val="nil"/>
                  </w:tcBorders>
                  <w:noWrap w:val="0"/>
                  <w:vAlign w:val="center"/>
                </w:tcPr>
                <w:p w14:paraId="59B9294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食堂废水</w:t>
                  </w:r>
                </w:p>
              </w:tc>
              <w:tc>
                <w:tcPr>
                  <w:tcW w:w="909" w:type="dxa"/>
                  <w:vMerge w:val="restart"/>
                  <w:tcBorders>
                    <w:top w:val="single" w:color="auto" w:sz="4" w:space="0"/>
                    <w:tl2br w:val="nil"/>
                    <w:tr2bl w:val="nil"/>
                  </w:tcBorders>
                  <w:noWrap w:val="0"/>
                  <w:vAlign w:val="center"/>
                </w:tcPr>
                <w:p w14:paraId="7C014EF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156</w:t>
                  </w:r>
                </w:p>
              </w:tc>
              <w:tc>
                <w:tcPr>
                  <w:tcW w:w="1056" w:type="dxa"/>
                  <w:tcBorders>
                    <w:tl2br w:val="nil"/>
                    <w:tr2bl w:val="nil"/>
                  </w:tcBorders>
                  <w:shd w:val="clear" w:color="auto" w:fill="auto"/>
                  <w:noWrap/>
                  <w:vAlign w:val="center"/>
                </w:tcPr>
                <w:p w14:paraId="4FDFD8B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pH</w:t>
                  </w:r>
                </w:p>
              </w:tc>
              <w:tc>
                <w:tcPr>
                  <w:tcW w:w="1683" w:type="dxa"/>
                  <w:gridSpan w:val="2"/>
                  <w:tcBorders>
                    <w:tl2br w:val="nil"/>
                    <w:tr2bl w:val="nil"/>
                  </w:tcBorders>
                  <w:shd w:val="clear" w:color="auto" w:fill="auto"/>
                  <w:noWrap w:val="0"/>
                  <w:vAlign w:val="center"/>
                </w:tcPr>
                <w:p w14:paraId="30C99A26">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6~9（无量纲）</w:t>
                  </w:r>
                </w:p>
              </w:tc>
              <w:tc>
                <w:tcPr>
                  <w:tcW w:w="1192" w:type="dxa"/>
                  <w:vMerge w:val="restart"/>
                  <w:tcBorders>
                    <w:top w:val="single" w:color="auto" w:sz="4" w:space="0"/>
                    <w:tl2br w:val="nil"/>
                    <w:tr2bl w:val="nil"/>
                  </w:tcBorders>
                  <w:noWrap w:val="0"/>
                  <w:vAlign w:val="center"/>
                </w:tcPr>
                <w:p w14:paraId="23138A1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b w:val="0"/>
                      <w:bCs/>
                      <w:color w:val="auto"/>
                      <w:szCs w:val="21"/>
                      <w:highlight w:val="none"/>
                      <w:lang w:val="en-US" w:eastAsia="zh-CN"/>
                    </w:rPr>
                    <w:t>隔油池</w:t>
                  </w:r>
                </w:p>
              </w:tc>
              <w:tc>
                <w:tcPr>
                  <w:tcW w:w="855" w:type="dxa"/>
                  <w:tcBorders>
                    <w:tl2br w:val="nil"/>
                    <w:tr2bl w:val="nil"/>
                  </w:tcBorders>
                  <w:shd w:val="clear" w:color="auto" w:fill="auto"/>
                  <w:noWrap/>
                  <w:vAlign w:val="center"/>
                </w:tcPr>
                <w:p w14:paraId="19D0B703">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pH</w:t>
                  </w:r>
                </w:p>
              </w:tc>
              <w:tc>
                <w:tcPr>
                  <w:tcW w:w="1675" w:type="dxa"/>
                  <w:gridSpan w:val="2"/>
                  <w:tcBorders>
                    <w:tl2br w:val="nil"/>
                    <w:tr2bl w:val="nil"/>
                  </w:tcBorders>
                  <w:shd w:val="clear" w:color="auto" w:fill="auto"/>
                  <w:noWrap w:val="0"/>
                  <w:vAlign w:val="center"/>
                </w:tcPr>
                <w:p w14:paraId="07FF0897">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6~9（无量纲）</w:t>
                  </w:r>
                </w:p>
              </w:tc>
            </w:tr>
            <w:tr w14:paraId="438EE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continue"/>
                  <w:tcBorders>
                    <w:tl2br w:val="nil"/>
                    <w:tr2bl w:val="nil"/>
                  </w:tcBorders>
                  <w:noWrap w:val="0"/>
                  <w:vAlign w:val="center"/>
                </w:tcPr>
                <w:p w14:paraId="578FF63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09" w:type="dxa"/>
                  <w:vMerge w:val="continue"/>
                  <w:tcBorders>
                    <w:tl2br w:val="nil"/>
                    <w:tr2bl w:val="nil"/>
                  </w:tcBorders>
                  <w:noWrap w:val="0"/>
                  <w:vAlign w:val="center"/>
                </w:tcPr>
                <w:p w14:paraId="0CFF522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56" w:type="dxa"/>
                  <w:tcBorders>
                    <w:tl2br w:val="nil"/>
                    <w:tr2bl w:val="nil"/>
                  </w:tcBorders>
                  <w:shd w:val="clear" w:color="auto" w:fill="auto"/>
                  <w:noWrap/>
                  <w:vAlign w:val="center"/>
                </w:tcPr>
                <w:p w14:paraId="7C3A6D5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COD</w:t>
                  </w:r>
                </w:p>
              </w:tc>
              <w:tc>
                <w:tcPr>
                  <w:tcW w:w="836" w:type="dxa"/>
                  <w:tcBorders>
                    <w:tl2br w:val="nil"/>
                    <w:tr2bl w:val="nil"/>
                  </w:tcBorders>
                  <w:noWrap w:val="0"/>
                  <w:vAlign w:val="center"/>
                </w:tcPr>
                <w:p w14:paraId="204ECF8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250</w:t>
                  </w:r>
                </w:p>
              </w:tc>
              <w:tc>
                <w:tcPr>
                  <w:tcW w:w="847" w:type="dxa"/>
                  <w:tcBorders>
                    <w:tl2br w:val="nil"/>
                    <w:tr2bl w:val="nil"/>
                  </w:tcBorders>
                  <w:noWrap w:val="0"/>
                  <w:vAlign w:val="center"/>
                </w:tcPr>
                <w:p w14:paraId="5B8963DD">
                  <w:pPr>
                    <w:keepNext w:val="0"/>
                    <w:keepLines w:val="0"/>
                    <w:widowControl/>
                    <w:suppressLineNumbers w:val="0"/>
                    <w:spacing w:before="0" w:beforeAutospacing="0" w:after="0" w:afterAutospacing="0" w:line="240" w:lineRule="auto"/>
                    <w:ind w:left="0" w:right="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0.039</w:t>
                  </w:r>
                </w:p>
              </w:tc>
              <w:tc>
                <w:tcPr>
                  <w:tcW w:w="1192" w:type="dxa"/>
                  <w:vMerge w:val="continue"/>
                  <w:tcBorders>
                    <w:tl2br w:val="nil"/>
                    <w:tr2bl w:val="nil"/>
                  </w:tcBorders>
                  <w:noWrap w:val="0"/>
                  <w:vAlign w:val="center"/>
                </w:tcPr>
                <w:p w14:paraId="3A4CB49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5" w:type="dxa"/>
                  <w:tcBorders>
                    <w:tl2br w:val="nil"/>
                    <w:tr2bl w:val="nil"/>
                  </w:tcBorders>
                  <w:noWrap/>
                  <w:vAlign w:val="center"/>
                </w:tcPr>
                <w:p w14:paraId="1A45E8A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w:t>
                  </w:r>
                </w:p>
              </w:tc>
              <w:tc>
                <w:tcPr>
                  <w:tcW w:w="821" w:type="dxa"/>
                  <w:tcBorders>
                    <w:tl2br w:val="nil"/>
                    <w:tr2bl w:val="nil"/>
                  </w:tcBorders>
                  <w:shd w:val="clear" w:color="auto" w:fill="auto"/>
                  <w:noWrap w:val="0"/>
                  <w:vAlign w:val="center"/>
                </w:tcPr>
                <w:p w14:paraId="45DAC630">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250</w:t>
                  </w:r>
                </w:p>
              </w:tc>
              <w:tc>
                <w:tcPr>
                  <w:tcW w:w="854" w:type="dxa"/>
                  <w:tcBorders>
                    <w:tl2br w:val="nil"/>
                    <w:tr2bl w:val="nil"/>
                  </w:tcBorders>
                  <w:shd w:val="clear" w:color="auto" w:fill="auto"/>
                  <w:noWrap w:val="0"/>
                  <w:vAlign w:val="center"/>
                </w:tcPr>
                <w:p w14:paraId="691B6A4D">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0.039</w:t>
                  </w:r>
                </w:p>
              </w:tc>
            </w:tr>
            <w:tr w14:paraId="3D24B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continue"/>
                  <w:tcBorders>
                    <w:tl2br w:val="nil"/>
                    <w:tr2bl w:val="nil"/>
                  </w:tcBorders>
                  <w:noWrap w:val="0"/>
                  <w:vAlign w:val="center"/>
                </w:tcPr>
                <w:p w14:paraId="6AC9960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09" w:type="dxa"/>
                  <w:vMerge w:val="continue"/>
                  <w:tcBorders>
                    <w:tl2br w:val="nil"/>
                    <w:tr2bl w:val="nil"/>
                  </w:tcBorders>
                  <w:noWrap w:val="0"/>
                  <w:vAlign w:val="center"/>
                </w:tcPr>
                <w:p w14:paraId="6EF8ADA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56" w:type="dxa"/>
                  <w:tcBorders>
                    <w:tl2br w:val="nil"/>
                    <w:tr2bl w:val="nil"/>
                  </w:tcBorders>
                  <w:shd w:val="clear" w:color="auto" w:fill="auto"/>
                  <w:noWrap/>
                  <w:vAlign w:val="center"/>
                </w:tcPr>
                <w:p w14:paraId="30C8122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p>
              </w:tc>
              <w:tc>
                <w:tcPr>
                  <w:tcW w:w="836" w:type="dxa"/>
                  <w:tcBorders>
                    <w:tl2br w:val="nil"/>
                    <w:tr2bl w:val="nil"/>
                  </w:tcBorders>
                  <w:noWrap w:val="0"/>
                  <w:vAlign w:val="center"/>
                </w:tcPr>
                <w:p w14:paraId="69B3D0B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150</w:t>
                  </w:r>
                </w:p>
              </w:tc>
              <w:tc>
                <w:tcPr>
                  <w:tcW w:w="847" w:type="dxa"/>
                  <w:tcBorders>
                    <w:tl2br w:val="nil"/>
                    <w:tr2bl w:val="nil"/>
                  </w:tcBorders>
                  <w:noWrap w:val="0"/>
                  <w:vAlign w:val="center"/>
                </w:tcPr>
                <w:p w14:paraId="5CB94335">
                  <w:pPr>
                    <w:keepNext w:val="0"/>
                    <w:keepLines w:val="0"/>
                    <w:widowControl/>
                    <w:suppressLineNumbers w:val="0"/>
                    <w:spacing w:before="0" w:beforeAutospacing="0" w:after="0" w:afterAutospacing="0" w:line="240" w:lineRule="auto"/>
                    <w:ind w:left="0" w:right="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0.023</w:t>
                  </w:r>
                </w:p>
              </w:tc>
              <w:tc>
                <w:tcPr>
                  <w:tcW w:w="1192" w:type="dxa"/>
                  <w:vMerge w:val="continue"/>
                  <w:tcBorders>
                    <w:tl2br w:val="nil"/>
                    <w:tr2bl w:val="nil"/>
                  </w:tcBorders>
                  <w:noWrap w:val="0"/>
                  <w:vAlign w:val="center"/>
                </w:tcPr>
                <w:p w14:paraId="74BA3EC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5" w:type="dxa"/>
                  <w:tcBorders>
                    <w:tl2br w:val="nil"/>
                    <w:tr2bl w:val="nil"/>
                  </w:tcBorders>
                  <w:noWrap/>
                  <w:vAlign w:val="center"/>
                </w:tcPr>
                <w:p w14:paraId="086D2CB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w:t>
                  </w:r>
                </w:p>
              </w:tc>
              <w:tc>
                <w:tcPr>
                  <w:tcW w:w="821" w:type="dxa"/>
                  <w:tcBorders>
                    <w:tl2br w:val="nil"/>
                    <w:tr2bl w:val="nil"/>
                  </w:tcBorders>
                  <w:shd w:val="clear" w:color="auto" w:fill="auto"/>
                  <w:noWrap w:val="0"/>
                  <w:vAlign w:val="center"/>
                </w:tcPr>
                <w:p w14:paraId="55BA4624">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150</w:t>
                  </w:r>
                </w:p>
              </w:tc>
              <w:tc>
                <w:tcPr>
                  <w:tcW w:w="854" w:type="dxa"/>
                  <w:tcBorders>
                    <w:tl2br w:val="nil"/>
                    <w:tr2bl w:val="nil"/>
                  </w:tcBorders>
                  <w:shd w:val="clear" w:color="auto" w:fill="auto"/>
                  <w:noWrap w:val="0"/>
                  <w:vAlign w:val="center"/>
                </w:tcPr>
                <w:p w14:paraId="01826898">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0.023</w:t>
                  </w:r>
                </w:p>
              </w:tc>
            </w:tr>
            <w:tr w14:paraId="54825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continue"/>
                  <w:tcBorders>
                    <w:tl2br w:val="nil"/>
                    <w:tr2bl w:val="nil"/>
                  </w:tcBorders>
                  <w:noWrap w:val="0"/>
                  <w:vAlign w:val="center"/>
                </w:tcPr>
                <w:p w14:paraId="1C52575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09" w:type="dxa"/>
                  <w:vMerge w:val="continue"/>
                  <w:tcBorders>
                    <w:tl2br w:val="nil"/>
                    <w:tr2bl w:val="nil"/>
                  </w:tcBorders>
                  <w:noWrap w:val="0"/>
                  <w:vAlign w:val="center"/>
                </w:tcPr>
                <w:p w14:paraId="314C320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56" w:type="dxa"/>
                  <w:tcBorders>
                    <w:tl2br w:val="nil"/>
                    <w:tr2bl w:val="nil"/>
                  </w:tcBorders>
                  <w:shd w:val="clear" w:color="auto" w:fill="auto"/>
                  <w:noWrap/>
                  <w:vAlign w:val="center"/>
                </w:tcPr>
                <w:p w14:paraId="36B6054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SS</w:t>
                  </w:r>
                </w:p>
              </w:tc>
              <w:tc>
                <w:tcPr>
                  <w:tcW w:w="836" w:type="dxa"/>
                  <w:tcBorders>
                    <w:tl2br w:val="nil"/>
                    <w:tr2bl w:val="nil"/>
                  </w:tcBorders>
                  <w:noWrap w:val="0"/>
                  <w:vAlign w:val="center"/>
                </w:tcPr>
                <w:p w14:paraId="4146944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150</w:t>
                  </w:r>
                </w:p>
              </w:tc>
              <w:tc>
                <w:tcPr>
                  <w:tcW w:w="847" w:type="dxa"/>
                  <w:tcBorders>
                    <w:tl2br w:val="nil"/>
                    <w:tr2bl w:val="nil"/>
                  </w:tcBorders>
                  <w:noWrap w:val="0"/>
                  <w:vAlign w:val="center"/>
                </w:tcPr>
                <w:p w14:paraId="7C3951C0">
                  <w:pPr>
                    <w:keepNext w:val="0"/>
                    <w:keepLines w:val="0"/>
                    <w:widowControl/>
                    <w:suppressLineNumbers w:val="0"/>
                    <w:spacing w:before="0" w:beforeAutospacing="0" w:after="0" w:afterAutospacing="0" w:line="240" w:lineRule="auto"/>
                    <w:ind w:left="0" w:right="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0.023</w:t>
                  </w:r>
                </w:p>
              </w:tc>
              <w:tc>
                <w:tcPr>
                  <w:tcW w:w="1192" w:type="dxa"/>
                  <w:vMerge w:val="continue"/>
                  <w:tcBorders>
                    <w:tl2br w:val="nil"/>
                    <w:tr2bl w:val="nil"/>
                  </w:tcBorders>
                  <w:noWrap w:val="0"/>
                  <w:vAlign w:val="center"/>
                </w:tcPr>
                <w:p w14:paraId="0A212F6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5" w:type="dxa"/>
                  <w:tcBorders>
                    <w:tl2br w:val="nil"/>
                    <w:tr2bl w:val="nil"/>
                  </w:tcBorders>
                  <w:noWrap/>
                  <w:vAlign w:val="center"/>
                </w:tcPr>
                <w:p w14:paraId="4633866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w:t>
                  </w:r>
                </w:p>
              </w:tc>
              <w:tc>
                <w:tcPr>
                  <w:tcW w:w="821" w:type="dxa"/>
                  <w:tcBorders>
                    <w:tl2br w:val="nil"/>
                    <w:tr2bl w:val="nil"/>
                  </w:tcBorders>
                  <w:shd w:val="clear" w:color="auto" w:fill="auto"/>
                  <w:noWrap w:val="0"/>
                  <w:vAlign w:val="center"/>
                </w:tcPr>
                <w:p w14:paraId="7FFE25AC">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150</w:t>
                  </w:r>
                </w:p>
              </w:tc>
              <w:tc>
                <w:tcPr>
                  <w:tcW w:w="854" w:type="dxa"/>
                  <w:tcBorders>
                    <w:tl2br w:val="nil"/>
                    <w:tr2bl w:val="nil"/>
                  </w:tcBorders>
                  <w:shd w:val="clear" w:color="auto" w:fill="auto"/>
                  <w:noWrap w:val="0"/>
                  <w:vAlign w:val="center"/>
                </w:tcPr>
                <w:p w14:paraId="5886020D">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0.023</w:t>
                  </w:r>
                </w:p>
              </w:tc>
            </w:tr>
            <w:tr w14:paraId="20B82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continue"/>
                  <w:tcBorders>
                    <w:tl2br w:val="nil"/>
                    <w:tr2bl w:val="nil"/>
                  </w:tcBorders>
                  <w:noWrap w:val="0"/>
                  <w:vAlign w:val="center"/>
                </w:tcPr>
                <w:p w14:paraId="2C205F4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09" w:type="dxa"/>
                  <w:vMerge w:val="continue"/>
                  <w:tcBorders>
                    <w:tl2br w:val="nil"/>
                    <w:tr2bl w:val="nil"/>
                  </w:tcBorders>
                  <w:noWrap w:val="0"/>
                  <w:vAlign w:val="center"/>
                </w:tcPr>
                <w:p w14:paraId="2A56FC5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56" w:type="dxa"/>
                  <w:tcBorders>
                    <w:tl2br w:val="nil"/>
                    <w:tr2bl w:val="nil"/>
                  </w:tcBorders>
                  <w:shd w:val="clear" w:color="auto" w:fill="auto"/>
                  <w:noWrap/>
                  <w:vAlign w:val="center"/>
                </w:tcPr>
                <w:p w14:paraId="6292E37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NH</w:t>
                  </w:r>
                  <w:r>
                    <w:rPr>
                      <w:rFonts w:hint="default" w:ascii="Times New Roman" w:hAnsi="Times New Roman" w:eastAsia="宋体" w:cs="Times New Roman"/>
                      <w:i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-N</w:t>
                  </w:r>
                </w:p>
              </w:tc>
              <w:tc>
                <w:tcPr>
                  <w:tcW w:w="836" w:type="dxa"/>
                  <w:tcBorders>
                    <w:tl2br w:val="nil"/>
                    <w:tr2bl w:val="nil"/>
                  </w:tcBorders>
                  <w:noWrap w:val="0"/>
                  <w:vAlign w:val="center"/>
                </w:tcPr>
                <w:p w14:paraId="6FE68B6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30</w:t>
                  </w:r>
                </w:p>
              </w:tc>
              <w:tc>
                <w:tcPr>
                  <w:tcW w:w="847" w:type="dxa"/>
                  <w:tcBorders>
                    <w:tl2br w:val="nil"/>
                    <w:tr2bl w:val="nil"/>
                  </w:tcBorders>
                  <w:noWrap w:val="0"/>
                  <w:vAlign w:val="center"/>
                </w:tcPr>
                <w:p w14:paraId="1E08CE3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0.005</w:t>
                  </w:r>
                </w:p>
              </w:tc>
              <w:tc>
                <w:tcPr>
                  <w:tcW w:w="1192" w:type="dxa"/>
                  <w:vMerge w:val="continue"/>
                  <w:tcBorders>
                    <w:tl2br w:val="nil"/>
                    <w:tr2bl w:val="nil"/>
                  </w:tcBorders>
                  <w:noWrap w:val="0"/>
                  <w:vAlign w:val="center"/>
                </w:tcPr>
                <w:p w14:paraId="78C1FE2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5" w:type="dxa"/>
                  <w:tcBorders>
                    <w:tl2br w:val="nil"/>
                    <w:tr2bl w:val="nil"/>
                  </w:tcBorders>
                  <w:noWrap/>
                  <w:vAlign w:val="center"/>
                </w:tcPr>
                <w:p w14:paraId="4226D4F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w:t>
                  </w:r>
                </w:p>
              </w:tc>
              <w:tc>
                <w:tcPr>
                  <w:tcW w:w="821" w:type="dxa"/>
                  <w:tcBorders>
                    <w:tl2br w:val="nil"/>
                    <w:tr2bl w:val="nil"/>
                  </w:tcBorders>
                  <w:shd w:val="clear" w:color="auto" w:fill="auto"/>
                  <w:noWrap w:val="0"/>
                  <w:vAlign w:val="center"/>
                </w:tcPr>
                <w:p w14:paraId="50E2A16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30</w:t>
                  </w:r>
                </w:p>
              </w:tc>
              <w:tc>
                <w:tcPr>
                  <w:tcW w:w="854" w:type="dxa"/>
                  <w:tcBorders>
                    <w:tl2br w:val="nil"/>
                    <w:tr2bl w:val="nil"/>
                  </w:tcBorders>
                  <w:shd w:val="clear" w:color="auto" w:fill="auto"/>
                  <w:noWrap w:val="0"/>
                  <w:vAlign w:val="center"/>
                </w:tcPr>
                <w:p w14:paraId="65E9759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0.005</w:t>
                  </w:r>
                </w:p>
              </w:tc>
            </w:tr>
            <w:tr w14:paraId="06246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continue"/>
                  <w:tcBorders>
                    <w:tl2br w:val="nil"/>
                    <w:tr2bl w:val="nil"/>
                  </w:tcBorders>
                  <w:noWrap w:val="0"/>
                  <w:vAlign w:val="center"/>
                </w:tcPr>
                <w:p w14:paraId="54DB495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09" w:type="dxa"/>
                  <w:vMerge w:val="continue"/>
                  <w:tcBorders>
                    <w:tl2br w:val="nil"/>
                    <w:tr2bl w:val="nil"/>
                  </w:tcBorders>
                  <w:noWrap w:val="0"/>
                  <w:vAlign w:val="center"/>
                </w:tcPr>
                <w:p w14:paraId="5A9F966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56" w:type="dxa"/>
                  <w:tcBorders>
                    <w:tl2br w:val="nil"/>
                    <w:tr2bl w:val="nil"/>
                  </w:tcBorders>
                  <w:shd w:val="clear" w:color="auto" w:fill="auto"/>
                  <w:noWrap/>
                  <w:vAlign w:val="center"/>
                </w:tcPr>
                <w:p w14:paraId="38B626F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动植物油</w:t>
                  </w:r>
                </w:p>
              </w:tc>
              <w:tc>
                <w:tcPr>
                  <w:tcW w:w="836" w:type="dxa"/>
                  <w:tcBorders>
                    <w:tl2br w:val="nil"/>
                    <w:tr2bl w:val="nil"/>
                  </w:tcBorders>
                  <w:shd w:val="clear" w:color="auto" w:fill="auto"/>
                  <w:noWrap w:val="0"/>
                  <w:vAlign w:val="center"/>
                </w:tcPr>
                <w:p w14:paraId="4EF1426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10</w:t>
                  </w:r>
                </w:p>
              </w:tc>
              <w:tc>
                <w:tcPr>
                  <w:tcW w:w="847" w:type="dxa"/>
                  <w:tcBorders>
                    <w:tl2br w:val="nil"/>
                    <w:tr2bl w:val="nil"/>
                  </w:tcBorders>
                  <w:shd w:val="clear" w:color="auto" w:fill="auto"/>
                  <w:noWrap w:val="0"/>
                  <w:vAlign w:val="center"/>
                </w:tcPr>
                <w:p w14:paraId="295450E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0.0016</w:t>
                  </w:r>
                </w:p>
              </w:tc>
              <w:tc>
                <w:tcPr>
                  <w:tcW w:w="1192" w:type="dxa"/>
                  <w:vMerge w:val="continue"/>
                  <w:tcBorders>
                    <w:tl2br w:val="nil"/>
                    <w:tr2bl w:val="nil"/>
                  </w:tcBorders>
                  <w:noWrap w:val="0"/>
                  <w:vAlign w:val="center"/>
                </w:tcPr>
                <w:p w14:paraId="3878F23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5" w:type="dxa"/>
                  <w:tcBorders>
                    <w:tl2br w:val="nil"/>
                    <w:tr2bl w:val="nil"/>
                  </w:tcBorders>
                  <w:shd w:val="clear" w:color="auto" w:fill="auto"/>
                  <w:noWrap/>
                  <w:vAlign w:val="center"/>
                </w:tcPr>
                <w:p w14:paraId="4B3E12D9">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60%</w:t>
                  </w:r>
                </w:p>
              </w:tc>
              <w:tc>
                <w:tcPr>
                  <w:tcW w:w="821" w:type="dxa"/>
                  <w:tcBorders>
                    <w:tl2br w:val="nil"/>
                    <w:tr2bl w:val="nil"/>
                  </w:tcBorders>
                  <w:shd w:val="clear" w:color="auto" w:fill="auto"/>
                  <w:noWrap w:val="0"/>
                  <w:vAlign w:val="center"/>
                </w:tcPr>
                <w:p w14:paraId="3F8F09C1">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4</w:t>
                  </w:r>
                </w:p>
              </w:tc>
              <w:tc>
                <w:tcPr>
                  <w:tcW w:w="854" w:type="dxa"/>
                  <w:tcBorders>
                    <w:tl2br w:val="nil"/>
                    <w:tr2bl w:val="nil"/>
                  </w:tcBorders>
                  <w:shd w:val="clear" w:color="auto" w:fill="auto"/>
                  <w:noWrap w:val="0"/>
                  <w:vAlign w:val="center"/>
                </w:tcPr>
                <w:p w14:paraId="5945CB9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0.0006</w:t>
                  </w:r>
                </w:p>
              </w:tc>
            </w:tr>
            <w:tr w14:paraId="0A73F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restart"/>
                  <w:tcBorders>
                    <w:tl2br w:val="nil"/>
                    <w:tr2bl w:val="nil"/>
                  </w:tcBorders>
                  <w:noWrap w:val="0"/>
                  <w:vAlign w:val="center"/>
                </w:tcPr>
                <w:p w14:paraId="49284FD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循环冷却废水</w:t>
                  </w:r>
                </w:p>
              </w:tc>
              <w:tc>
                <w:tcPr>
                  <w:tcW w:w="909" w:type="dxa"/>
                  <w:vMerge w:val="restart"/>
                  <w:tcBorders>
                    <w:tl2br w:val="nil"/>
                    <w:tr2bl w:val="nil"/>
                  </w:tcBorders>
                  <w:noWrap w:val="0"/>
                  <w:vAlign w:val="center"/>
                </w:tcPr>
                <w:p w14:paraId="706D22B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8</w:t>
                  </w:r>
                </w:p>
              </w:tc>
              <w:tc>
                <w:tcPr>
                  <w:tcW w:w="1056" w:type="dxa"/>
                  <w:tcBorders>
                    <w:tl2br w:val="nil"/>
                    <w:tr2bl w:val="nil"/>
                  </w:tcBorders>
                  <w:shd w:val="clear" w:color="auto" w:fill="auto"/>
                  <w:noWrap/>
                  <w:vAlign w:val="center"/>
                </w:tcPr>
                <w:p w14:paraId="11F2ADF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pH</w:t>
                  </w:r>
                </w:p>
              </w:tc>
              <w:tc>
                <w:tcPr>
                  <w:tcW w:w="1683" w:type="dxa"/>
                  <w:gridSpan w:val="2"/>
                  <w:tcBorders>
                    <w:tl2br w:val="nil"/>
                    <w:tr2bl w:val="nil"/>
                  </w:tcBorders>
                  <w:shd w:val="clear" w:color="auto" w:fill="auto"/>
                  <w:noWrap w:val="0"/>
                  <w:vAlign w:val="center"/>
                </w:tcPr>
                <w:p w14:paraId="2FBF55E5">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6~9（无量纲）</w:t>
                  </w:r>
                </w:p>
              </w:tc>
              <w:tc>
                <w:tcPr>
                  <w:tcW w:w="1192" w:type="dxa"/>
                  <w:vMerge w:val="restart"/>
                  <w:tcBorders>
                    <w:tl2br w:val="nil"/>
                    <w:tr2bl w:val="nil"/>
                  </w:tcBorders>
                  <w:noWrap w:val="0"/>
                  <w:vAlign w:val="center"/>
                </w:tcPr>
                <w:p w14:paraId="5132A13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855" w:type="dxa"/>
                  <w:tcBorders>
                    <w:tl2br w:val="nil"/>
                    <w:tr2bl w:val="nil"/>
                  </w:tcBorders>
                  <w:shd w:val="clear" w:color="auto" w:fill="auto"/>
                  <w:noWrap/>
                  <w:vAlign w:val="center"/>
                </w:tcPr>
                <w:p w14:paraId="5EF08E0C">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w:t>
                  </w:r>
                </w:p>
              </w:tc>
              <w:tc>
                <w:tcPr>
                  <w:tcW w:w="1675" w:type="dxa"/>
                  <w:gridSpan w:val="2"/>
                  <w:tcBorders>
                    <w:tl2br w:val="nil"/>
                    <w:tr2bl w:val="nil"/>
                  </w:tcBorders>
                  <w:shd w:val="clear" w:color="auto" w:fill="auto"/>
                  <w:noWrap w:val="0"/>
                  <w:vAlign w:val="center"/>
                </w:tcPr>
                <w:p w14:paraId="31772453">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6~9（无量纲）</w:t>
                  </w:r>
                </w:p>
              </w:tc>
            </w:tr>
            <w:tr w14:paraId="7F67D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continue"/>
                  <w:tcBorders>
                    <w:tl2br w:val="nil"/>
                    <w:tr2bl w:val="nil"/>
                  </w:tcBorders>
                  <w:noWrap w:val="0"/>
                  <w:vAlign w:val="center"/>
                </w:tcPr>
                <w:p w14:paraId="4B79F66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09" w:type="dxa"/>
                  <w:vMerge w:val="continue"/>
                  <w:tcBorders>
                    <w:tl2br w:val="nil"/>
                    <w:tr2bl w:val="nil"/>
                  </w:tcBorders>
                  <w:noWrap w:val="0"/>
                  <w:vAlign w:val="center"/>
                </w:tcPr>
                <w:p w14:paraId="7AFD9EE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56" w:type="dxa"/>
                  <w:tcBorders>
                    <w:tl2br w:val="nil"/>
                    <w:tr2bl w:val="nil"/>
                  </w:tcBorders>
                  <w:shd w:val="clear" w:color="auto" w:fill="auto"/>
                  <w:noWrap/>
                  <w:vAlign w:val="center"/>
                </w:tcPr>
                <w:p w14:paraId="76D47478">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COD</w:t>
                  </w:r>
                </w:p>
              </w:tc>
              <w:tc>
                <w:tcPr>
                  <w:tcW w:w="836" w:type="dxa"/>
                  <w:tcBorders>
                    <w:tl2br w:val="nil"/>
                    <w:tr2bl w:val="nil"/>
                  </w:tcBorders>
                  <w:shd w:val="clear" w:color="auto" w:fill="auto"/>
                  <w:noWrap w:val="0"/>
                  <w:vAlign w:val="center"/>
                </w:tcPr>
                <w:p w14:paraId="21BD27CC">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w:t>
                  </w:r>
                  <w:r>
                    <w:rPr>
                      <w:rFonts w:hint="eastAsia"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w:t>
                  </w:r>
                </w:p>
              </w:tc>
              <w:tc>
                <w:tcPr>
                  <w:tcW w:w="847" w:type="dxa"/>
                  <w:tcBorders>
                    <w:tl2br w:val="nil"/>
                    <w:tr2bl w:val="nil"/>
                  </w:tcBorders>
                  <w:shd w:val="clear" w:color="auto" w:fill="auto"/>
                  <w:noWrap w:val="0"/>
                  <w:vAlign w:val="center"/>
                </w:tcPr>
                <w:p w14:paraId="7FC4795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0.0016</w:t>
                  </w:r>
                </w:p>
              </w:tc>
              <w:tc>
                <w:tcPr>
                  <w:tcW w:w="1192" w:type="dxa"/>
                  <w:vMerge w:val="continue"/>
                  <w:tcBorders>
                    <w:tl2br w:val="nil"/>
                    <w:tr2bl w:val="nil"/>
                  </w:tcBorders>
                  <w:noWrap w:val="0"/>
                  <w:vAlign w:val="center"/>
                </w:tcPr>
                <w:p w14:paraId="20E23D0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5" w:type="dxa"/>
                  <w:tcBorders>
                    <w:tl2br w:val="nil"/>
                    <w:tr2bl w:val="nil"/>
                  </w:tcBorders>
                  <w:shd w:val="clear" w:color="auto" w:fill="auto"/>
                  <w:noWrap/>
                  <w:vAlign w:val="center"/>
                </w:tcPr>
                <w:p w14:paraId="5BB82C49">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w:t>
                  </w:r>
                </w:p>
              </w:tc>
              <w:tc>
                <w:tcPr>
                  <w:tcW w:w="821" w:type="dxa"/>
                  <w:tcBorders>
                    <w:tl2br w:val="nil"/>
                    <w:tr2bl w:val="nil"/>
                  </w:tcBorders>
                  <w:shd w:val="clear" w:color="auto" w:fill="auto"/>
                  <w:noWrap w:val="0"/>
                  <w:vAlign w:val="center"/>
                </w:tcPr>
                <w:p w14:paraId="00A76E49">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w:t>
                  </w:r>
                  <w:r>
                    <w:rPr>
                      <w:rFonts w:hint="eastAsia"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w:t>
                  </w:r>
                </w:p>
              </w:tc>
              <w:tc>
                <w:tcPr>
                  <w:tcW w:w="854" w:type="dxa"/>
                  <w:tcBorders>
                    <w:tl2br w:val="nil"/>
                    <w:tr2bl w:val="nil"/>
                  </w:tcBorders>
                  <w:shd w:val="clear" w:color="auto" w:fill="auto"/>
                  <w:noWrap w:val="0"/>
                  <w:vAlign w:val="center"/>
                </w:tcPr>
                <w:p w14:paraId="175B3B24">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0.0016</w:t>
                  </w:r>
                </w:p>
              </w:tc>
            </w:tr>
            <w:tr w14:paraId="76FF2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continue"/>
                  <w:tcBorders>
                    <w:tl2br w:val="nil"/>
                    <w:tr2bl w:val="nil"/>
                  </w:tcBorders>
                  <w:noWrap w:val="0"/>
                  <w:vAlign w:val="center"/>
                </w:tcPr>
                <w:p w14:paraId="27FD2E5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09" w:type="dxa"/>
                  <w:vMerge w:val="continue"/>
                  <w:tcBorders>
                    <w:tl2br w:val="nil"/>
                    <w:tr2bl w:val="nil"/>
                  </w:tcBorders>
                  <w:noWrap w:val="0"/>
                  <w:vAlign w:val="center"/>
                </w:tcPr>
                <w:p w14:paraId="2D65240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56" w:type="dxa"/>
                  <w:tcBorders>
                    <w:tl2br w:val="nil"/>
                    <w:tr2bl w:val="nil"/>
                  </w:tcBorders>
                  <w:shd w:val="clear" w:color="auto" w:fill="auto"/>
                  <w:noWrap/>
                  <w:vAlign w:val="center"/>
                </w:tcPr>
                <w:p w14:paraId="1626FADF">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SS</w:t>
                  </w:r>
                </w:p>
              </w:tc>
              <w:tc>
                <w:tcPr>
                  <w:tcW w:w="836" w:type="dxa"/>
                  <w:tcBorders>
                    <w:tl2br w:val="nil"/>
                    <w:tr2bl w:val="nil"/>
                  </w:tcBorders>
                  <w:shd w:val="clear" w:color="auto" w:fill="auto"/>
                  <w:noWrap w:val="0"/>
                  <w:vAlign w:val="center"/>
                </w:tcPr>
                <w:p w14:paraId="0B42DC2D">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300</w:t>
                  </w:r>
                </w:p>
              </w:tc>
              <w:tc>
                <w:tcPr>
                  <w:tcW w:w="847" w:type="dxa"/>
                  <w:tcBorders>
                    <w:tl2br w:val="nil"/>
                    <w:tr2bl w:val="nil"/>
                  </w:tcBorders>
                  <w:shd w:val="clear" w:color="auto" w:fill="auto"/>
                  <w:noWrap w:val="0"/>
                  <w:vAlign w:val="center"/>
                </w:tcPr>
                <w:p w14:paraId="24781F6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0.0024</w:t>
                  </w:r>
                </w:p>
              </w:tc>
              <w:tc>
                <w:tcPr>
                  <w:tcW w:w="1192" w:type="dxa"/>
                  <w:vMerge w:val="continue"/>
                  <w:tcBorders>
                    <w:tl2br w:val="nil"/>
                    <w:tr2bl w:val="nil"/>
                  </w:tcBorders>
                  <w:noWrap w:val="0"/>
                  <w:vAlign w:val="center"/>
                </w:tcPr>
                <w:p w14:paraId="1EF3817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5" w:type="dxa"/>
                  <w:tcBorders>
                    <w:tl2br w:val="nil"/>
                    <w:tr2bl w:val="nil"/>
                  </w:tcBorders>
                  <w:shd w:val="clear" w:color="auto" w:fill="auto"/>
                  <w:noWrap/>
                  <w:vAlign w:val="center"/>
                </w:tcPr>
                <w:p w14:paraId="07A77D5C">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w:t>
                  </w:r>
                </w:p>
              </w:tc>
              <w:tc>
                <w:tcPr>
                  <w:tcW w:w="821" w:type="dxa"/>
                  <w:tcBorders>
                    <w:tl2br w:val="nil"/>
                    <w:tr2bl w:val="nil"/>
                  </w:tcBorders>
                  <w:shd w:val="clear" w:color="auto" w:fill="auto"/>
                  <w:noWrap w:val="0"/>
                  <w:vAlign w:val="center"/>
                </w:tcPr>
                <w:p w14:paraId="3760318A">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300</w:t>
                  </w:r>
                </w:p>
              </w:tc>
              <w:tc>
                <w:tcPr>
                  <w:tcW w:w="854" w:type="dxa"/>
                  <w:tcBorders>
                    <w:tl2br w:val="nil"/>
                    <w:tr2bl w:val="nil"/>
                  </w:tcBorders>
                  <w:shd w:val="clear" w:color="auto" w:fill="auto"/>
                  <w:noWrap w:val="0"/>
                  <w:vAlign w:val="center"/>
                </w:tcPr>
                <w:p w14:paraId="6D68B9AD">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0.0024</w:t>
                  </w:r>
                </w:p>
              </w:tc>
            </w:tr>
            <w:tr w14:paraId="06914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restart"/>
                  <w:tcBorders>
                    <w:tl2br w:val="nil"/>
                    <w:tr2bl w:val="nil"/>
                  </w:tcBorders>
                  <w:noWrap w:val="0"/>
                  <w:vAlign w:val="center"/>
                </w:tcPr>
                <w:p w14:paraId="72B8017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综合废水</w:t>
                  </w:r>
                </w:p>
              </w:tc>
              <w:tc>
                <w:tcPr>
                  <w:tcW w:w="909" w:type="dxa"/>
                  <w:vMerge w:val="restart"/>
                  <w:tcBorders>
                    <w:tl2br w:val="nil"/>
                    <w:tr2bl w:val="nil"/>
                  </w:tcBorders>
                  <w:noWrap w:val="0"/>
                  <w:vAlign w:val="center"/>
                </w:tcPr>
                <w:p w14:paraId="1ECF8AB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777.6</w:t>
                  </w:r>
                </w:p>
              </w:tc>
              <w:tc>
                <w:tcPr>
                  <w:tcW w:w="1056" w:type="dxa"/>
                  <w:tcBorders>
                    <w:tl2br w:val="nil"/>
                    <w:tr2bl w:val="nil"/>
                  </w:tcBorders>
                  <w:shd w:val="clear" w:color="auto" w:fill="auto"/>
                  <w:noWrap/>
                  <w:vAlign w:val="center"/>
                </w:tcPr>
                <w:p w14:paraId="6E6F8303">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pH</w:t>
                  </w:r>
                </w:p>
              </w:tc>
              <w:tc>
                <w:tcPr>
                  <w:tcW w:w="1683" w:type="dxa"/>
                  <w:gridSpan w:val="2"/>
                  <w:tcBorders>
                    <w:tl2br w:val="nil"/>
                    <w:tr2bl w:val="nil"/>
                  </w:tcBorders>
                  <w:shd w:val="clear" w:color="auto" w:fill="auto"/>
                  <w:noWrap w:val="0"/>
                  <w:vAlign w:val="center"/>
                </w:tcPr>
                <w:p w14:paraId="51A81CE6">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6~9（无量纲）</w:t>
                  </w:r>
                </w:p>
              </w:tc>
              <w:tc>
                <w:tcPr>
                  <w:tcW w:w="1192" w:type="dxa"/>
                  <w:vMerge w:val="restart"/>
                  <w:tcBorders>
                    <w:tl2br w:val="nil"/>
                    <w:tr2bl w:val="nil"/>
                  </w:tcBorders>
                  <w:noWrap w:val="0"/>
                  <w:vAlign w:val="center"/>
                </w:tcPr>
                <w:p w14:paraId="535FE80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855" w:type="dxa"/>
                  <w:tcBorders>
                    <w:tl2br w:val="nil"/>
                    <w:tr2bl w:val="nil"/>
                  </w:tcBorders>
                  <w:shd w:val="clear" w:color="auto" w:fill="auto"/>
                  <w:noWrap/>
                  <w:vAlign w:val="center"/>
                </w:tcPr>
                <w:p w14:paraId="347C4B0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c>
                <w:tcPr>
                  <w:tcW w:w="821" w:type="dxa"/>
                  <w:tcBorders>
                    <w:tl2br w:val="nil"/>
                    <w:tr2bl w:val="nil"/>
                  </w:tcBorders>
                  <w:shd w:val="clear" w:color="auto" w:fill="auto"/>
                  <w:noWrap w:val="0"/>
                  <w:vAlign w:val="center"/>
                </w:tcPr>
                <w:p w14:paraId="465A6FB7">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c>
                <w:tcPr>
                  <w:tcW w:w="854" w:type="dxa"/>
                  <w:tcBorders>
                    <w:tl2br w:val="nil"/>
                    <w:tr2bl w:val="nil"/>
                  </w:tcBorders>
                  <w:shd w:val="clear" w:color="auto" w:fill="auto"/>
                  <w:noWrap w:val="0"/>
                  <w:vAlign w:val="center"/>
                </w:tcPr>
                <w:p w14:paraId="4D6927E5">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r>
            <w:tr w14:paraId="3FEA9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continue"/>
                  <w:tcBorders>
                    <w:tl2br w:val="nil"/>
                    <w:tr2bl w:val="nil"/>
                  </w:tcBorders>
                  <w:noWrap w:val="0"/>
                  <w:vAlign w:val="center"/>
                </w:tcPr>
                <w:p w14:paraId="4227C1E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09" w:type="dxa"/>
                  <w:vMerge w:val="continue"/>
                  <w:tcBorders>
                    <w:tl2br w:val="nil"/>
                    <w:tr2bl w:val="nil"/>
                  </w:tcBorders>
                  <w:noWrap w:val="0"/>
                  <w:vAlign w:val="center"/>
                </w:tcPr>
                <w:p w14:paraId="33957F2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56" w:type="dxa"/>
                  <w:tcBorders>
                    <w:tl2br w:val="nil"/>
                    <w:tr2bl w:val="nil"/>
                  </w:tcBorders>
                  <w:shd w:val="clear" w:color="auto" w:fill="auto"/>
                  <w:noWrap/>
                  <w:vAlign w:val="center"/>
                </w:tcPr>
                <w:p w14:paraId="2F5E9AE9">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COD</w:t>
                  </w:r>
                </w:p>
              </w:tc>
              <w:tc>
                <w:tcPr>
                  <w:tcW w:w="836" w:type="dxa"/>
                  <w:tcBorders>
                    <w:tl2br w:val="nil"/>
                    <w:tr2bl w:val="nil"/>
                  </w:tcBorders>
                  <w:shd w:val="clear" w:color="auto" w:fill="auto"/>
                  <w:noWrap w:val="0"/>
                  <w:vAlign w:val="center"/>
                </w:tcPr>
                <w:p w14:paraId="7F601EA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235</w:t>
                  </w:r>
                </w:p>
              </w:tc>
              <w:tc>
                <w:tcPr>
                  <w:tcW w:w="847" w:type="dxa"/>
                  <w:tcBorders>
                    <w:tl2br w:val="nil"/>
                    <w:tr2bl w:val="nil"/>
                  </w:tcBorders>
                  <w:shd w:val="clear" w:color="auto" w:fill="auto"/>
                  <w:noWrap w:val="0"/>
                  <w:vAlign w:val="center"/>
                </w:tcPr>
                <w:p w14:paraId="26626CC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0.1826</w:t>
                  </w:r>
                </w:p>
              </w:tc>
              <w:tc>
                <w:tcPr>
                  <w:tcW w:w="1192" w:type="dxa"/>
                  <w:vMerge w:val="continue"/>
                  <w:tcBorders>
                    <w:tl2br w:val="nil"/>
                    <w:tr2bl w:val="nil"/>
                  </w:tcBorders>
                  <w:noWrap w:val="0"/>
                  <w:vAlign w:val="center"/>
                </w:tcPr>
                <w:p w14:paraId="2DB3BF9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5" w:type="dxa"/>
                  <w:tcBorders>
                    <w:tl2br w:val="nil"/>
                    <w:tr2bl w:val="nil"/>
                  </w:tcBorders>
                  <w:shd w:val="clear" w:color="auto" w:fill="auto"/>
                  <w:noWrap/>
                  <w:vAlign w:val="center"/>
                </w:tcPr>
                <w:p w14:paraId="312BE61C">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c>
                <w:tcPr>
                  <w:tcW w:w="821" w:type="dxa"/>
                  <w:tcBorders>
                    <w:tl2br w:val="nil"/>
                    <w:tr2bl w:val="nil"/>
                  </w:tcBorders>
                  <w:shd w:val="clear" w:color="auto" w:fill="auto"/>
                  <w:noWrap w:val="0"/>
                  <w:vAlign w:val="center"/>
                </w:tcPr>
                <w:p w14:paraId="344B9C62">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c>
                <w:tcPr>
                  <w:tcW w:w="854" w:type="dxa"/>
                  <w:tcBorders>
                    <w:tl2br w:val="nil"/>
                    <w:tr2bl w:val="nil"/>
                  </w:tcBorders>
                  <w:shd w:val="clear" w:color="auto" w:fill="auto"/>
                  <w:noWrap w:val="0"/>
                  <w:vAlign w:val="center"/>
                </w:tcPr>
                <w:p w14:paraId="280E006E">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r>
            <w:tr w14:paraId="41E4E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continue"/>
                  <w:tcBorders>
                    <w:tl2br w:val="nil"/>
                    <w:tr2bl w:val="nil"/>
                  </w:tcBorders>
                  <w:noWrap w:val="0"/>
                  <w:vAlign w:val="center"/>
                </w:tcPr>
                <w:p w14:paraId="20555E2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09" w:type="dxa"/>
                  <w:vMerge w:val="continue"/>
                  <w:tcBorders>
                    <w:tl2br w:val="nil"/>
                    <w:tr2bl w:val="nil"/>
                  </w:tcBorders>
                  <w:noWrap w:val="0"/>
                  <w:vAlign w:val="center"/>
                </w:tcPr>
                <w:p w14:paraId="1A2CE22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56" w:type="dxa"/>
                  <w:tcBorders>
                    <w:tl2br w:val="nil"/>
                    <w:tr2bl w:val="nil"/>
                  </w:tcBorders>
                  <w:shd w:val="clear" w:color="auto" w:fill="auto"/>
                  <w:noWrap/>
                  <w:vAlign w:val="center"/>
                </w:tcPr>
                <w:p w14:paraId="0524516D">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p>
              </w:tc>
              <w:tc>
                <w:tcPr>
                  <w:tcW w:w="836" w:type="dxa"/>
                  <w:tcBorders>
                    <w:tl2br w:val="nil"/>
                    <w:tr2bl w:val="nil"/>
                  </w:tcBorders>
                  <w:shd w:val="clear" w:color="auto" w:fill="auto"/>
                  <w:noWrap w:val="0"/>
                  <w:vAlign w:val="center"/>
                </w:tcPr>
                <w:p w14:paraId="60EED4B8">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139</w:t>
                  </w:r>
                </w:p>
              </w:tc>
              <w:tc>
                <w:tcPr>
                  <w:tcW w:w="847" w:type="dxa"/>
                  <w:tcBorders>
                    <w:tl2br w:val="nil"/>
                    <w:tr2bl w:val="nil"/>
                  </w:tcBorders>
                  <w:shd w:val="clear" w:color="auto" w:fill="auto"/>
                  <w:noWrap w:val="0"/>
                  <w:vAlign w:val="center"/>
                </w:tcPr>
                <w:p w14:paraId="7C054A1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0.107</w:t>
                  </w:r>
                </w:p>
              </w:tc>
              <w:tc>
                <w:tcPr>
                  <w:tcW w:w="1192" w:type="dxa"/>
                  <w:vMerge w:val="continue"/>
                  <w:tcBorders>
                    <w:tl2br w:val="nil"/>
                    <w:tr2bl w:val="nil"/>
                  </w:tcBorders>
                  <w:noWrap w:val="0"/>
                  <w:vAlign w:val="center"/>
                </w:tcPr>
                <w:p w14:paraId="7BAC77D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5" w:type="dxa"/>
                  <w:tcBorders>
                    <w:tl2br w:val="nil"/>
                    <w:tr2bl w:val="nil"/>
                  </w:tcBorders>
                  <w:shd w:val="clear" w:color="auto" w:fill="auto"/>
                  <w:noWrap/>
                  <w:vAlign w:val="center"/>
                </w:tcPr>
                <w:p w14:paraId="54050C2F">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c>
                <w:tcPr>
                  <w:tcW w:w="821" w:type="dxa"/>
                  <w:tcBorders>
                    <w:tl2br w:val="nil"/>
                    <w:tr2bl w:val="nil"/>
                  </w:tcBorders>
                  <w:shd w:val="clear" w:color="auto" w:fill="auto"/>
                  <w:noWrap w:val="0"/>
                  <w:vAlign w:val="center"/>
                </w:tcPr>
                <w:p w14:paraId="348C40B0">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c>
                <w:tcPr>
                  <w:tcW w:w="854" w:type="dxa"/>
                  <w:tcBorders>
                    <w:tl2br w:val="nil"/>
                    <w:tr2bl w:val="nil"/>
                  </w:tcBorders>
                  <w:shd w:val="clear" w:color="auto" w:fill="auto"/>
                  <w:noWrap w:val="0"/>
                  <w:vAlign w:val="center"/>
                </w:tcPr>
                <w:p w14:paraId="2FBE8B6D">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r>
            <w:tr w14:paraId="21293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continue"/>
                  <w:tcBorders>
                    <w:tl2br w:val="nil"/>
                    <w:tr2bl w:val="nil"/>
                  </w:tcBorders>
                  <w:noWrap w:val="0"/>
                  <w:vAlign w:val="center"/>
                </w:tcPr>
                <w:p w14:paraId="4794D26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09" w:type="dxa"/>
                  <w:vMerge w:val="continue"/>
                  <w:tcBorders>
                    <w:tl2br w:val="nil"/>
                    <w:tr2bl w:val="nil"/>
                  </w:tcBorders>
                  <w:noWrap w:val="0"/>
                  <w:vAlign w:val="center"/>
                </w:tcPr>
                <w:p w14:paraId="054D751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56" w:type="dxa"/>
                  <w:tcBorders>
                    <w:tl2br w:val="nil"/>
                    <w:tr2bl w:val="nil"/>
                  </w:tcBorders>
                  <w:shd w:val="clear" w:color="auto" w:fill="auto"/>
                  <w:noWrap/>
                  <w:vAlign w:val="center"/>
                </w:tcPr>
                <w:p w14:paraId="066F2691">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SS</w:t>
                  </w:r>
                </w:p>
              </w:tc>
              <w:tc>
                <w:tcPr>
                  <w:tcW w:w="836" w:type="dxa"/>
                  <w:tcBorders>
                    <w:tl2br w:val="nil"/>
                    <w:tr2bl w:val="nil"/>
                  </w:tcBorders>
                  <w:shd w:val="clear" w:color="auto" w:fill="auto"/>
                  <w:noWrap w:val="0"/>
                  <w:vAlign w:val="center"/>
                </w:tcPr>
                <w:p w14:paraId="53DCECD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163</w:t>
                  </w:r>
                </w:p>
              </w:tc>
              <w:tc>
                <w:tcPr>
                  <w:tcW w:w="847" w:type="dxa"/>
                  <w:tcBorders>
                    <w:tl2br w:val="nil"/>
                    <w:tr2bl w:val="nil"/>
                  </w:tcBorders>
                  <w:shd w:val="clear" w:color="auto" w:fill="auto"/>
                  <w:noWrap w:val="0"/>
                  <w:vAlign w:val="center"/>
                </w:tcPr>
                <w:p w14:paraId="7635642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0.1264</w:t>
                  </w:r>
                </w:p>
              </w:tc>
              <w:tc>
                <w:tcPr>
                  <w:tcW w:w="1192" w:type="dxa"/>
                  <w:vMerge w:val="continue"/>
                  <w:tcBorders>
                    <w:tl2br w:val="nil"/>
                    <w:tr2bl w:val="nil"/>
                  </w:tcBorders>
                  <w:noWrap w:val="0"/>
                  <w:vAlign w:val="center"/>
                </w:tcPr>
                <w:p w14:paraId="6FF385E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5" w:type="dxa"/>
                  <w:tcBorders>
                    <w:tl2br w:val="nil"/>
                    <w:tr2bl w:val="nil"/>
                  </w:tcBorders>
                  <w:shd w:val="clear" w:color="auto" w:fill="auto"/>
                  <w:noWrap/>
                  <w:vAlign w:val="center"/>
                </w:tcPr>
                <w:p w14:paraId="49C470AB">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c>
                <w:tcPr>
                  <w:tcW w:w="821" w:type="dxa"/>
                  <w:tcBorders>
                    <w:tl2br w:val="nil"/>
                    <w:tr2bl w:val="nil"/>
                  </w:tcBorders>
                  <w:shd w:val="clear" w:color="auto" w:fill="auto"/>
                  <w:noWrap w:val="0"/>
                  <w:vAlign w:val="center"/>
                </w:tcPr>
                <w:p w14:paraId="3813A135">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c>
                <w:tcPr>
                  <w:tcW w:w="854" w:type="dxa"/>
                  <w:tcBorders>
                    <w:tl2br w:val="nil"/>
                    <w:tr2bl w:val="nil"/>
                  </w:tcBorders>
                  <w:shd w:val="clear" w:color="auto" w:fill="auto"/>
                  <w:noWrap w:val="0"/>
                  <w:vAlign w:val="center"/>
                </w:tcPr>
                <w:p w14:paraId="5816CE92">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r>
            <w:tr w14:paraId="26A4F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continue"/>
                  <w:tcBorders>
                    <w:tl2br w:val="nil"/>
                    <w:tr2bl w:val="nil"/>
                  </w:tcBorders>
                  <w:noWrap w:val="0"/>
                  <w:vAlign w:val="center"/>
                </w:tcPr>
                <w:p w14:paraId="0DA265A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09" w:type="dxa"/>
                  <w:vMerge w:val="continue"/>
                  <w:tcBorders>
                    <w:tl2br w:val="nil"/>
                    <w:tr2bl w:val="nil"/>
                  </w:tcBorders>
                  <w:noWrap w:val="0"/>
                  <w:vAlign w:val="center"/>
                </w:tcPr>
                <w:p w14:paraId="23B3A2F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56" w:type="dxa"/>
                  <w:tcBorders>
                    <w:tl2br w:val="nil"/>
                    <w:tr2bl w:val="nil"/>
                  </w:tcBorders>
                  <w:shd w:val="clear" w:color="auto" w:fill="auto"/>
                  <w:noWrap/>
                  <w:vAlign w:val="center"/>
                </w:tcPr>
                <w:p w14:paraId="704967D5">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NH</w:t>
                  </w:r>
                  <w:r>
                    <w:rPr>
                      <w:rFonts w:hint="default" w:ascii="Times New Roman" w:hAnsi="Times New Roman" w:eastAsia="宋体" w:cs="Times New Roman"/>
                      <w:i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-N</w:t>
                  </w:r>
                </w:p>
              </w:tc>
              <w:tc>
                <w:tcPr>
                  <w:tcW w:w="836" w:type="dxa"/>
                  <w:tcBorders>
                    <w:tl2br w:val="nil"/>
                    <w:tr2bl w:val="nil"/>
                  </w:tcBorders>
                  <w:shd w:val="clear" w:color="auto" w:fill="auto"/>
                  <w:noWrap w:val="0"/>
                  <w:vAlign w:val="center"/>
                </w:tcPr>
                <w:p w14:paraId="4799BA7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27</w:t>
                  </w:r>
                </w:p>
              </w:tc>
              <w:tc>
                <w:tcPr>
                  <w:tcW w:w="847" w:type="dxa"/>
                  <w:tcBorders>
                    <w:tl2br w:val="nil"/>
                    <w:tr2bl w:val="nil"/>
                  </w:tcBorders>
                  <w:shd w:val="clear" w:color="auto" w:fill="auto"/>
                  <w:noWrap w:val="0"/>
                  <w:vAlign w:val="center"/>
                </w:tcPr>
                <w:p w14:paraId="6727E07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0.021</w:t>
                  </w:r>
                </w:p>
              </w:tc>
              <w:tc>
                <w:tcPr>
                  <w:tcW w:w="1192" w:type="dxa"/>
                  <w:vMerge w:val="continue"/>
                  <w:tcBorders>
                    <w:tl2br w:val="nil"/>
                    <w:tr2bl w:val="nil"/>
                  </w:tcBorders>
                  <w:noWrap w:val="0"/>
                  <w:vAlign w:val="center"/>
                </w:tcPr>
                <w:p w14:paraId="4AEF270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5" w:type="dxa"/>
                  <w:tcBorders>
                    <w:tl2br w:val="nil"/>
                    <w:tr2bl w:val="nil"/>
                  </w:tcBorders>
                  <w:shd w:val="clear" w:color="auto" w:fill="auto"/>
                  <w:noWrap/>
                  <w:vAlign w:val="center"/>
                </w:tcPr>
                <w:p w14:paraId="07EB8D63">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c>
                <w:tcPr>
                  <w:tcW w:w="821" w:type="dxa"/>
                  <w:tcBorders>
                    <w:tl2br w:val="nil"/>
                    <w:tr2bl w:val="nil"/>
                  </w:tcBorders>
                  <w:shd w:val="clear" w:color="auto" w:fill="auto"/>
                  <w:noWrap w:val="0"/>
                  <w:vAlign w:val="center"/>
                </w:tcPr>
                <w:p w14:paraId="5279D185">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c>
                <w:tcPr>
                  <w:tcW w:w="854" w:type="dxa"/>
                  <w:tcBorders>
                    <w:tl2br w:val="nil"/>
                    <w:tr2bl w:val="nil"/>
                  </w:tcBorders>
                  <w:shd w:val="clear" w:color="auto" w:fill="auto"/>
                  <w:noWrap w:val="0"/>
                  <w:vAlign w:val="center"/>
                </w:tcPr>
                <w:p w14:paraId="5DFACA67">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r>
            <w:tr w14:paraId="224F6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11" w:type="dxa"/>
                  <w:vMerge w:val="continue"/>
                  <w:tcBorders>
                    <w:tl2br w:val="nil"/>
                    <w:tr2bl w:val="nil"/>
                  </w:tcBorders>
                  <w:noWrap w:val="0"/>
                  <w:vAlign w:val="center"/>
                </w:tcPr>
                <w:p w14:paraId="1FAB61A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09" w:type="dxa"/>
                  <w:vMerge w:val="continue"/>
                  <w:tcBorders>
                    <w:tl2br w:val="nil"/>
                    <w:tr2bl w:val="nil"/>
                  </w:tcBorders>
                  <w:noWrap w:val="0"/>
                  <w:vAlign w:val="center"/>
                </w:tcPr>
                <w:p w14:paraId="7C776D8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56" w:type="dxa"/>
                  <w:tcBorders>
                    <w:tl2br w:val="nil"/>
                    <w:tr2bl w:val="nil"/>
                  </w:tcBorders>
                  <w:shd w:val="clear" w:color="auto" w:fill="auto"/>
                  <w:noWrap/>
                  <w:vAlign w:val="center"/>
                </w:tcPr>
                <w:p w14:paraId="25EB17EA">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动植物油</w:t>
                  </w:r>
                </w:p>
              </w:tc>
              <w:tc>
                <w:tcPr>
                  <w:tcW w:w="836" w:type="dxa"/>
                  <w:tcBorders>
                    <w:tl2br w:val="nil"/>
                    <w:tr2bl w:val="nil"/>
                  </w:tcBorders>
                  <w:shd w:val="clear" w:color="auto" w:fill="auto"/>
                  <w:noWrap w:val="0"/>
                  <w:vAlign w:val="center"/>
                </w:tcPr>
                <w:p w14:paraId="7EDBAED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0.8</w:t>
                  </w:r>
                </w:p>
              </w:tc>
              <w:tc>
                <w:tcPr>
                  <w:tcW w:w="847" w:type="dxa"/>
                  <w:tcBorders>
                    <w:tl2br w:val="nil"/>
                    <w:tr2bl w:val="nil"/>
                  </w:tcBorders>
                  <w:shd w:val="clear" w:color="auto" w:fill="auto"/>
                  <w:noWrap w:val="0"/>
                  <w:vAlign w:val="center"/>
                </w:tcPr>
                <w:p w14:paraId="17ECDB3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0.0006</w:t>
                  </w:r>
                </w:p>
              </w:tc>
              <w:tc>
                <w:tcPr>
                  <w:tcW w:w="1192" w:type="dxa"/>
                  <w:vMerge w:val="continue"/>
                  <w:tcBorders>
                    <w:tl2br w:val="nil"/>
                    <w:tr2bl w:val="nil"/>
                  </w:tcBorders>
                  <w:noWrap w:val="0"/>
                  <w:vAlign w:val="center"/>
                </w:tcPr>
                <w:p w14:paraId="772980F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5" w:type="dxa"/>
                  <w:tcBorders>
                    <w:tl2br w:val="nil"/>
                    <w:tr2bl w:val="nil"/>
                  </w:tcBorders>
                  <w:shd w:val="clear" w:color="auto" w:fill="auto"/>
                  <w:noWrap/>
                  <w:vAlign w:val="center"/>
                </w:tcPr>
                <w:p w14:paraId="1A41795C">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c>
                <w:tcPr>
                  <w:tcW w:w="821" w:type="dxa"/>
                  <w:tcBorders>
                    <w:tl2br w:val="nil"/>
                    <w:tr2bl w:val="nil"/>
                  </w:tcBorders>
                  <w:shd w:val="clear" w:color="auto" w:fill="auto"/>
                  <w:noWrap w:val="0"/>
                  <w:vAlign w:val="center"/>
                </w:tcPr>
                <w:p w14:paraId="46047D7D">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c>
                <w:tcPr>
                  <w:tcW w:w="854" w:type="dxa"/>
                  <w:tcBorders>
                    <w:tl2br w:val="nil"/>
                    <w:tr2bl w:val="nil"/>
                  </w:tcBorders>
                  <w:shd w:val="clear" w:color="auto" w:fill="auto"/>
                  <w:noWrap w:val="0"/>
                  <w:vAlign w:val="center"/>
                </w:tcPr>
                <w:p w14:paraId="295500E1">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r>
          </w:tbl>
          <w:p w14:paraId="7C64EB31">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jc w:val="center"/>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color w:val="auto"/>
                <w:sz w:val="21"/>
                <w:szCs w:val="21"/>
                <w:highlight w:val="none"/>
              </w:rPr>
              <w:t>表4-</w:t>
            </w:r>
            <w:r>
              <w:rPr>
                <w:rFonts w:hint="eastAsia"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废水类别、污染物及污染治理设施信息表</w:t>
            </w:r>
          </w:p>
          <w:tbl>
            <w:tblPr>
              <w:tblStyle w:val="40"/>
              <w:tblW w:w="4993"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90"/>
              <w:gridCol w:w="873"/>
              <w:gridCol w:w="1105"/>
              <w:gridCol w:w="898"/>
              <w:gridCol w:w="555"/>
              <w:gridCol w:w="684"/>
              <w:gridCol w:w="684"/>
              <w:gridCol w:w="798"/>
              <w:gridCol w:w="1014"/>
              <w:gridCol w:w="816"/>
              <w:gridCol w:w="1146"/>
            </w:tblGrid>
            <w:tr w14:paraId="16F36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0" w:type="pct"/>
                  <w:vMerge w:val="restart"/>
                  <w:tcBorders>
                    <w:tl2br w:val="nil"/>
                    <w:tr2bl w:val="nil"/>
                  </w:tcBorders>
                  <w:noWrap w:val="0"/>
                  <w:vAlign w:val="center"/>
                </w:tcPr>
                <w:p w14:paraId="37036AE6">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序号</w:t>
                  </w:r>
                </w:p>
              </w:tc>
              <w:tc>
                <w:tcPr>
                  <w:tcW w:w="481" w:type="pct"/>
                  <w:vMerge w:val="restart"/>
                  <w:tcBorders>
                    <w:tl2br w:val="nil"/>
                    <w:tr2bl w:val="nil"/>
                  </w:tcBorders>
                  <w:noWrap w:val="0"/>
                  <w:vAlign w:val="center"/>
                </w:tcPr>
                <w:p w14:paraId="46157B3A">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废水类别</w:t>
                  </w:r>
                </w:p>
              </w:tc>
              <w:tc>
                <w:tcPr>
                  <w:tcW w:w="609" w:type="pct"/>
                  <w:vMerge w:val="restart"/>
                  <w:tcBorders>
                    <w:tl2br w:val="nil"/>
                    <w:tr2bl w:val="nil"/>
                  </w:tcBorders>
                  <w:noWrap w:val="0"/>
                  <w:vAlign w:val="center"/>
                </w:tcPr>
                <w:p w14:paraId="685EC448">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污染物种类</w:t>
                  </w:r>
                </w:p>
              </w:tc>
              <w:tc>
                <w:tcPr>
                  <w:tcW w:w="495" w:type="pct"/>
                  <w:vMerge w:val="restart"/>
                  <w:tcBorders>
                    <w:tl2br w:val="nil"/>
                    <w:tr2bl w:val="nil"/>
                  </w:tcBorders>
                  <w:noWrap w:val="0"/>
                  <w:vAlign w:val="center"/>
                </w:tcPr>
                <w:p w14:paraId="5647C2FD">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排放出向</w:t>
                  </w:r>
                </w:p>
              </w:tc>
              <w:tc>
                <w:tcPr>
                  <w:tcW w:w="306" w:type="pct"/>
                  <w:vMerge w:val="restart"/>
                  <w:tcBorders>
                    <w:tl2br w:val="nil"/>
                    <w:tr2bl w:val="nil"/>
                  </w:tcBorders>
                  <w:noWrap w:val="0"/>
                  <w:vAlign w:val="center"/>
                </w:tcPr>
                <w:p w14:paraId="3339CC53">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排放规律</w:t>
                  </w:r>
                </w:p>
              </w:tc>
              <w:tc>
                <w:tcPr>
                  <w:tcW w:w="1194" w:type="pct"/>
                  <w:gridSpan w:val="3"/>
                  <w:tcBorders>
                    <w:tl2br w:val="nil"/>
                    <w:tr2bl w:val="nil"/>
                  </w:tcBorders>
                  <w:noWrap w:val="0"/>
                  <w:vAlign w:val="center"/>
                </w:tcPr>
                <w:p w14:paraId="14485C92">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污染治理设施</w:t>
                  </w:r>
                </w:p>
              </w:tc>
              <w:tc>
                <w:tcPr>
                  <w:tcW w:w="559" w:type="pct"/>
                  <w:vMerge w:val="restart"/>
                  <w:tcBorders>
                    <w:tl2br w:val="nil"/>
                    <w:tr2bl w:val="nil"/>
                  </w:tcBorders>
                  <w:noWrap w:val="0"/>
                  <w:vAlign w:val="center"/>
                </w:tcPr>
                <w:p w14:paraId="7647ED24">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排放口编号</w:t>
                  </w:r>
                </w:p>
              </w:tc>
              <w:tc>
                <w:tcPr>
                  <w:tcW w:w="450" w:type="pct"/>
                  <w:vMerge w:val="restart"/>
                  <w:tcBorders>
                    <w:tl2br w:val="nil"/>
                    <w:tr2bl w:val="nil"/>
                  </w:tcBorders>
                  <w:noWrap w:val="0"/>
                  <w:vAlign w:val="center"/>
                </w:tcPr>
                <w:p w14:paraId="2DECA0D4">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排放口设置是否符合要求</w:t>
                  </w:r>
                </w:p>
              </w:tc>
              <w:tc>
                <w:tcPr>
                  <w:tcW w:w="632" w:type="pct"/>
                  <w:vMerge w:val="restart"/>
                  <w:tcBorders>
                    <w:tl2br w:val="nil"/>
                    <w:tr2bl w:val="nil"/>
                  </w:tcBorders>
                  <w:noWrap w:val="0"/>
                  <w:vAlign w:val="center"/>
                </w:tcPr>
                <w:p w14:paraId="6FE5E64A">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排放口类型</w:t>
                  </w:r>
                </w:p>
              </w:tc>
            </w:tr>
            <w:tr w14:paraId="26BE9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0" w:type="pct"/>
                  <w:vMerge w:val="continue"/>
                  <w:tcBorders>
                    <w:tl2br w:val="nil"/>
                    <w:tr2bl w:val="nil"/>
                  </w:tcBorders>
                  <w:noWrap w:val="0"/>
                  <w:vAlign w:val="center"/>
                </w:tcPr>
                <w:p w14:paraId="5B90BE93">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481" w:type="pct"/>
                  <w:vMerge w:val="continue"/>
                  <w:tcBorders>
                    <w:tl2br w:val="nil"/>
                    <w:tr2bl w:val="nil"/>
                  </w:tcBorders>
                  <w:noWrap w:val="0"/>
                  <w:vAlign w:val="center"/>
                </w:tcPr>
                <w:p w14:paraId="62ED703F">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rPr>
                  </w:pPr>
                </w:p>
              </w:tc>
              <w:tc>
                <w:tcPr>
                  <w:tcW w:w="609" w:type="pct"/>
                  <w:vMerge w:val="continue"/>
                  <w:tcBorders>
                    <w:tl2br w:val="nil"/>
                    <w:tr2bl w:val="nil"/>
                  </w:tcBorders>
                  <w:noWrap w:val="0"/>
                  <w:vAlign w:val="center"/>
                </w:tcPr>
                <w:p w14:paraId="120AEA09">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rPr>
                  </w:pPr>
                </w:p>
              </w:tc>
              <w:tc>
                <w:tcPr>
                  <w:tcW w:w="495" w:type="pct"/>
                  <w:vMerge w:val="continue"/>
                  <w:tcBorders>
                    <w:tl2br w:val="nil"/>
                    <w:tr2bl w:val="nil"/>
                  </w:tcBorders>
                  <w:noWrap w:val="0"/>
                  <w:vAlign w:val="center"/>
                </w:tcPr>
                <w:p w14:paraId="1697660D">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rPr>
                  </w:pPr>
                </w:p>
              </w:tc>
              <w:tc>
                <w:tcPr>
                  <w:tcW w:w="306" w:type="pct"/>
                  <w:vMerge w:val="continue"/>
                  <w:tcBorders>
                    <w:tl2br w:val="nil"/>
                    <w:tr2bl w:val="nil"/>
                  </w:tcBorders>
                  <w:noWrap w:val="0"/>
                  <w:vAlign w:val="center"/>
                </w:tcPr>
                <w:p w14:paraId="04A65148">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rPr>
                  </w:pPr>
                </w:p>
              </w:tc>
              <w:tc>
                <w:tcPr>
                  <w:tcW w:w="377" w:type="pct"/>
                  <w:tcBorders>
                    <w:tl2br w:val="nil"/>
                    <w:tr2bl w:val="nil"/>
                  </w:tcBorders>
                  <w:noWrap w:val="0"/>
                  <w:vAlign w:val="center"/>
                </w:tcPr>
                <w:p w14:paraId="2FF27398">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污染治理设施编号</w:t>
                  </w:r>
                </w:p>
              </w:tc>
              <w:tc>
                <w:tcPr>
                  <w:tcW w:w="377" w:type="pct"/>
                  <w:tcBorders>
                    <w:tl2br w:val="nil"/>
                    <w:tr2bl w:val="nil"/>
                  </w:tcBorders>
                  <w:noWrap w:val="0"/>
                  <w:vAlign w:val="center"/>
                </w:tcPr>
                <w:p w14:paraId="2F8BBC4A">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污染治理设施名称</w:t>
                  </w:r>
                </w:p>
              </w:tc>
              <w:tc>
                <w:tcPr>
                  <w:tcW w:w="439" w:type="pct"/>
                  <w:tcBorders>
                    <w:tl2br w:val="nil"/>
                    <w:tr2bl w:val="nil"/>
                  </w:tcBorders>
                  <w:noWrap w:val="0"/>
                  <w:vAlign w:val="center"/>
                </w:tcPr>
                <w:p w14:paraId="5DBE594D">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污染处理设施工艺</w:t>
                  </w:r>
                </w:p>
              </w:tc>
              <w:tc>
                <w:tcPr>
                  <w:tcW w:w="559" w:type="pct"/>
                  <w:vMerge w:val="continue"/>
                  <w:tcBorders>
                    <w:tl2br w:val="nil"/>
                    <w:tr2bl w:val="nil"/>
                  </w:tcBorders>
                  <w:noWrap w:val="0"/>
                  <w:vAlign w:val="center"/>
                </w:tcPr>
                <w:p w14:paraId="098A9884">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rPr>
                  </w:pPr>
                </w:p>
              </w:tc>
              <w:tc>
                <w:tcPr>
                  <w:tcW w:w="450" w:type="pct"/>
                  <w:vMerge w:val="continue"/>
                  <w:tcBorders>
                    <w:tl2br w:val="nil"/>
                    <w:tr2bl w:val="nil"/>
                  </w:tcBorders>
                  <w:noWrap w:val="0"/>
                  <w:vAlign w:val="center"/>
                </w:tcPr>
                <w:p w14:paraId="693D1033">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rPr>
                  </w:pPr>
                </w:p>
              </w:tc>
              <w:tc>
                <w:tcPr>
                  <w:tcW w:w="632" w:type="pct"/>
                  <w:vMerge w:val="continue"/>
                  <w:tcBorders>
                    <w:tl2br w:val="nil"/>
                    <w:tr2bl w:val="nil"/>
                  </w:tcBorders>
                  <w:noWrap w:val="0"/>
                  <w:vAlign w:val="center"/>
                </w:tcPr>
                <w:p w14:paraId="230F0BA6">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rPr>
                  </w:pPr>
                </w:p>
              </w:tc>
            </w:tr>
            <w:tr w14:paraId="769DD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8" w:hRule="atLeast"/>
              </w:trPr>
              <w:tc>
                <w:tcPr>
                  <w:tcW w:w="270" w:type="pct"/>
                  <w:tcBorders>
                    <w:bottom w:val="single" w:color="auto" w:sz="4" w:space="0"/>
                    <w:tl2br w:val="nil"/>
                    <w:tr2bl w:val="nil"/>
                  </w:tcBorders>
                  <w:noWrap w:val="0"/>
                  <w:vAlign w:val="center"/>
                </w:tcPr>
                <w:p w14:paraId="05F3F044">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w:t>
                  </w:r>
                </w:p>
              </w:tc>
              <w:tc>
                <w:tcPr>
                  <w:tcW w:w="481" w:type="pct"/>
                  <w:tcBorders>
                    <w:bottom w:val="single" w:color="auto" w:sz="4" w:space="0"/>
                    <w:tl2br w:val="nil"/>
                    <w:tr2bl w:val="nil"/>
                  </w:tcBorders>
                  <w:noWrap w:val="0"/>
                  <w:vAlign w:val="center"/>
                </w:tcPr>
                <w:p w14:paraId="03F93825">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lang w:val="en-US" w:eastAsia="zh-CN"/>
                    </w:rPr>
                    <w:t>生活</w:t>
                  </w:r>
                  <w:r>
                    <w:rPr>
                      <w:rFonts w:hint="default" w:ascii="Times New Roman" w:hAnsi="Times New Roman" w:eastAsia="宋体" w:cs="Times New Roman"/>
                      <w:b w:val="0"/>
                      <w:bCs/>
                      <w:color w:val="auto"/>
                      <w:sz w:val="21"/>
                      <w:szCs w:val="21"/>
                      <w:highlight w:val="none"/>
                    </w:rPr>
                    <w:t>污水</w:t>
                  </w:r>
                </w:p>
              </w:tc>
              <w:tc>
                <w:tcPr>
                  <w:tcW w:w="609" w:type="pct"/>
                  <w:tcBorders>
                    <w:bottom w:val="single" w:color="auto" w:sz="4" w:space="0"/>
                    <w:tl2br w:val="nil"/>
                    <w:tr2bl w:val="nil"/>
                  </w:tcBorders>
                  <w:noWrap w:val="0"/>
                  <w:vAlign w:val="center"/>
                </w:tcPr>
                <w:p w14:paraId="340D596F">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
                    </w:rPr>
                    <w:t>pH、</w:t>
                  </w:r>
                  <w:r>
                    <w:rPr>
                      <w:rFonts w:hint="default" w:ascii="Times New Roman" w:hAnsi="Times New Roman" w:eastAsia="宋体" w:cs="Times New Roman"/>
                      <w:b w:val="0"/>
                      <w:bCs/>
                      <w:color w:val="auto"/>
                      <w:kern w:val="0"/>
                      <w:sz w:val="21"/>
                      <w:szCs w:val="21"/>
                      <w:highlight w:val="none"/>
                      <w:lang w:val="en-US" w:eastAsia="zh-CN" w:bidi="ar"/>
                    </w:rPr>
                    <w:t>COD、BOD、SS、</w:t>
                  </w: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495" w:type="pct"/>
                  <w:vMerge w:val="restart"/>
                  <w:tcBorders>
                    <w:tl2br w:val="nil"/>
                    <w:tr2bl w:val="nil"/>
                  </w:tcBorders>
                  <w:noWrap w:val="0"/>
                  <w:vAlign w:val="center"/>
                </w:tcPr>
                <w:p w14:paraId="36FFE43D">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rPr>
                    <w:t>五河县</w:t>
                  </w:r>
                  <w:r>
                    <w:rPr>
                      <w:rFonts w:hint="default" w:ascii="Times New Roman" w:hAnsi="Times New Roman" w:eastAsia="宋体" w:cs="Times New Roman"/>
                      <w:b w:val="0"/>
                      <w:bCs/>
                      <w:color w:val="auto"/>
                      <w:sz w:val="21"/>
                      <w:szCs w:val="21"/>
                      <w:highlight w:val="none"/>
                      <w:vertAlign w:val="baseline"/>
                      <w:lang w:val="en-US" w:eastAsia="zh-CN"/>
                    </w:rPr>
                    <w:t>城</w:t>
                  </w:r>
                  <w:r>
                    <w:rPr>
                      <w:rFonts w:hint="eastAsia" w:ascii="Times New Roman" w:cs="Times New Roman"/>
                      <w:b w:val="0"/>
                      <w:bCs/>
                      <w:color w:val="auto"/>
                      <w:sz w:val="21"/>
                      <w:szCs w:val="21"/>
                      <w:highlight w:val="none"/>
                      <w:vertAlign w:val="baseline"/>
                      <w:lang w:val="en-US" w:eastAsia="zh-CN"/>
                    </w:rPr>
                    <w:t>南</w:t>
                  </w:r>
                  <w:r>
                    <w:rPr>
                      <w:rFonts w:hint="default" w:ascii="Times New Roman" w:hAnsi="Times New Roman" w:eastAsia="宋体" w:cs="Times New Roman"/>
                      <w:b w:val="0"/>
                      <w:bCs/>
                      <w:color w:val="auto"/>
                      <w:sz w:val="21"/>
                      <w:szCs w:val="21"/>
                      <w:highlight w:val="none"/>
                      <w:vertAlign w:val="baseline"/>
                      <w:lang w:val="en-US" w:eastAsia="zh-CN"/>
                    </w:rPr>
                    <w:t>污水处理厂</w:t>
                  </w:r>
                </w:p>
              </w:tc>
              <w:tc>
                <w:tcPr>
                  <w:tcW w:w="306" w:type="pct"/>
                  <w:tcBorders>
                    <w:bottom w:val="single" w:color="auto" w:sz="4" w:space="0"/>
                    <w:tl2br w:val="nil"/>
                    <w:tr2bl w:val="nil"/>
                  </w:tcBorders>
                  <w:noWrap w:val="0"/>
                  <w:vAlign w:val="center"/>
                </w:tcPr>
                <w:p w14:paraId="006BA4E3">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间歇</w:t>
                  </w:r>
                </w:p>
              </w:tc>
              <w:tc>
                <w:tcPr>
                  <w:tcW w:w="377" w:type="pct"/>
                  <w:tcBorders>
                    <w:bottom w:val="single" w:color="auto" w:sz="4" w:space="0"/>
                    <w:tl2br w:val="nil"/>
                    <w:tr2bl w:val="nil"/>
                  </w:tcBorders>
                  <w:noWrap w:val="0"/>
                  <w:vAlign w:val="center"/>
                </w:tcPr>
                <w:p w14:paraId="6585288F">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377" w:type="pct"/>
                  <w:tcBorders>
                    <w:tl2br w:val="nil"/>
                    <w:tr2bl w:val="nil"/>
                  </w:tcBorders>
                  <w:noWrap w:val="0"/>
                  <w:vAlign w:val="center"/>
                </w:tcPr>
                <w:p w14:paraId="5B47997F">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化粪池</w:t>
                  </w:r>
                </w:p>
              </w:tc>
              <w:tc>
                <w:tcPr>
                  <w:tcW w:w="439" w:type="pct"/>
                  <w:tcBorders>
                    <w:tl2br w:val="nil"/>
                    <w:tr2bl w:val="nil"/>
                  </w:tcBorders>
                  <w:noWrap w:val="0"/>
                  <w:vAlign w:val="center"/>
                </w:tcPr>
                <w:p w14:paraId="3FC8995E">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559" w:type="pct"/>
                  <w:vMerge w:val="restart"/>
                  <w:tcBorders>
                    <w:tl2br w:val="nil"/>
                    <w:tr2bl w:val="nil"/>
                  </w:tcBorders>
                  <w:noWrap w:val="0"/>
                  <w:vAlign w:val="center"/>
                </w:tcPr>
                <w:p w14:paraId="4282E649">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DW001</w:t>
                  </w:r>
                </w:p>
              </w:tc>
              <w:tc>
                <w:tcPr>
                  <w:tcW w:w="450" w:type="pct"/>
                  <w:vMerge w:val="restart"/>
                  <w:tcBorders>
                    <w:tl2br w:val="nil"/>
                    <w:tr2bl w:val="nil"/>
                  </w:tcBorders>
                  <w:noWrap w:val="0"/>
                  <w:vAlign w:val="center"/>
                </w:tcPr>
                <w:p w14:paraId="2DD640AE">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sym w:font="Wingdings" w:char="00FE"/>
                  </w:r>
                  <w:r>
                    <w:rPr>
                      <w:rFonts w:hint="default" w:ascii="Times New Roman" w:hAnsi="Times New Roman" w:eastAsia="宋体" w:cs="Times New Roman"/>
                      <w:b w:val="0"/>
                      <w:bCs/>
                      <w:color w:val="auto"/>
                      <w:sz w:val="21"/>
                      <w:szCs w:val="21"/>
                      <w:highlight w:val="none"/>
                      <w:vertAlign w:val="baseline"/>
                      <w:lang w:eastAsia="zh-CN"/>
                    </w:rPr>
                    <w:t>是</w:t>
                  </w:r>
                </w:p>
                <w:p w14:paraId="7B9BCBCE">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eastAsia="zh-CN"/>
                    </w:rPr>
                    <w:sym w:font="Wingdings" w:char="00A8"/>
                  </w:r>
                  <w:r>
                    <w:rPr>
                      <w:rFonts w:hint="default" w:ascii="Times New Roman" w:hAnsi="Times New Roman" w:eastAsia="宋体" w:cs="Times New Roman"/>
                      <w:b w:val="0"/>
                      <w:bCs/>
                      <w:color w:val="auto"/>
                      <w:sz w:val="21"/>
                      <w:szCs w:val="21"/>
                      <w:highlight w:val="none"/>
                      <w:vertAlign w:val="baseline"/>
                      <w:lang w:eastAsia="zh-CN"/>
                    </w:rPr>
                    <w:t>否</w:t>
                  </w:r>
                </w:p>
              </w:tc>
              <w:tc>
                <w:tcPr>
                  <w:tcW w:w="632" w:type="pct"/>
                  <w:vMerge w:val="restart"/>
                  <w:tcBorders>
                    <w:tl2br w:val="nil"/>
                    <w:tr2bl w:val="nil"/>
                  </w:tcBorders>
                  <w:noWrap w:val="0"/>
                  <w:vAlign w:val="center"/>
                </w:tcPr>
                <w:p w14:paraId="0372DAF0">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sym w:font="Wingdings" w:char="00FE"/>
                  </w:r>
                  <w:r>
                    <w:rPr>
                      <w:rFonts w:hint="default" w:ascii="Times New Roman" w:hAnsi="Times New Roman" w:eastAsia="宋体" w:cs="Times New Roman"/>
                      <w:b w:val="0"/>
                      <w:bCs/>
                      <w:color w:val="auto"/>
                      <w:sz w:val="21"/>
                      <w:szCs w:val="21"/>
                      <w:highlight w:val="none"/>
                      <w:vertAlign w:val="baseline"/>
                      <w:lang w:eastAsia="zh-CN"/>
                    </w:rPr>
                    <w:t>企业总排</w:t>
                  </w:r>
                </w:p>
                <w:p w14:paraId="1B904C1C">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sym w:font="Wingdings" w:char="00A8"/>
                  </w:r>
                  <w:r>
                    <w:rPr>
                      <w:rFonts w:hint="default" w:ascii="Times New Roman" w:hAnsi="Times New Roman" w:eastAsia="宋体" w:cs="Times New Roman"/>
                      <w:b w:val="0"/>
                      <w:bCs/>
                      <w:color w:val="auto"/>
                      <w:sz w:val="21"/>
                      <w:szCs w:val="21"/>
                      <w:highlight w:val="none"/>
                      <w:vertAlign w:val="baseline"/>
                      <w:lang w:eastAsia="zh-CN"/>
                    </w:rPr>
                    <w:t>雨水排放</w:t>
                  </w:r>
                </w:p>
                <w:p w14:paraId="76D24497">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sym w:font="Wingdings" w:char="00A8"/>
                  </w:r>
                  <w:r>
                    <w:rPr>
                      <w:rFonts w:hint="default" w:ascii="Times New Roman" w:hAnsi="Times New Roman" w:eastAsia="宋体" w:cs="Times New Roman"/>
                      <w:b w:val="0"/>
                      <w:bCs/>
                      <w:color w:val="auto"/>
                      <w:sz w:val="21"/>
                      <w:szCs w:val="21"/>
                      <w:highlight w:val="none"/>
                      <w:vertAlign w:val="baseline"/>
                      <w:lang w:eastAsia="zh-CN"/>
                    </w:rPr>
                    <w:t>清净下水排放</w:t>
                  </w:r>
                </w:p>
                <w:p w14:paraId="2D15A49B">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sym w:font="Wingdings" w:char="00A8"/>
                  </w:r>
                  <w:r>
                    <w:rPr>
                      <w:rFonts w:hint="default" w:ascii="Times New Roman" w:hAnsi="Times New Roman" w:eastAsia="宋体" w:cs="Times New Roman"/>
                      <w:b w:val="0"/>
                      <w:bCs/>
                      <w:color w:val="auto"/>
                      <w:sz w:val="21"/>
                      <w:szCs w:val="21"/>
                      <w:highlight w:val="none"/>
                      <w:vertAlign w:val="baseline"/>
                      <w:lang w:eastAsia="zh-CN"/>
                    </w:rPr>
                    <w:t>温排水排放</w:t>
                  </w:r>
                </w:p>
                <w:p w14:paraId="236CA382">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sym w:font="Wingdings" w:char="00A8"/>
                  </w:r>
                  <w:r>
                    <w:rPr>
                      <w:rFonts w:hint="default" w:ascii="Times New Roman" w:hAnsi="Times New Roman" w:eastAsia="宋体" w:cs="Times New Roman"/>
                      <w:b w:val="0"/>
                      <w:bCs/>
                      <w:color w:val="auto"/>
                      <w:sz w:val="21"/>
                      <w:szCs w:val="21"/>
                      <w:highlight w:val="none"/>
                      <w:vertAlign w:val="baseline"/>
                      <w:lang w:eastAsia="zh-CN"/>
                    </w:rPr>
                    <w:t>车间或车间处理设施排放口</w:t>
                  </w:r>
                </w:p>
              </w:tc>
            </w:tr>
            <w:tr w14:paraId="66862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8" w:hRule="atLeast"/>
              </w:trPr>
              <w:tc>
                <w:tcPr>
                  <w:tcW w:w="270" w:type="pct"/>
                  <w:tcBorders>
                    <w:bottom w:val="single" w:color="auto" w:sz="4" w:space="0"/>
                    <w:tl2br w:val="nil"/>
                    <w:tr2bl w:val="nil"/>
                  </w:tcBorders>
                  <w:noWrap w:val="0"/>
                  <w:vAlign w:val="center"/>
                </w:tcPr>
                <w:p w14:paraId="654C99F2">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cs="Times New Roman"/>
                      <w:b w:val="0"/>
                      <w:bCs/>
                      <w:color w:val="auto"/>
                      <w:sz w:val="21"/>
                      <w:szCs w:val="21"/>
                      <w:highlight w:val="none"/>
                      <w:vertAlign w:val="baseline"/>
                      <w:lang w:val="en-US" w:eastAsia="zh-CN"/>
                    </w:rPr>
                    <w:t>2</w:t>
                  </w:r>
                </w:p>
              </w:tc>
              <w:tc>
                <w:tcPr>
                  <w:tcW w:w="481" w:type="pct"/>
                  <w:tcBorders>
                    <w:bottom w:val="single" w:color="auto" w:sz="4" w:space="0"/>
                    <w:tl2br w:val="nil"/>
                    <w:tr2bl w:val="nil"/>
                  </w:tcBorders>
                  <w:noWrap w:val="0"/>
                  <w:vAlign w:val="center"/>
                </w:tcPr>
                <w:p w14:paraId="317FD614">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地坪保洁废水</w:t>
                  </w:r>
                  <w:r>
                    <w:rPr>
                      <w:rFonts w:hint="eastAsia" w:ascii="Times New Roman" w:cs="Times New Roman"/>
                      <w:b w:val="0"/>
                      <w:bCs/>
                      <w:color w:val="auto"/>
                      <w:sz w:val="21"/>
                      <w:szCs w:val="21"/>
                      <w:highlight w:val="none"/>
                      <w:lang w:val="en-US" w:eastAsia="zh-CN"/>
                    </w:rPr>
                    <w:t>、循环冷却废水</w:t>
                  </w:r>
                </w:p>
              </w:tc>
              <w:tc>
                <w:tcPr>
                  <w:tcW w:w="609" w:type="pct"/>
                  <w:tcBorders>
                    <w:bottom w:val="single" w:color="auto" w:sz="4" w:space="0"/>
                    <w:tl2br w:val="nil"/>
                    <w:tr2bl w:val="nil"/>
                  </w:tcBorders>
                  <w:noWrap w:val="0"/>
                  <w:vAlign w:val="center"/>
                </w:tcPr>
                <w:p w14:paraId="240DBC70">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pH、</w:t>
                  </w:r>
                  <w:r>
                    <w:rPr>
                      <w:rFonts w:hint="default" w:ascii="Times New Roman" w:hAnsi="Times New Roman" w:eastAsia="宋体" w:cs="Times New Roman"/>
                      <w:b w:val="0"/>
                      <w:bCs/>
                      <w:color w:val="auto"/>
                      <w:kern w:val="0"/>
                      <w:sz w:val="21"/>
                      <w:szCs w:val="21"/>
                      <w:highlight w:val="none"/>
                      <w:lang w:val="en-US" w:eastAsia="zh-CN" w:bidi="ar"/>
                    </w:rPr>
                    <w:t>COD、SS</w:t>
                  </w:r>
                </w:p>
              </w:tc>
              <w:tc>
                <w:tcPr>
                  <w:tcW w:w="495" w:type="pct"/>
                  <w:vMerge w:val="continue"/>
                  <w:tcBorders>
                    <w:tl2br w:val="nil"/>
                    <w:tr2bl w:val="nil"/>
                  </w:tcBorders>
                  <w:noWrap w:val="0"/>
                  <w:vAlign w:val="center"/>
                </w:tcPr>
                <w:p w14:paraId="4179C8E7">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cs="Times New Roman"/>
                      <w:b w:val="0"/>
                      <w:bCs/>
                      <w:color w:val="auto"/>
                      <w:sz w:val="21"/>
                      <w:szCs w:val="21"/>
                      <w:highlight w:val="none"/>
                      <w:vertAlign w:val="baseline"/>
                      <w:lang w:val="en-US" w:eastAsia="zh-CN"/>
                    </w:rPr>
                  </w:pPr>
                </w:p>
              </w:tc>
              <w:tc>
                <w:tcPr>
                  <w:tcW w:w="306" w:type="pct"/>
                  <w:tcBorders>
                    <w:bottom w:val="single" w:color="auto" w:sz="4" w:space="0"/>
                    <w:tl2br w:val="nil"/>
                    <w:tr2bl w:val="nil"/>
                  </w:tcBorders>
                  <w:noWrap w:val="0"/>
                  <w:vAlign w:val="center"/>
                </w:tcPr>
                <w:p w14:paraId="13569746">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间歇</w:t>
                  </w:r>
                </w:p>
              </w:tc>
              <w:tc>
                <w:tcPr>
                  <w:tcW w:w="377" w:type="pct"/>
                  <w:tcBorders>
                    <w:bottom w:val="single" w:color="auto" w:sz="4" w:space="0"/>
                    <w:tl2br w:val="nil"/>
                    <w:tr2bl w:val="nil"/>
                  </w:tcBorders>
                  <w:noWrap w:val="0"/>
                  <w:vAlign w:val="center"/>
                </w:tcPr>
                <w:p w14:paraId="74DF4C06">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377" w:type="pct"/>
                  <w:tcBorders>
                    <w:tl2br w:val="nil"/>
                    <w:tr2bl w:val="nil"/>
                  </w:tcBorders>
                  <w:noWrap w:val="0"/>
                  <w:vAlign w:val="center"/>
                </w:tcPr>
                <w:p w14:paraId="6A41AB94">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439" w:type="pct"/>
                  <w:tcBorders>
                    <w:tl2br w:val="nil"/>
                    <w:tr2bl w:val="nil"/>
                  </w:tcBorders>
                  <w:noWrap w:val="0"/>
                  <w:vAlign w:val="center"/>
                </w:tcPr>
                <w:p w14:paraId="4DE2FC1F">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559" w:type="pct"/>
                  <w:vMerge w:val="continue"/>
                  <w:tcBorders>
                    <w:tl2br w:val="nil"/>
                    <w:tr2bl w:val="nil"/>
                  </w:tcBorders>
                  <w:noWrap w:val="0"/>
                  <w:vAlign w:val="center"/>
                </w:tcPr>
                <w:p w14:paraId="2CEFD563">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450" w:type="pct"/>
                  <w:vMerge w:val="continue"/>
                  <w:tcBorders>
                    <w:tl2br w:val="nil"/>
                    <w:tr2bl w:val="nil"/>
                  </w:tcBorders>
                  <w:noWrap w:val="0"/>
                  <w:vAlign w:val="center"/>
                </w:tcPr>
                <w:p w14:paraId="7FA5D8D5">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632" w:type="pct"/>
                  <w:vMerge w:val="continue"/>
                  <w:tcBorders>
                    <w:tl2br w:val="nil"/>
                    <w:tr2bl w:val="nil"/>
                  </w:tcBorders>
                  <w:noWrap w:val="0"/>
                  <w:vAlign w:val="center"/>
                </w:tcPr>
                <w:p w14:paraId="34C5CA01">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b w:val="0"/>
                      <w:bCs/>
                      <w:color w:val="auto"/>
                      <w:sz w:val="21"/>
                      <w:szCs w:val="21"/>
                      <w:highlight w:val="none"/>
                      <w:vertAlign w:val="baseline"/>
                      <w:lang w:eastAsia="zh-CN"/>
                    </w:rPr>
                  </w:pPr>
                </w:p>
              </w:tc>
            </w:tr>
            <w:tr w14:paraId="6F090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6" w:hRule="atLeast"/>
              </w:trPr>
              <w:tc>
                <w:tcPr>
                  <w:tcW w:w="270" w:type="pct"/>
                  <w:tcBorders>
                    <w:top w:val="single" w:color="auto" w:sz="4" w:space="0"/>
                    <w:bottom w:val="single" w:color="auto" w:sz="4" w:space="0"/>
                    <w:tl2br w:val="nil"/>
                    <w:tr2bl w:val="nil"/>
                  </w:tcBorders>
                  <w:noWrap w:val="0"/>
                  <w:vAlign w:val="center"/>
                </w:tcPr>
                <w:p w14:paraId="4C4A7EF0">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cs="Times New Roman"/>
                      <w:b w:val="0"/>
                      <w:bCs/>
                      <w:color w:val="auto"/>
                      <w:sz w:val="21"/>
                      <w:szCs w:val="21"/>
                      <w:highlight w:val="none"/>
                      <w:vertAlign w:val="baseline"/>
                      <w:lang w:val="en-US" w:eastAsia="zh-CN"/>
                    </w:rPr>
                    <w:t>3</w:t>
                  </w:r>
                </w:p>
              </w:tc>
              <w:tc>
                <w:tcPr>
                  <w:tcW w:w="481" w:type="pct"/>
                  <w:tcBorders>
                    <w:top w:val="single" w:color="auto" w:sz="4" w:space="0"/>
                    <w:bottom w:val="single" w:color="auto" w:sz="4" w:space="0"/>
                    <w:tl2br w:val="nil"/>
                    <w:tr2bl w:val="nil"/>
                  </w:tcBorders>
                  <w:noWrap w:val="0"/>
                  <w:vAlign w:val="center"/>
                </w:tcPr>
                <w:p w14:paraId="3F962E29">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食堂废水</w:t>
                  </w:r>
                </w:p>
              </w:tc>
              <w:tc>
                <w:tcPr>
                  <w:tcW w:w="609" w:type="pct"/>
                  <w:tcBorders>
                    <w:top w:val="single" w:color="auto" w:sz="4" w:space="0"/>
                    <w:bottom w:val="single" w:color="auto" w:sz="4" w:space="0"/>
                    <w:tl2br w:val="nil"/>
                    <w:tr2bl w:val="nil"/>
                  </w:tcBorders>
                  <w:noWrap w:val="0"/>
                  <w:vAlign w:val="center"/>
                </w:tcPr>
                <w:p w14:paraId="355C8934">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lang w:val="en-US" w:eastAsia="zh-CN" w:bidi="ar"/>
                    </w:rPr>
                    <w:t>pH、</w:t>
                  </w:r>
                  <w:r>
                    <w:rPr>
                      <w:rFonts w:hint="default" w:ascii="Times New Roman" w:hAnsi="Times New Roman" w:eastAsia="宋体" w:cs="Times New Roman"/>
                      <w:b w:val="0"/>
                      <w:bCs/>
                      <w:color w:val="auto"/>
                      <w:kern w:val="0"/>
                      <w:sz w:val="21"/>
                      <w:szCs w:val="21"/>
                      <w:highlight w:val="none"/>
                      <w:lang w:val="en-US" w:eastAsia="zh-CN" w:bidi="ar"/>
                    </w:rPr>
                    <w:t>COD、BOD、SS、</w:t>
                  </w: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r>
                    <w:rPr>
                      <w:rFonts w:hint="default" w:ascii="Times New Roman" w:hAnsi="Times New Roman" w:eastAsia="宋体" w:cs="Times New Roman"/>
                      <w:b w:val="0"/>
                      <w:bCs/>
                      <w:color w:val="auto"/>
                      <w:kern w:val="0"/>
                      <w:sz w:val="21"/>
                      <w:szCs w:val="21"/>
                      <w:highlight w:val="none"/>
                      <w:lang w:val="en-US" w:eastAsia="zh-CN" w:bidi="ar"/>
                    </w:rPr>
                    <w:t>、动植物油</w:t>
                  </w:r>
                </w:p>
              </w:tc>
              <w:tc>
                <w:tcPr>
                  <w:tcW w:w="495" w:type="pct"/>
                  <w:vMerge w:val="continue"/>
                  <w:tcBorders>
                    <w:tl2br w:val="nil"/>
                    <w:tr2bl w:val="nil"/>
                  </w:tcBorders>
                  <w:noWrap w:val="0"/>
                  <w:vAlign w:val="center"/>
                </w:tcPr>
                <w:p w14:paraId="420B84C0">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306" w:type="pct"/>
                  <w:tcBorders>
                    <w:top w:val="single" w:color="auto" w:sz="4" w:space="0"/>
                    <w:bottom w:val="single" w:color="auto" w:sz="4" w:space="0"/>
                    <w:tl2br w:val="nil"/>
                    <w:tr2bl w:val="nil"/>
                  </w:tcBorders>
                  <w:noWrap w:val="0"/>
                  <w:vAlign w:val="center"/>
                </w:tcPr>
                <w:p w14:paraId="172CB6E6">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间歇</w:t>
                  </w:r>
                </w:p>
              </w:tc>
              <w:tc>
                <w:tcPr>
                  <w:tcW w:w="377" w:type="pct"/>
                  <w:tcBorders>
                    <w:top w:val="single" w:color="auto" w:sz="4" w:space="0"/>
                    <w:bottom w:val="single" w:color="auto" w:sz="4" w:space="0"/>
                    <w:tl2br w:val="nil"/>
                    <w:tr2bl w:val="nil"/>
                  </w:tcBorders>
                  <w:noWrap w:val="0"/>
                  <w:vAlign w:val="center"/>
                </w:tcPr>
                <w:p w14:paraId="66C70427">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377" w:type="pct"/>
                  <w:tcBorders>
                    <w:top w:val="single" w:color="auto" w:sz="4" w:space="0"/>
                    <w:bottom w:val="single" w:color="auto" w:sz="4" w:space="0"/>
                    <w:tl2br w:val="nil"/>
                    <w:tr2bl w:val="nil"/>
                  </w:tcBorders>
                  <w:noWrap w:val="0"/>
                  <w:vAlign w:val="center"/>
                </w:tcPr>
                <w:p w14:paraId="463078A2">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隔油池</w:t>
                  </w:r>
                </w:p>
              </w:tc>
              <w:tc>
                <w:tcPr>
                  <w:tcW w:w="439" w:type="pct"/>
                  <w:tcBorders>
                    <w:top w:val="single" w:color="auto" w:sz="4" w:space="0"/>
                    <w:bottom w:val="single" w:color="auto" w:sz="4" w:space="0"/>
                    <w:tl2br w:val="nil"/>
                    <w:tr2bl w:val="nil"/>
                  </w:tcBorders>
                  <w:noWrap w:val="0"/>
                  <w:vAlign w:val="center"/>
                </w:tcPr>
                <w:p w14:paraId="277A931C">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559" w:type="pct"/>
                  <w:vMerge w:val="continue"/>
                  <w:tcBorders>
                    <w:tl2br w:val="nil"/>
                    <w:tr2bl w:val="nil"/>
                  </w:tcBorders>
                  <w:noWrap w:val="0"/>
                  <w:vAlign w:val="center"/>
                </w:tcPr>
                <w:p w14:paraId="6AA394D5">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450" w:type="pct"/>
                  <w:vMerge w:val="continue"/>
                  <w:tcBorders>
                    <w:tl2br w:val="nil"/>
                    <w:tr2bl w:val="nil"/>
                  </w:tcBorders>
                  <w:noWrap w:val="0"/>
                  <w:vAlign w:val="center"/>
                </w:tcPr>
                <w:p w14:paraId="0D8C1C17">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632" w:type="pct"/>
                  <w:vMerge w:val="continue"/>
                  <w:tcBorders>
                    <w:tl2br w:val="nil"/>
                    <w:tr2bl w:val="nil"/>
                  </w:tcBorders>
                  <w:noWrap w:val="0"/>
                  <w:vAlign w:val="center"/>
                </w:tcPr>
                <w:p w14:paraId="67E7A019">
                  <w:pPr>
                    <w:pStyle w:val="55"/>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b w:val="0"/>
                      <w:bCs/>
                      <w:color w:val="auto"/>
                      <w:sz w:val="21"/>
                      <w:szCs w:val="21"/>
                      <w:highlight w:val="none"/>
                      <w:vertAlign w:val="baseline"/>
                      <w:lang w:eastAsia="zh-CN"/>
                    </w:rPr>
                  </w:pPr>
                </w:p>
              </w:tc>
            </w:tr>
          </w:tbl>
          <w:p w14:paraId="066B5093">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表4-</w:t>
            </w:r>
            <w:r>
              <w:rPr>
                <w:rFonts w:hint="eastAsia" w:cs="Times New Roman"/>
                <w:b/>
                <w:color w:val="auto"/>
                <w:sz w:val="21"/>
                <w:szCs w:val="21"/>
                <w:highlight w:val="none"/>
                <w:lang w:val="en-US" w:eastAsia="zh-CN"/>
              </w:rPr>
              <w:t>9</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废水间接排放口基本情况表</w:t>
            </w:r>
          </w:p>
          <w:tbl>
            <w:tblPr>
              <w:tblStyle w:val="39"/>
              <w:tblW w:w="905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644"/>
              <w:gridCol w:w="704"/>
              <w:gridCol w:w="1206"/>
              <w:gridCol w:w="1101"/>
              <w:gridCol w:w="626"/>
              <w:gridCol w:w="426"/>
              <w:gridCol w:w="719"/>
              <w:gridCol w:w="809"/>
              <w:gridCol w:w="614"/>
              <w:gridCol w:w="794"/>
              <w:gridCol w:w="531"/>
            </w:tblGrid>
            <w:tr w14:paraId="59D3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79" w:type="pct"/>
                  <w:vMerge w:val="restart"/>
                  <w:tcBorders>
                    <w:tl2br w:val="nil"/>
                    <w:tr2bl w:val="nil"/>
                  </w:tcBorders>
                  <w:noWrap w:val="0"/>
                  <w:vAlign w:val="center"/>
                </w:tcPr>
                <w:p w14:paraId="36D7F0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排放口</w:t>
                  </w:r>
                </w:p>
                <w:p w14:paraId="0DF7ED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编号</w:t>
                  </w:r>
                </w:p>
              </w:tc>
              <w:tc>
                <w:tcPr>
                  <w:tcW w:w="397" w:type="pct"/>
                  <w:vMerge w:val="restart"/>
                  <w:tcBorders>
                    <w:tl2br w:val="nil"/>
                    <w:tr2bl w:val="nil"/>
                  </w:tcBorders>
                  <w:noWrap w:val="0"/>
                  <w:vAlign w:val="center"/>
                </w:tcPr>
                <w:p w14:paraId="57C3D1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排放口名称</w:t>
                  </w:r>
                </w:p>
              </w:tc>
              <w:tc>
                <w:tcPr>
                  <w:tcW w:w="430" w:type="pct"/>
                  <w:vMerge w:val="restart"/>
                  <w:tcBorders>
                    <w:tl2br w:val="nil"/>
                    <w:tr2bl w:val="nil"/>
                  </w:tcBorders>
                  <w:noWrap w:val="0"/>
                  <w:vAlign w:val="center"/>
                </w:tcPr>
                <w:p w14:paraId="361DE2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w:t>
                  </w:r>
                </w:p>
                <w:p w14:paraId="24521C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口类</w:t>
                  </w:r>
                </w:p>
                <w:p w14:paraId="18A833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rPr>
                    <w:t>型</w:t>
                  </w:r>
                </w:p>
              </w:tc>
              <w:tc>
                <w:tcPr>
                  <w:tcW w:w="1225" w:type="pct"/>
                  <w:gridSpan w:val="2"/>
                  <w:tcBorders>
                    <w:tl2br w:val="nil"/>
                    <w:tr2bl w:val="nil"/>
                  </w:tcBorders>
                  <w:noWrap w:val="0"/>
                  <w:vAlign w:val="center"/>
                </w:tcPr>
                <w:p w14:paraId="53BE15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排放口地理坐标</w:t>
                  </w:r>
                </w:p>
              </w:tc>
              <w:tc>
                <w:tcPr>
                  <w:tcW w:w="390" w:type="pct"/>
                  <w:vMerge w:val="restart"/>
                  <w:tcBorders>
                    <w:tl2br w:val="nil"/>
                    <w:tr2bl w:val="nil"/>
                  </w:tcBorders>
                  <w:noWrap w:val="0"/>
                  <w:vAlign w:val="center"/>
                </w:tcPr>
                <w:p w14:paraId="25EAF1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w:t>
                  </w:r>
                </w:p>
                <w:p w14:paraId="3E5EE3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放</w:t>
                  </w:r>
                </w:p>
                <w:p w14:paraId="4CB67A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去</w:t>
                  </w:r>
                </w:p>
                <w:p w14:paraId="0CF11C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向</w:t>
                  </w:r>
                </w:p>
              </w:tc>
              <w:tc>
                <w:tcPr>
                  <w:tcW w:w="235" w:type="pct"/>
                  <w:vMerge w:val="restart"/>
                  <w:tcBorders>
                    <w:tl2br w:val="nil"/>
                    <w:tr2bl w:val="nil"/>
                  </w:tcBorders>
                  <w:noWrap w:val="0"/>
                  <w:vAlign w:val="center"/>
                </w:tcPr>
                <w:p w14:paraId="2A5AE2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w:t>
                  </w:r>
                </w:p>
                <w:p w14:paraId="60EBB2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放</w:t>
                  </w:r>
                </w:p>
                <w:p w14:paraId="5C84F8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规</w:t>
                  </w:r>
                </w:p>
                <w:p w14:paraId="1F1873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律</w:t>
                  </w:r>
                </w:p>
              </w:tc>
              <w:tc>
                <w:tcPr>
                  <w:tcW w:w="438" w:type="pct"/>
                  <w:vMerge w:val="restart"/>
                  <w:tcBorders>
                    <w:tl2br w:val="nil"/>
                    <w:tr2bl w:val="nil"/>
                  </w:tcBorders>
                  <w:noWrap w:val="0"/>
                  <w:vAlign w:val="center"/>
                </w:tcPr>
                <w:p w14:paraId="22E8E1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废水</w:t>
                  </w:r>
                </w:p>
                <w:p w14:paraId="53BFB5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排放量</w:t>
                  </w:r>
                </w:p>
                <w:p w14:paraId="41C067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t/a</w:t>
                  </w:r>
                </w:p>
              </w:tc>
              <w:tc>
                <w:tcPr>
                  <w:tcW w:w="1501" w:type="pct"/>
                  <w:gridSpan w:val="4"/>
                  <w:tcBorders>
                    <w:tl2br w:val="nil"/>
                    <w:tr2bl w:val="nil"/>
                  </w:tcBorders>
                  <w:noWrap w:val="0"/>
                  <w:vAlign w:val="center"/>
                </w:tcPr>
                <w:p w14:paraId="659F78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污染物排放</w:t>
                  </w:r>
                </w:p>
              </w:tc>
            </w:tr>
            <w:tr w14:paraId="1B000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9" w:type="pct"/>
                  <w:vMerge w:val="continue"/>
                  <w:tcBorders>
                    <w:tl2br w:val="nil"/>
                    <w:tr2bl w:val="nil"/>
                  </w:tcBorders>
                  <w:noWrap w:val="0"/>
                  <w:vAlign w:val="center"/>
                </w:tcPr>
                <w:p w14:paraId="16F57F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p>
              </w:tc>
              <w:tc>
                <w:tcPr>
                  <w:tcW w:w="397" w:type="pct"/>
                  <w:vMerge w:val="continue"/>
                  <w:tcBorders>
                    <w:tl2br w:val="nil"/>
                    <w:tr2bl w:val="nil"/>
                  </w:tcBorders>
                  <w:noWrap w:val="0"/>
                  <w:vAlign w:val="center"/>
                </w:tcPr>
                <w:p w14:paraId="53335C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p>
              </w:tc>
              <w:tc>
                <w:tcPr>
                  <w:tcW w:w="430" w:type="pct"/>
                  <w:vMerge w:val="continue"/>
                  <w:tcBorders>
                    <w:tl2br w:val="nil"/>
                    <w:tr2bl w:val="nil"/>
                  </w:tcBorders>
                  <w:noWrap w:val="0"/>
                  <w:vAlign w:val="center"/>
                </w:tcPr>
                <w:p w14:paraId="0DE4D7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p>
              </w:tc>
              <w:tc>
                <w:tcPr>
                  <w:tcW w:w="586" w:type="pct"/>
                  <w:tcBorders>
                    <w:tl2br w:val="nil"/>
                    <w:tr2bl w:val="nil"/>
                  </w:tcBorders>
                  <w:noWrap w:val="0"/>
                  <w:vAlign w:val="center"/>
                </w:tcPr>
                <w:p w14:paraId="278F6F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经度</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eastAsia="zh-CN"/>
                    </w:rPr>
                    <w:t>）</w:t>
                  </w:r>
                </w:p>
              </w:tc>
              <w:tc>
                <w:tcPr>
                  <w:tcW w:w="639" w:type="pct"/>
                  <w:tcBorders>
                    <w:tl2br w:val="nil"/>
                    <w:tr2bl w:val="nil"/>
                  </w:tcBorders>
                  <w:noWrap w:val="0"/>
                  <w:vAlign w:val="center"/>
                </w:tcPr>
                <w:p w14:paraId="155876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纬度</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eastAsia="zh-CN"/>
                    </w:rPr>
                    <w:t>）</w:t>
                  </w:r>
                </w:p>
              </w:tc>
              <w:tc>
                <w:tcPr>
                  <w:tcW w:w="390" w:type="pct"/>
                  <w:vMerge w:val="continue"/>
                  <w:tcBorders>
                    <w:tl2br w:val="nil"/>
                    <w:tr2bl w:val="nil"/>
                  </w:tcBorders>
                  <w:noWrap w:val="0"/>
                  <w:vAlign w:val="center"/>
                </w:tcPr>
                <w:p w14:paraId="7F8B96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p>
              </w:tc>
              <w:tc>
                <w:tcPr>
                  <w:tcW w:w="235" w:type="pct"/>
                  <w:vMerge w:val="continue"/>
                  <w:tcBorders>
                    <w:tl2br w:val="nil"/>
                    <w:tr2bl w:val="nil"/>
                  </w:tcBorders>
                  <w:noWrap w:val="0"/>
                  <w:vAlign w:val="center"/>
                </w:tcPr>
                <w:p w14:paraId="0A3B90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p>
              </w:tc>
              <w:tc>
                <w:tcPr>
                  <w:tcW w:w="438" w:type="pct"/>
                  <w:vMerge w:val="continue"/>
                  <w:tcBorders>
                    <w:tl2br w:val="nil"/>
                    <w:tr2bl w:val="nil"/>
                  </w:tcBorders>
                  <w:noWrap w:val="0"/>
                  <w:vAlign w:val="center"/>
                </w:tcPr>
                <w:p w14:paraId="2099F7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p>
              </w:tc>
              <w:tc>
                <w:tcPr>
                  <w:tcW w:w="446" w:type="pct"/>
                  <w:tcBorders>
                    <w:tl2br w:val="nil"/>
                    <w:tr2bl w:val="nil"/>
                  </w:tcBorders>
                  <w:noWrap w:val="0"/>
                  <w:vAlign w:val="center"/>
                </w:tcPr>
                <w:p w14:paraId="2E48A2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污染物种类</w:t>
                  </w:r>
                </w:p>
              </w:tc>
              <w:tc>
                <w:tcPr>
                  <w:tcW w:w="380" w:type="pct"/>
                  <w:tcBorders>
                    <w:tl2br w:val="nil"/>
                    <w:tr2bl w:val="nil"/>
                  </w:tcBorders>
                  <w:noWrap w:val="0"/>
                  <w:vAlign w:val="center"/>
                </w:tcPr>
                <w:p w14:paraId="4B76B9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rPr>
                    <w:t>排放浓度mg/</w:t>
                  </w:r>
                  <w:r>
                    <w:rPr>
                      <w:rFonts w:hint="eastAsia" w:cs="Times New Roman"/>
                      <w:b/>
                      <w:bCs/>
                      <w:color w:val="auto"/>
                      <w:kern w:val="0"/>
                      <w:sz w:val="21"/>
                      <w:szCs w:val="21"/>
                      <w:highlight w:val="none"/>
                      <w:lang w:val="en-US" w:eastAsia="zh-CN"/>
                    </w:rPr>
                    <w:t>L</w:t>
                  </w:r>
                </w:p>
              </w:tc>
              <w:tc>
                <w:tcPr>
                  <w:tcW w:w="381" w:type="pct"/>
                  <w:tcBorders>
                    <w:tl2br w:val="nil"/>
                    <w:tr2bl w:val="nil"/>
                  </w:tcBorders>
                  <w:noWrap w:val="0"/>
                  <w:vAlign w:val="center"/>
                </w:tcPr>
                <w:p w14:paraId="2698AC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排放量</w:t>
                  </w:r>
                </w:p>
                <w:p w14:paraId="6B7451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t/a</w:t>
                  </w:r>
                </w:p>
              </w:tc>
              <w:tc>
                <w:tcPr>
                  <w:tcW w:w="294" w:type="pct"/>
                  <w:tcBorders>
                    <w:tl2br w:val="nil"/>
                    <w:tr2bl w:val="nil"/>
                  </w:tcBorders>
                  <w:noWrap w:val="0"/>
                  <w:vAlign w:val="center"/>
                </w:tcPr>
                <w:p w14:paraId="3AFB45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排放标准</w:t>
                  </w:r>
                </w:p>
                <w:p w14:paraId="1F0545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eastAsia"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rPr>
                    <w:t>mg/</w:t>
                  </w:r>
                  <w:r>
                    <w:rPr>
                      <w:rFonts w:hint="eastAsia" w:cs="Times New Roman"/>
                      <w:b/>
                      <w:bCs/>
                      <w:color w:val="auto"/>
                      <w:kern w:val="0"/>
                      <w:sz w:val="21"/>
                      <w:szCs w:val="21"/>
                      <w:highlight w:val="none"/>
                      <w:lang w:val="en-US" w:eastAsia="zh-CN"/>
                    </w:rPr>
                    <w:t>L</w:t>
                  </w:r>
                </w:p>
              </w:tc>
            </w:tr>
            <w:tr w14:paraId="7771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379" w:type="pct"/>
                  <w:tcBorders>
                    <w:tl2br w:val="nil"/>
                    <w:tr2bl w:val="nil"/>
                  </w:tcBorders>
                  <w:noWrap w:val="0"/>
                  <w:vAlign w:val="center"/>
                </w:tcPr>
                <w:p w14:paraId="2EEF45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DW001</w:t>
                  </w:r>
                </w:p>
              </w:tc>
              <w:tc>
                <w:tcPr>
                  <w:tcW w:w="397" w:type="pct"/>
                  <w:tcBorders>
                    <w:tl2br w:val="nil"/>
                    <w:tr2bl w:val="nil"/>
                  </w:tcBorders>
                  <w:noWrap w:val="0"/>
                  <w:vAlign w:val="center"/>
                </w:tcPr>
                <w:p w14:paraId="05D4DF5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污</w:t>
                  </w:r>
                </w:p>
                <w:p w14:paraId="2A2FEA4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水</w:t>
                  </w:r>
                </w:p>
                <w:p w14:paraId="0FE5E3A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w:t>
                  </w:r>
                </w:p>
                <w:p w14:paraId="616DC31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w:t>
                  </w:r>
                </w:p>
                <w:p w14:paraId="1F11B1F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口</w:t>
                  </w:r>
                </w:p>
              </w:tc>
              <w:tc>
                <w:tcPr>
                  <w:tcW w:w="430" w:type="pct"/>
                  <w:tcBorders>
                    <w:tl2br w:val="nil"/>
                    <w:tr2bl w:val="nil"/>
                  </w:tcBorders>
                  <w:noWrap w:val="0"/>
                  <w:vAlign w:val="center"/>
                </w:tcPr>
                <w:p w14:paraId="463526E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p>
                <w:p w14:paraId="3FF5EF4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般</w:t>
                  </w:r>
                </w:p>
                <w:p w14:paraId="0996046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w:t>
                  </w:r>
                </w:p>
                <w:p w14:paraId="4D1DDFA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放</w:t>
                  </w:r>
                </w:p>
                <w:p w14:paraId="2F51453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口</w:t>
                  </w:r>
                </w:p>
              </w:tc>
              <w:tc>
                <w:tcPr>
                  <w:tcW w:w="586" w:type="pct"/>
                  <w:tcBorders>
                    <w:tl2br w:val="nil"/>
                    <w:tr2bl w:val="nil"/>
                  </w:tcBorders>
                  <w:noWrap w:val="0"/>
                  <w:vAlign w:val="center"/>
                </w:tcPr>
                <w:p w14:paraId="46314C3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117.860739</w:t>
                  </w:r>
                </w:p>
              </w:tc>
              <w:tc>
                <w:tcPr>
                  <w:tcW w:w="639" w:type="pct"/>
                  <w:tcBorders>
                    <w:tl2br w:val="nil"/>
                    <w:tr2bl w:val="nil"/>
                  </w:tcBorders>
                  <w:noWrap w:val="0"/>
                  <w:vAlign w:val="center"/>
                </w:tcPr>
                <w:p w14:paraId="6A9CC6B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33.112256</w:t>
                  </w:r>
                </w:p>
              </w:tc>
              <w:tc>
                <w:tcPr>
                  <w:tcW w:w="390" w:type="pct"/>
                  <w:tcBorders>
                    <w:tl2br w:val="nil"/>
                    <w:tr2bl w:val="nil"/>
                  </w:tcBorders>
                  <w:noWrap w:val="0"/>
                  <w:vAlign w:val="center"/>
                </w:tcPr>
                <w:p w14:paraId="2EA1BD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eastAsia" w:cs="Times New Roman"/>
                      <w:color w:val="auto"/>
                      <w:sz w:val="21"/>
                      <w:szCs w:val="21"/>
                      <w:highlight w:val="none"/>
                      <w:lang w:val="en-US" w:eastAsia="zh-CN"/>
                    </w:rPr>
                    <w:t>五河县</w:t>
                  </w:r>
                  <w:r>
                    <w:rPr>
                      <w:rFonts w:hint="default" w:ascii="Times New Roman" w:hAnsi="Times New Roman" w:cs="Times New Roman"/>
                      <w:color w:val="auto"/>
                      <w:sz w:val="21"/>
                      <w:szCs w:val="21"/>
                      <w:highlight w:val="none"/>
                      <w:lang w:val="en-US" w:eastAsia="zh-CN"/>
                    </w:rPr>
                    <w:t>城</w:t>
                  </w:r>
                  <w:r>
                    <w:rPr>
                      <w:rFonts w:hint="eastAsia"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rPr>
                    <w:t>污水处理厂</w:t>
                  </w:r>
                </w:p>
              </w:tc>
              <w:tc>
                <w:tcPr>
                  <w:tcW w:w="235" w:type="pct"/>
                  <w:tcBorders>
                    <w:tl2br w:val="nil"/>
                    <w:tr2bl w:val="nil"/>
                  </w:tcBorders>
                  <w:noWrap w:val="0"/>
                  <w:vAlign w:val="center"/>
                </w:tcPr>
                <w:p w14:paraId="67EDBD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间</w:t>
                  </w:r>
                </w:p>
                <w:p w14:paraId="62E654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歇</w:t>
                  </w:r>
                </w:p>
              </w:tc>
              <w:tc>
                <w:tcPr>
                  <w:tcW w:w="438" w:type="pct"/>
                  <w:tcBorders>
                    <w:tl2br w:val="nil"/>
                    <w:tr2bl w:val="nil"/>
                  </w:tcBorders>
                  <w:noWrap w:val="0"/>
                  <w:vAlign w:val="center"/>
                </w:tcPr>
                <w:p w14:paraId="302A1C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777.6</w:t>
                  </w:r>
                </w:p>
              </w:tc>
              <w:tc>
                <w:tcPr>
                  <w:tcW w:w="446" w:type="pct"/>
                  <w:tcBorders>
                    <w:tl2br w:val="nil"/>
                    <w:tr2bl w:val="nil"/>
                  </w:tcBorders>
                  <w:noWrap w:val="0"/>
                  <w:vAlign w:val="center"/>
                </w:tcPr>
                <w:p w14:paraId="674211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p w14:paraId="3F8DEA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p w14:paraId="31CF8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p w14:paraId="1F0D36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NH</w:t>
                  </w:r>
                  <w:r>
                    <w:rPr>
                      <w:rFonts w:hint="eastAsia" w:cs="Times New Roman"/>
                      <w:color w:val="auto"/>
                      <w:sz w:val="21"/>
                      <w:szCs w:val="21"/>
                      <w:highlight w:val="none"/>
                      <w:vertAlign w:val="subscript"/>
                      <w:lang w:val="en-US" w:eastAsia="zh-CN"/>
                    </w:rPr>
                    <w:t>3</w:t>
                  </w:r>
                  <w:r>
                    <w:rPr>
                      <w:rFonts w:hint="eastAsia" w:cs="Times New Roman"/>
                      <w:color w:val="auto"/>
                      <w:sz w:val="21"/>
                      <w:szCs w:val="21"/>
                      <w:highlight w:val="none"/>
                      <w:lang w:val="en-US" w:eastAsia="zh-CN"/>
                    </w:rPr>
                    <w:t>-N</w:t>
                  </w:r>
                </w:p>
                <w:p w14:paraId="75C0D1C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color w:val="auto"/>
                      <w:szCs w:val="22"/>
                      <w:highlight w:val="none"/>
                      <w:lang w:val="en-US"/>
                    </w:rPr>
                  </w:pPr>
                  <w:r>
                    <w:rPr>
                      <w:rFonts w:hint="eastAsia" w:cs="Times New Roman"/>
                      <w:color w:val="auto"/>
                      <w:sz w:val="21"/>
                      <w:szCs w:val="21"/>
                      <w:highlight w:val="none"/>
                      <w:lang w:val="en-US" w:eastAsia="zh-CN"/>
                    </w:rPr>
                    <w:t>动植物油</w:t>
                  </w:r>
                </w:p>
              </w:tc>
              <w:tc>
                <w:tcPr>
                  <w:tcW w:w="380" w:type="pct"/>
                  <w:tcBorders>
                    <w:tl2br w:val="nil"/>
                    <w:tr2bl w:val="nil"/>
                  </w:tcBorders>
                  <w:noWrap w:val="0"/>
                  <w:vAlign w:val="center"/>
                </w:tcPr>
                <w:p w14:paraId="5DC2F6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w:t>
                  </w:r>
                  <w:r>
                    <w:rPr>
                      <w:rFonts w:hint="eastAsia" w:cs="Times New Roman"/>
                      <w:color w:val="auto"/>
                      <w:kern w:val="0"/>
                      <w:sz w:val="21"/>
                      <w:szCs w:val="21"/>
                      <w:highlight w:val="none"/>
                      <w:lang w:val="en-US" w:eastAsia="zh-CN"/>
                    </w:rPr>
                    <w:t>35</w:t>
                  </w:r>
                </w:p>
                <w:p w14:paraId="091D4F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139</w:t>
                  </w:r>
                </w:p>
                <w:p w14:paraId="2A4FD2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63</w:t>
                  </w:r>
                </w:p>
                <w:p w14:paraId="5ACA0D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27</w:t>
                  </w:r>
                </w:p>
                <w:p w14:paraId="291A7E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color w:val="auto"/>
                      <w:szCs w:val="22"/>
                      <w:highlight w:val="none"/>
                      <w:lang w:val="en-US" w:eastAsia="zh-CN"/>
                    </w:rPr>
                  </w:pPr>
                  <w:r>
                    <w:rPr>
                      <w:rFonts w:hint="eastAsia"/>
                      <w:color w:val="auto"/>
                      <w:szCs w:val="22"/>
                      <w:highlight w:val="none"/>
                      <w:lang w:val="en-US" w:eastAsia="zh-CN"/>
                    </w:rPr>
                    <w:t>0.8</w:t>
                  </w:r>
                </w:p>
              </w:tc>
              <w:tc>
                <w:tcPr>
                  <w:tcW w:w="381" w:type="pct"/>
                  <w:tcBorders>
                    <w:tl2br w:val="nil"/>
                    <w:tr2bl w:val="nil"/>
                  </w:tcBorders>
                  <w:noWrap w:val="0"/>
                  <w:vAlign w:val="center"/>
                </w:tcPr>
                <w:p w14:paraId="7533BB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0.1826</w:t>
                  </w:r>
                </w:p>
                <w:p w14:paraId="437091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w:t>
                  </w:r>
                  <w:r>
                    <w:rPr>
                      <w:rFonts w:hint="eastAsia" w:cs="Times New Roman"/>
                      <w:color w:val="auto"/>
                      <w:kern w:val="0"/>
                      <w:sz w:val="21"/>
                      <w:szCs w:val="21"/>
                      <w:highlight w:val="none"/>
                      <w:lang w:val="en-US" w:eastAsia="zh-CN" w:bidi="ar-SA"/>
                    </w:rPr>
                    <w:t>107</w:t>
                  </w:r>
                </w:p>
                <w:p w14:paraId="2864FD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w:t>
                  </w:r>
                  <w:r>
                    <w:rPr>
                      <w:rFonts w:hint="eastAsia" w:cs="Times New Roman"/>
                      <w:color w:val="auto"/>
                      <w:kern w:val="0"/>
                      <w:sz w:val="21"/>
                      <w:szCs w:val="21"/>
                      <w:highlight w:val="none"/>
                      <w:lang w:val="en-US" w:eastAsia="zh-CN" w:bidi="ar-SA"/>
                    </w:rPr>
                    <w:t>1264</w:t>
                  </w:r>
                </w:p>
                <w:p w14:paraId="558218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w:t>
                  </w:r>
                  <w:r>
                    <w:rPr>
                      <w:rFonts w:hint="eastAsia" w:cs="Times New Roman"/>
                      <w:color w:val="auto"/>
                      <w:kern w:val="0"/>
                      <w:sz w:val="21"/>
                      <w:szCs w:val="21"/>
                      <w:highlight w:val="none"/>
                      <w:lang w:val="en-US" w:eastAsia="zh-CN" w:bidi="ar-SA"/>
                    </w:rPr>
                    <w:t>021</w:t>
                  </w:r>
                </w:p>
                <w:p w14:paraId="4CC25F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0.0</w:t>
                  </w:r>
                  <w:r>
                    <w:rPr>
                      <w:rFonts w:hint="eastAsia" w:cs="Times New Roman"/>
                      <w:color w:val="auto"/>
                      <w:kern w:val="0"/>
                      <w:sz w:val="21"/>
                      <w:szCs w:val="21"/>
                      <w:highlight w:val="none"/>
                      <w:lang w:val="en-US" w:eastAsia="zh-CN" w:bidi="ar-SA"/>
                    </w:rPr>
                    <w:t>006</w:t>
                  </w:r>
                </w:p>
              </w:tc>
              <w:tc>
                <w:tcPr>
                  <w:tcW w:w="294" w:type="pct"/>
                  <w:tcBorders>
                    <w:tl2br w:val="nil"/>
                    <w:tr2bl w:val="nil"/>
                  </w:tcBorders>
                  <w:noWrap w:val="0"/>
                  <w:vAlign w:val="center"/>
                </w:tcPr>
                <w:p w14:paraId="5D2805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500</w:t>
                  </w:r>
                </w:p>
                <w:p w14:paraId="1EE9CC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00</w:t>
                  </w:r>
                </w:p>
                <w:p w14:paraId="30F8D1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w:t>
                  </w:r>
                  <w:r>
                    <w:rPr>
                      <w:rFonts w:hint="default" w:ascii="Times New Roman" w:hAnsi="Times New Roman" w:eastAsia="宋体" w:cs="Times New Roman"/>
                      <w:color w:val="auto"/>
                      <w:kern w:val="0"/>
                      <w:sz w:val="21"/>
                      <w:szCs w:val="21"/>
                      <w:highlight w:val="none"/>
                      <w:lang w:val="en-US" w:eastAsia="zh-CN" w:bidi="ar-SA"/>
                    </w:rPr>
                    <w:t>00</w:t>
                  </w:r>
                </w:p>
                <w:p w14:paraId="2EF114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45</w:t>
                  </w:r>
                </w:p>
                <w:p w14:paraId="3E5890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100</w:t>
                  </w:r>
                </w:p>
              </w:tc>
            </w:tr>
          </w:tbl>
          <w:p w14:paraId="0B21BCCA">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jc w:val="left"/>
              <w:textAlignment w:val="auto"/>
              <w:rPr>
                <w:rFonts w:hint="default" w:ascii="Times New Roman" w:hAnsi="Times New Roman" w:eastAsia="宋体" w:cs="Times New Roman"/>
                <w:color w:val="auto"/>
                <w:szCs w:val="22"/>
                <w:highlight w:val="none"/>
              </w:rPr>
            </w:pPr>
            <w:r>
              <w:rPr>
                <w:rFonts w:hint="default" w:ascii="Times New Roman" w:hAnsi="Times New Roman" w:eastAsia="宋体" w:cs="Times New Roman"/>
                <w:b/>
                <w:color w:val="auto"/>
                <w:kern w:val="0"/>
                <w:sz w:val="24"/>
                <w:szCs w:val="24"/>
                <w:highlight w:val="none"/>
                <w:lang w:val="en-US" w:eastAsia="zh-CN" w:bidi="ar"/>
              </w:rPr>
              <w:t xml:space="preserve">2.2废水污染物监测要求 </w:t>
            </w:r>
          </w:p>
          <w:p w14:paraId="05B3148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val="0"/>
                <w:bCs/>
                <w:color w:val="auto"/>
                <w:sz w:val="24"/>
                <w:szCs w:val="22"/>
                <w:highlight w:val="none"/>
                <w:lang w:val="en-US" w:eastAsia="zh-CN"/>
              </w:rPr>
              <w:t>根据</w:t>
            </w:r>
            <w:r>
              <w:rPr>
                <w:rFonts w:hint="default" w:ascii="Times New Roman" w:hAnsi="Times New Roman" w:eastAsia="宋体" w:cs="Times New Roman"/>
                <w:color w:val="auto"/>
                <w:sz w:val="24"/>
                <w:szCs w:val="24"/>
                <w:highlight w:val="none"/>
              </w:rPr>
              <w:t>《排污单位自行监测技术指南 总则》（HJ819-2017）</w:t>
            </w:r>
            <w:r>
              <w:rPr>
                <w:rFonts w:hint="eastAsia" w:cs="Times New Roman"/>
                <w:color w:val="auto"/>
                <w:sz w:val="24"/>
                <w:szCs w:val="24"/>
                <w:highlight w:val="none"/>
                <w:lang w:val="en-US" w:eastAsia="zh-CN"/>
              </w:rPr>
              <w:t>和参照</w:t>
            </w:r>
            <w:r>
              <w:rPr>
                <w:rFonts w:hint="default" w:ascii="Times New Roman" w:hAnsi="Times New Roman" w:eastAsia="宋体" w:cs="Times New Roman"/>
                <w:color w:val="auto"/>
                <w:sz w:val="24"/>
                <w:szCs w:val="24"/>
                <w:highlight w:val="none"/>
              </w:rPr>
              <w:t>《排污</w:t>
            </w:r>
            <w:r>
              <w:rPr>
                <w:rFonts w:hint="eastAsia" w:cs="Times New Roman"/>
                <w:color w:val="auto"/>
                <w:sz w:val="24"/>
                <w:szCs w:val="24"/>
                <w:highlight w:val="none"/>
                <w:lang w:val="en-US" w:eastAsia="zh-CN"/>
              </w:rPr>
              <w:t>许可证申请与核发技术规范 制鞋工业</w:t>
            </w:r>
            <w:r>
              <w:rPr>
                <w:rFonts w:hint="default" w:ascii="Times New Roman" w:hAnsi="Times New Roman" w:eastAsia="宋体" w:cs="Times New Roman"/>
                <w:color w:val="auto"/>
                <w:sz w:val="24"/>
                <w:szCs w:val="24"/>
                <w:highlight w:val="none"/>
              </w:rPr>
              <w:t>》（HJ</w:t>
            </w: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123</w:t>
            </w: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）中</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简化管理排污单位</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要求</w:t>
            </w:r>
            <w:r>
              <w:rPr>
                <w:rFonts w:hint="default" w:ascii="Times New Roman" w:hAnsi="Times New Roman" w:eastAsia="宋体" w:cs="Times New Roman"/>
                <w:b w:val="0"/>
                <w:bCs/>
                <w:color w:val="auto"/>
                <w:sz w:val="24"/>
                <w:szCs w:val="22"/>
                <w:highlight w:val="none"/>
                <w:lang w:val="en-US" w:eastAsia="zh-CN"/>
              </w:rPr>
              <w:t>，以及本项目排污特点，制定项目</w:t>
            </w:r>
            <w:r>
              <w:rPr>
                <w:rFonts w:hint="eastAsia" w:cs="Times New Roman"/>
                <w:b w:val="0"/>
                <w:bCs/>
                <w:color w:val="auto"/>
                <w:sz w:val="24"/>
                <w:szCs w:val="22"/>
                <w:highlight w:val="none"/>
                <w:lang w:val="en-US" w:eastAsia="zh-CN"/>
              </w:rPr>
              <w:t>废水</w:t>
            </w:r>
            <w:r>
              <w:rPr>
                <w:rFonts w:hint="default" w:ascii="Times New Roman" w:hAnsi="Times New Roman" w:eastAsia="宋体" w:cs="Times New Roman"/>
                <w:b w:val="0"/>
                <w:bCs/>
                <w:color w:val="auto"/>
                <w:sz w:val="24"/>
                <w:szCs w:val="22"/>
                <w:highlight w:val="none"/>
                <w:lang w:val="en-US" w:eastAsia="zh-CN"/>
              </w:rPr>
              <w:t>监测计划详见下表：</w:t>
            </w:r>
          </w:p>
          <w:p w14:paraId="1D5A6642">
            <w:pPr>
              <w:keepNext w:val="0"/>
              <w:keepLines w:val="0"/>
              <w:suppressLineNumbers w:val="0"/>
              <w:spacing w:before="0" w:beforeAutospacing="0" w:after="0" w:afterAutospacing="0" w:line="240" w:lineRule="auto"/>
              <w:ind w:left="0" w:right="0" w:firstLine="422" w:firstLineChars="20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表4-</w:t>
            </w:r>
            <w:r>
              <w:rPr>
                <w:rFonts w:hint="eastAsia" w:cs="Times New Roman"/>
                <w:b/>
                <w:bCs w:val="0"/>
                <w:color w:val="auto"/>
                <w:sz w:val="21"/>
                <w:szCs w:val="21"/>
                <w:highlight w:val="none"/>
                <w:lang w:val="en-US" w:eastAsia="zh-CN"/>
              </w:rPr>
              <w:t>10</w:t>
            </w:r>
            <w:r>
              <w:rPr>
                <w:rFonts w:hint="default" w:ascii="Times New Roman" w:hAnsi="Times New Roman" w:eastAsia="宋体" w:cs="Times New Roman"/>
                <w:b/>
                <w:bCs w:val="0"/>
                <w:color w:val="auto"/>
                <w:sz w:val="21"/>
                <w:szCs w:val="21"/>
                <w:highlight w:val="none"/>
                <w:lang w:val="en-US" w:eastAsia="zh-CN"/>
              </w:rPr>
              <w:t xml:space="preserve">  废水污染物自行监测技术要求</w:t>
            </w:r>
          </w:p>
          <w:tbl>
            <w:tblPr>
              <w:tblStyle w:val="4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8"/>
              <w:gridCol w:w="1319"/>
              <w:gridCol w:w="1402"/>
              <w:gridCol w:w="1880"/>
              <w:gridCol w:w="1727"/>
              <w:gridCol w:w="1230"/>
            </w:tblGrid>
            <w:tr w14:paraId="3ECD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noWrap w:val="0"/>
                  <w:vAlign w:val="center"/>
                </w:tcPr>
                <w:p w14:paraId="3C5324A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产排污环节</w:t>
                  </w:r>
                </w:p>
              </w:tc>
              <w:tc>
                <w:tcPr>
                  <w:tcW w:w="726" w:type="pct"/>
                  <w:noWrap w:val="0"/>
                  <w:vAlign w:val="center"/>
                </w:tcPr>
                <w:p w14:paraId="2F2ABAD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排放口编号</w:t>
                  </w:r>
                </w:p>
              </w:tc>
              <w:tc>
                <w:tcPr>
                  <w:tcW w:w="772" w:type="pct"/>
                  <w:noWrap w:val="0"/>
                  <w:vAlign w:val="center"/>
                </w:tcPr>
                <w:p w14:paraId="773F6C6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排放口名称</w:t>
                  </w:r>
                </w:p>
              </w:tc>
              <w:tc>
                <w:tcPr>
                  <w:tcW w:w="1035" w:type="pct"/>
                  <w:noWrap w:val="0"/>
                  <w:vAlign w:val="center"/>
                </w:tcPr>
                <w:p w14:paraId="6270111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监测内容</w:t>
                  </w:r>
                </w:p>
              </w:tc>
              <w:tc>
                <w:tcPr>
                  <w:tcW w:w="951" w:type="pct"/>
                  <w:noWrap w:val="0"/>
                  <w:vAlign w:val="center"/>
                </w:tcPr>
                <w:p w14:paraId="0E36665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监测方法及个数</w:t>
                  </w:r>
                </w:p>
              </w:tc>
              <w:tc>
                <w:tcPr>
                  <w:tcW w:w="677" w:type="pct"/>
                  <w:noWrap w:val="0"/>
                  <w:vAlign w:val="center"/>
                </w:tcPr>
                <w:p w14:paraId="1765882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监测频次</w:t>
                  </w:r>
                </w:p>
              </w:tc>
            </w:tr>
            <w:tr w14:paraId="45D1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noWrap w:val="0"/>
                  <w:vAlign w:val="center"/>
                </w:tcPr>
                <w:p w14:paraId="1FDE132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szCs w:val="21"/>
                      <w:highlight w:val="none"/>
                    </w:rPr>
                    <w:t>办公生活</w:t>
                  </w:r>
                  <w:r>
                    <w:rPr>
                      <w:rFonts w:hint="default" w:ascii="Times New Roman" w:hAnsi="Times New Roman" w:eastAsia="宋体" w:cs="Times New Roman"/>
                      <w:color w:val="auto"/>
                      <w:szCs w:val="21"/>
                      <w:highlight w:val="none"/>
                      <w:lang w:eastAsia="zh-CN"/>
                    </w:rPr>
                    <w:t>、</w:t>
                  </w:r>
                  <w:r>
                    <w:rPr>
                      <w:rFonts w:hint="eastAsia" w:cs="Times New Roman"/>
                      <w:color w:val="auto"/>
                      <w:szCs w:val="21"/>
                      <w:highlight w:val="none"/>
                      <w:lang w:val="en-US" w:eastAsia="zh-CN"/>
                    </w:rPr>
                    <w:t>食堂、</w:t>
                  </w:r>
                  <w:r>
                    <w:rPr>
                      <w:rFonts w:hint="default" w:ascii="Times New Roman" w:hAnsi="Times New Roman" w:eastAsia="宋体" w:cs="Times New Roman"/>
                      <w:color w:val="auto"/>
                      <w:szCs w:val="21"/>
                      <w:highlight w:val="none"/>
                      <w:lang w:eastAsia="zh-CN"/>
                    </w:rPr>
                    <w:t>车间保洁</w:t>
                  </w:r>
                </w:p>
              </w:tc>
              <w:tc>
                <w:tcPr>
                  <w:tcW w:w="726" w:type="pct"/>
                  <w:noWrap w:val="0"/>
                  <w:vAlign w:val="center"/>
                </w:tcPr>
                <w:p w14:paraId="0E80C99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DW001</w:t>
                  </w:r>
                </w:p>
              </w:tc>
              <w:tc>
                <w:tcPr>
                  <w:tcW w:w="772" w:type="pct"/>
                  <w:noWrap w:val="0"/>
                  <w:vAlign w:val="center"/>
                </w:tcPr>
                <w:p w14:paraId="1175ACA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污水总排口</w:t>
                  </w:r>
                </w:p>
              </w:tc>
              <w:tc>
                <w:tcPr>
                  <w:tcW w:w="1035" w:type="pct"/>
                  <w:noWrap w:val="0"/>
                  <w:vAlign w:val="center"/>
                </w:tcPr>
                <w:p w14:paraId="27E15BD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流量</w:t>
                  </w:r>
                  <w:r>
                    <w:rPr>
                      <w:rFonts w:hint="eastAsia" w:cs="Times New Roman"/>
                      <w:b w:val="0"/>
                      <w:bCs/>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rPr>
                    <w:t>pH</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color w:val="auto"/>
                      <w:sz w:val="21"/>
                      <w:szCs w:val="21"/>
                      <w:highlight w:val="none"/>
                      <w:vertAlign w:val="baseline"/>
                      <w:lang w:val="en-US" w:eastAsia="zh-CN"/>
                    </w:rPr>
                    <w:t>COD、BOD、SS、</w:t>
                  </w:r>
                  <w:r>
                    <w:rPr>
                      <w:rFonts w:hint="eastAsia" w:cs="Times New Roman"/>
                      <w:color w:val="auto"/>
                      <w:sz w:val="21"/>
                      <w:szCs w:val="21"/>
                      <w:highlight w:val="none"/>
                      <w:lang w:val="en-US" w:eastAsia="zh-CN"/>
                    </w:rPr>
                    <w:t>NH</w:t>
                  </w:r>
                  <w:r>
                    <w:rPr>
                      <w:rFonts w:hint="eastAsia" w:cs="Times New Roman"/>
                      <w:color w:val="auto"/>
                      <w:sz w:val="21"/>
                      <w:szCs w:val="21"/>
                      <w:highlight w:val="none"/>
                      <w:vertAlign w:val="subscript"/>
                      <w:lang w:val="en-US" w:eastAsia="zh-CN"/>
                    </w:rPr>
                    <w:t>3</w:t>
                  </w:r>
                  <w:r>
                    <w:rPr>
                      <w:rFonts w:hint="eastAsia" w:cs="Times New Roman"/>
                      <w:color w:val="auto"/>
                      <w:sz w:val="21"/>
                      <w:szCs w:val="21"/>
                      <w:highlight w:val="none"/>
                      <w:lang w:val="en-US" w:eastAsia="zh-CN"/>
                    </w:rPr>
                    <w:t>-N、动植物油</w:t>
                  </w:r>
                </w:p>
              </w:tc>
              <w:tc>
                <w:tcPr>
                  <w:tcW w:w="951" w:type="pct"/>
                  <w:noWrap w:val="0"/>
                  <w:vAlign w:val="center"/>
                </w:tcPr>
                <w:p w14:paraId="2F82341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手工瞬时采样至少3个瞬时样</w:t>
                  </w:r>
                </w:p>
              </w:tc>
              <w:tc>
                <w:tcPr>
                  <w:tcW w:w="677" w:type="pct"/>
                  <w:noWrap w:val="0"/>
                  <w:vAlign w:val="center"/>
                </w:tcPr>
                <w:p w14:paraId="1F30AED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1次/年</w:t>
                  </w:r>
                </w:p>
              </w:tc>
            </w:tr>
          </w:tbl>
          <w:p w14:paraId="4A0FB301">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jc w:val="left"/>
              <w:textAlignment w:val="auto"/>
              <w:rPr>
                <w:rFonts w:hint="default" w:ascii="Times New Roman" w:hAnsi="Times New Roman" w:eastAsia="宋体" w:cs="Times New Roman"/>
                <w:color w:val="auto"/>
                <w:szCs w:val="22"/>
                <w:highlight w:val="none"/>
              </w:rPr>
            </w:pPr>
            <w:r>
              <w:rPr>
                <w:rFonts w:hint="default" w:ascii="Times New Roman" w:hAnsi="Times New Roman" w:eastAsia="宋体" w:cs="Times New Roman"/>
                <w:b/>
                <w:color w:val="auto"/>
                <w:kern w:val="0"/>
                <w:sz w:val="24"/>
                <w:szCs w:val="24"/>
                <w:highlight w:val="none"/>
                <w:lang w:val="en-US" w:eastAsia="zh-CN" w:bidi="ar"/>
              </w:rPr>
              <w:t xml:space="preserve">2.3废水治理技术可行性分析 </w:t>
            </w:r>
          </w:p>
          <w:p w14:paraId="7E46615F">
            <w:pPr>
              <w:pStyle w:val="203"/>
              <w:keepNext w:val="0"/>
              <w:keepLines w:val="0"/>
              <w:pageBreakBefore w:val="0"/>
              <w:widowControl w:val="0"/>
              <w:suppressLineNumbers w:val="0"/>
              <w:tabs>
                <w:tab w:val="left" w:pos="1297"/>
              </w:tabs>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 xml:space="preserve">、五河县城南污水处理厂简况 </w:t>
            </w:r>
          </w:p>
          <w:p w14:paraId="56EBC5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五河县城南污水处理厂位于五河县城南东南部，南环线与创立路交叉口东北侧，南环线北侧，分期建设，一期项目已建好运行，处理规模为</w:t>
            </w:r>
            <w:r>
              <w:rPr>
                <w:rFonts w:hint="default" w:ascii="Times New Roman" w:hAnsi="Times New Roman" w:eastAsia="宋体"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万</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，污水处理工艺为</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预处理</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水解酸化</w:t>
            </w:r>
            <w:r>
              <w:rPr>
                <w:rFonts w:hint="default" w:ascii="Times New Roman" w:hAnsi="Times New Roman" w:eastAsia="宋体" w:cs="Times New Roman"/>
                <w:color w:val="auto"/>
                <w:kern w:val="2"/>
                <w:sz w:val="24"/>
                <w:szCs w:val="24"/>
                <w:highlight w:val="none"/>
                <w:lang w:val="en-US" w:eastAsia="zh-CN" w:bidi="ar-SA"/>
              </w:rPr>
              <w:t>+A2/O</w:t>
            </w:r>
            <w:r>
              <w:rPr>
                <w:rFonts w:hint="eastAsia" w:ascii="Times New Roman" w:hAnsi="Times New Roman" w:eastAsia="宋体" w:cs="Times New Roman"/>
                <w:color w:val="auto"/>
                <w:kern w:val="2"/>
                <w:sz w:val="24"/>
                <w:szCs w:val="24"/>
                <w:highlight w:val="none"/>
                <w:lang w:val="en-US" w:eastAsia="zh-CN" w:bidi="ar-SA"/>
              </w:rPr>
              <w:t>氧化沟</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二沉池</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高效沉淀池</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反硝化深床滤池</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紫外线和次氯酸钠联合消</w:t>
            </w:r>
            <w:r>
              <w:rPr>
                <w:rFonts w:hint="eastAsia" w:ascii="Times New Roman" w:hAnsi="Times New Roman" w:eastAsia="宋体" w:cs="Times New Roman"/>
                <w:color w:val="auto"/>
                <w:kern w:val="2"/>
                <w:sz w:val="24"/>
                <w:szCs w:val="22"/>
                <w:highlight w:val="none"/>
                <w:lang w:val="en-US" w:eastAsia="zh-CN" w:bidi="ar-SA"/>
              </w:rPr>
              <w:t>毒</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2"/>
                <w:highlight w:val="none"/>
                <w:lang w:val="en-US" w:eastAsia="zh-CN" w:bidi="ar-SA"/>
              </w:rPr>
              <w:t>工艺，出水水质达《城镇污水处理场污染物排放标准》（</w:t>
            </w:r>
            <w:r>
              <w:rPr>
                <w:rFonts w:hint="default" w:ascii="Times New Roman" w:hAnsi="Times New Roman" w:eastAsia="宋体" w:cs="Times New Roman"/>
                <w:color w:val="auto"/>
                <w:kern w:val="2"/>
                <w:sz w:val="24"/>
                <w:szCs w:val="22"/>
                <w:highlight w:val="none"/>
                <w:lang w:val="en-US" w:eastAsia="zh-CN" w:bidi="ar-SA"/>
              </w:rPr>
              <w:t>GB18918-2002</w:t>
            </w:r>
            <w:r>
              <w:rPr>
                <w:rFonts w:hint="eastAsia" w:ascii="Times New Roman" w:hAnsi="Times New Roman" w:eastAsia="宋体" w:cs="Times New Roman"/>
                <w:color w:val="auto"/>
                <w:kern w:val="2"/>
                <w:sz w:val="24"/>
                <w:szCs w:val="22"/>
                <w:highlight w:val="none"/>
                <w:lang w:val="en-US" w:eastAsia="zh-CN" w:bidi="ar-SA"/>
              </w:rPr>
              <w:t>）表</w:t>
            </w:r>
            <w:r>
              <w:rPr>
                <w:rFonts w:hint="default" w:ascii="Times New Roman" w:hAnsi="Times New Roman" w:eastAsia="宋体" w:cs="Times New Roman"/>
                <w:color w:val="auto"/>
                <w:kern w:val="2"/>
                <w:sz w:val="24"/>
                <w:szCs w:val="22"/>
                <w:highlight w:val="none"/>
                <w:lang w:val="en-US" w:eastAsia="zh-CN" w:bidi="ar-SA"/>
              </w:rPr>
              <w:t>1</w:t>
            </w:r>
            <w:r>
              <w:rPr>
                <w:rFonts w:hint="eastAsia" w:ascii="Times New Roman" w:hAnsi="Times New Roman" w:eastAsia="宋体" w:cs="Times New Roman"/>
                <w:color w:val="auto"/>
                <w:kern w:val="2"/>
                <w:sz w:val="24"/>
                <w:szCs w:val="22"/>
                <w:highlight w:val="none"/>
                <w:lang w:val="en-US" w:eastAsia="zh-CN" w:bidi="ar-SA"/>
              </w:rPr>
              <w:t>中一级</w:t>
            </w:r>
            <w:r>
              <w:rPr>
                <w:rFonts w:hint="default" w:ascii="Times New Roman" w:hAnsi="Times New Roman" w:eastAsia="宋体" w:cs="Times New Roman"/>
                <w:color w:val="auto"/>
                <w:kern w:val="2"/>
                <w:sz w:val="24"/>
                <w:szCs w:val="22"/>
                <w:highlight w:val="none"/>
                <w:lang w:val="en-US" w:eastAsia="zh-CN" w:bidi="ar-SA"/>
              </w:rPr>
              <w:t>A</w:t>
            </w:r>
            <w:r>
              <w:rPr>
                <w:rFonts w:hint="eastAsia" w:ascii="Times New Roman" w:hAnsi="Times New Roman" w:eastAsia="宋体" w:cs="Times New Roman"/>
                <w:color w:val="auto"/>
                <w:kern w:val="2"/>
                <w:sz w:val="24"/>
                <w:szCs w:val="22"/>
                <w:highlight w:val="none"/>
                <w:lang w:val="en-US" w:eastAsia="zh-CN" w:bidi="ar-SA"/>
              </w:rPr>
              <w:t>标准和《安徽省淮河流域城镇污水处理厂和工业行业主要水污染物排放标准》（征求意见稿）中表</w:t>
            </w:r>
            <w:r>
              <w:rPr>
                <w:rFonts w:hint="default" w:ascii="Times New Roman" w:hAnsi="Times New Roman" w:eastAsia="宋体" w:cs="Times New Roman"/>
                <w:color w:val="auto"/>
                <w:kern w:val="2"/>
                <w:sz w:val="24"/>
                <w:szCs w:val="22"/>
                <w:highlight w:val="none"/>
                <w:lang w:val="en-US" w:eastAsia="zh-CN" w:bidi="ar-SA"/>
              </w:rPr>
              <w:t>1</w:t>
            </w:r>
            <w:r>
              <w:rPr>
                <w:rFonts w:hint="eastAsia" w:ascii="Times New Roman" w:hAnsi="Times New Roman" w:eastAsia="宋体" w:cs="Times New Roman"/>
                <w:color w:val="auto"/>
                <w:kern w:val="2"/>
                <w:sz w:val="24"/>
                <w:szCs w:val="22"/>
                <w:highlight w:val="none"/>
                <w:lang w:val="en-US" w:eastAsia="zh-CN" w:bidi="ar-SA"/>
              </w:rPr>
              <w:t>城镇污水处理厂</w:t>
            </w:r>
            <w:r>
              <w:rPr>
                <w:rFonts w:hint="default" w:ascii="Times New Roman" w:hAnsi="Times New Roman" w:eastAsia="宋体" w:cs="Times New Roman"/>
                <w:color w:val="auto"/>
                <w:kern w:val="2"/>
                <w:sz w:val="24"/>
                <w:szCs w:val="22"/>
                <w:highlight w:val="none"/>
                <w:lang w:val="en-US" w:eastAsia="zh-CN" w:bidi="ar-SA"/>
              </w:rPr>
              <w:t>Ⅰ</w:t>
            </w:r>
            <w:r>
              <w:rPr>
                <w:rFonts w:hint="eastAsia" w:ascii="Times New Roman" w:hAnsi="Times New Roman" w:eastAsia="宋体" w:cs="Times New Roman"/>
                <w:color w:val="auto"/>
                <w:kern w:val="2"/>
                <w:sz w:val="24"/>
                <w:szCs w:val="22"/>
                <w:highlight w:val="none"/>
                <w:lang w:val="en-US" w:eastAsia="zh-CN" w:bidi="ar-SA"/>
              </w:rPr>
              <w:t>需执行的水质标准。</w:t>
            </w:r>
          </w:p>
          <w:p w14:paraId="381F5ABE">
            <w:pPr>
              <w:pStyle w:val="203"/>
              <w:keepNext w:val="0"/>
              <w:keepLines w:val="0"/>
              <w:pageBreakBefore w:val="0"/>
              <w:widowControl w:val="0"/>
              <w:suppressLineNumbers w:val="0"/>
              <w:tabs>
                <w:tab w:val="left" w:pos="1297"/>
              </w:tabs>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2、</w:t>
            </w:r>
            <w:r>
              <w:rPr>
                <w:rFonts w:hint="default" w:ascii="Times New Roman" w:hAnsi="Times New Roman" w:eastAsia="宋体" w:cs="Times New Roman"/>
                <w:color w:val="auto"/>
                <w:kern w:val="2"/>
                <w:sz w:val="24"/>
                <w:szCs w:val="22"/>
                <w:highlight w:val="none"/>
                <w:lang w:val="en-US" w:eastAsia="zh-CN" w:bidi="ar-SA"/>
              </w:rPr>
              <w:t>项目废水接管可行性分析</w:t>
            </w:r>
          </w:p>
          <w:p w14:paraId="3CC23B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cs="Times New Roman"/>
                <w:color w:val="auto"/>
                <w:kern w:val="2"/>
                <w:sz w:val="24"/>
                <w:szCs w:val="22"/>
                <w:highlight w:val="none"/>
                <w:lang w:val="en-US" w:eastAsia="zh-CN" w:bidi="ar-SA"/>
              </w:rPr>
              <w:t>①</w:t>
            </w:r>
            <w:r>
              <w:rPr>
                <w:rFonts w:hint="eastAsia" w:ascii="Times New Roman" w:hAnsi="Times New Roman" w:eastAsia="宋体" w:cs="Times New Roman"/>
                <w:color w:val="auto"/>
                <w:kern w:val="2"/>
                <w:sz w:val="24"/>
                <w:szCs w:val="22"/>
                <w:highlight w:val="none"/>
                <w:lang w:val="en-US" w:eastAsia="zh-CN" w:bidi="ar-SA"/>
              </w:rPr>
              <w:t xml:space="preserve">收水可行性分析 </w:t>
            </w:r>
          </w:p>
          <w:p w14:paraId="4400BC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本项目位于安徽安徽五河</w:t>
            </w:r>
            <w:r>
              <w:rPr>
                <w:rFonts w:hint="eastAsia" w:cs="Times New Roman"/>
                <w:color w:val="auto"/>
                <w:kern w:val="2"/>
                <w:sz w:val="24"/>
                <w:szCs w:val="22"/>
                <w:highlight w:val="none"/>
                <w:lang w:val="en-US" w:eastAsia="zh-CN" w:bidi="ar-SA"/>
              </w:rPr>
              <w:t>县</w:t>
            </w:r>
            <w:r>
              <w:rPr>
                <w:rFonts w:hint="eastAsia" w:ascii="Times New Roman" w:hAnsi="Times New Roman" w:eastAsia="宋体" w:cs="Times New Roman"/>
                <w:color w:val="auto"/>
                <w:kern w:val="2"/>
                <w:sz w:val="24"/>
                <w:szCs w:val="22"/>
                <w:highlight w:val="none"/>
                <w:lang w:val="en-US" w:eastAsia="zh-CN" w:bidi="ar-SA"/>
              </w:rPr>
              <w:t>城南</w:t>
            </w:r>
            <w:r>
              <w:rPr>
                <w:rFonts w:hint="eastAsia" w:cs="Times New Roman"/>
                <w:color w:val="auto"/>
                <w:kern w:val="2"/>
                <w:sz w:val="24"/>
                <w:szCs w:val="22"/>
                <w:highlight w:val="none"/>
                <w:lang w:val="en-US" w:eastAsia="zh-CN" w:bidi="ar-SA"/>
              </w:rPr>
              <w:t>工业</w:t>
            </w:r>
            <w:r>
              <w:rPr>
                <w:rFonts w:hint="eastAsia" w:ascii="Times New Roman" w:hAnsi="Times New Roman" w:eastAsia="宋体" w:cs="Times New Roman"/>
                <w:color w:val="auto"/>
                <w:kern w:val="2"/>
                <w:sz w:val="24"/>
                <w:szCs w:val="22"/>
                <w:highlight w:val="none"/>
                <w:lang w:val="en-US" w:eastAsia="zh-CN" w:bidi="ar-SA"/>
              </w:rPr>
              <w:t>园区，属于五河县城南污水处理厂的收水范围之内，</w:t>
            </w:r>
            <w:r>
              <w:rPr>
                <w:rFonts w:hint="eastAsia"/>
                <w:color w:val="auto"/>
                <w:sz w:val="24"/>
                <w:szCs w:val="24"/>
                <w:highlight w:val="none"/>
              </w:rPr>
              <w:t>目前污水管网已经铺设到项目</w:t>
            </w:r>
            <w:r>
              <w:rPr>
                <w:rFonts w:hint="eastAsia"/>
                <w:color w:val="auto"/>
                <w:sz w:val="24"/>
                <w:szCs w:val="24"/>
                <w:highlight w:val="none"/>
                <w:lang w:val="en-US" w:eastAsia="zh-CN"/>
              </w:rPr>
              <w:t>厂区</w:t>
            </w:r>
            <w:r>
              <w:rPr>
                <w:rFonts w:hint="eastAsia"/>
                <w:color w:val="auto"/>
                <w:sz w:val="24"/>
                <w:szCs w:val="24"/>
                <w:highlight w:val="none"/>
              </w:rPr>
              <w:t>，</w:t>
            </w:r>
            <w:r>
              <w:rPr>
                <w:rFonts w:hint="eastAsia" w:ascii="Times New Roman" w:hAnsi="Times New Roman" w:eastAsia="宋体" w:cs="Times New Roman"/>
                <w:color w:val="auto"/>
                <w:kern w:val="2"/>
                <w:sz w:val="24"/>
                <w:szCs w:val="22"/>
                <w:highlight w:val="none"/>
                <w:lang w:val="en-US" w:eastAsia="zh-CN" w:bidi="ar-SA"/>
              </w:rPr>
              <w:t xml:space="preserve">项目废水可以进入五河县城南污水处理厂处理。 </w:t>
            </w:r>
          </w:p>
          <w:p w14:paraId="04B1DB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 xml:space="preserve">②水量冲击影响分析 </w:t>
            </w:r>
          </w:p>
          <w:p w14:paraId="08F800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五河县城南污水处理厂已建成运行处理规模</w:t>
            </w:r>
            <w:r>
              <w:rPr>
                <w:rFonts w:hint="default" w:ascii="Times New Roman" w:hAnsi="Times New Roman" w:eastAsia="宋体" w:cs="Times New Roman"/>
                <w:color w:val="auto"/>
                <w:kern w:val="2"/>
                <w:sz w:val="24"/>
                <w:szCs w:val="22"/>
                <w:highlight w:val="none"/>
                <w:lang w:val="en-US" w:eastAsia="zh-CN" w:bidi="ar-SA"/>
              </w:rPr>
              <w:t>20000m</w:t>
            </w:r>
            <w:r>
              <w:rPr>
                <w:rFonts w:hint="default" w:ascii="Times New Roman" w:hAnsi="Times New Roman" w:eastAsia="宋体" w:cs="Times New Roman"/>
                <w:color w:val="auto"/>
                <w:kern w:val="2"/>
                <w:sz w:val="24"/>
                <w:szCs w:val="22"/>
                <w:highlight w:val="none"/>
                <w:vertAlign w:val="superscript"/>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/d</w:t>
            </w:r>
            <w:r>
              <w:rPr>
                <w:rFonts w:hint="eastAsia" w:cs="Times New Roman"/>
                <w:color w:val="auto"/>
                <w:kern w:val="2"/>
                <w:sz w:val="24"/>
                <w:szCs w:val="22"/>
                <w:highlight w:val="none"/>
                <w:lang w:val="en-US" w:eastAsia="zh-CN" w:bidi="ar-SA"/>
              </w:rPr>
              <w:t>，</w:t>
            </w:r>
            <w:r>
              <w:rPr>
                <w:rFonts w:hint="eastAsia" w:ascii="Times New Roman" w:hAnsi="Times New Roman" w:eastAsia="宋体" w:cs="Times New Roman"/>
                <w:color w:val="auto"/>
                <w:kern w:val="2"/>
                <w:sz w:val="24"/>
                <w:szCs w:val="22"/>
                <w:highlight w:val="none"/>
                <w:lang w:val="en-US" w:eastAsia="zh-CN" w:bidi="ar-SA"/>
              </w:rPr>
              <w:t>本项目废水总量约为</w:t>
            </w:r>
            <w:r>
              <w:rPr>
                <w:rFonts w:hint="eastAsia" w:cs="Times New Roman"/>
                <w:color w:val="auto"/>
                <w:kern w:val="2"/>
                <w:sz w:val="24"/>
                <w:szCs w:val="22"/>
                <w:highlight w:val="none"/>
                <w:lang w:val="en-US" w:eastAsia="zh-CN" w:bidi="ar-SA"/>
              </w:rPr>
              <w:t>2.96</w:t>
            </w:r>
            <w:r>
              <w:rPr>
                <w:rFonts w:hint="default" w:ascii="Times New Roman" w:hAnsi="Times New Roman" w:eastAsia="宋体" w:cs="Times New Roman"/>
                <w:color w:val="auto"/>
                <w:kern w:val="2"/>
                <w:sz w:val="24"/>
                <w:szCs w:val="22"/>
                <w:highlight w:val="none"/>
                <w:lang w:val="en-US" w:eastAsia="zh-CN" w:bidi="ar-SA"/>
              </w:rPr>
              <w:t>m</w:t>
            </w:r>
            <w:r>
              <w:rPr>
                <w:rFonts w:hint="default" w:ascii="Times New Roman" w:hAnsi="Times New Roman" w:eastAsia="宋体" w:cs="Times New Roman"/>
                <w:color w:val="auto"/>
                <w:kern w:val="2"/>
                <w:sz w:val="24"/>
                <w:szCs w:val="22"/>
                <w:highlight w:val="none"/>
                <w:vertAlign w:val="superscript"/>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/d</w:t>
            </w:r>
            <w:r>
              <w:rPr>
                <w:rFonts w:hint="eastAsia" w:ascii="Times New Roman" w:hAnsi="Times New Roman" w:eastAsia="宋体" w:cs="Times New Roman"/>
                <w:color w:val="auto"/>
                <w:kern w:val="2"/>
                <w:sz w:val="24"/>
                <w:szCs w:val="22"/>
                <w:highlight w:val="none"/>
                <w:lang w:val="en-US" w:eastAsia="zh-CN" w:bidi="ar-SA"/>
              </w:rPr>
              <w:t>，仅占五河县城南污水处理厂日处理能力的</w:t>
            </w:r>
            <w:r>
              <w:rPr>
                <w:rFonts w:hint="default" w:ascii="Times New Roman" w:hAnsi="Times New Roman" w:eastAsia="宋体" w:cs="Times New Roman"/>
                <w:color w:val="auto"/>
                <w:kern w:val="2"/>
                <w:sz w:val="24"/>
                <w:szCs w:val="22"/>
                <w:highlight w:val="none"/>
                <w:lang w:val="en-US" w:eastAsia="zh-CN" w:bidi="ar-SA"/>
              </w:rPr>
              <w:t>0.</w:t>
            </w:r>
            <w:r>
              <w:rPr>
                <w:rFonts w:hint="eastAsia" w:cs="Times New Roman"/>
                <w:color w:val="auto"/>
                <w:kern w:val="2"/>
                <w:sz w:val="24"/>
                <w:szCs w:val="22"/>
                <w:highlight w:val="none"/>
                <w:lang w:val="en-US" w:eastAsia="zh-CN" w:bidi="ar-SA"/>
              </w:rPr>
              <w:t>0</w:t>
            </w:r>
            <w:r>
              <w:rPr>
                <w:rFonts w:hint="default" w:ascii="Times New Roman" w:hAnsi="Times New Roman" w:eastAsia="宋体" w:cs="Times New Roman"/>
                <w:color w:val="auto"/>
                <w:kern w:val="2"/>
                <w:sz w:val="24"/>
                <w:szCs w:val="22"/>
                <w:highlight w:val="none"/>
                <w:lang w:val="en-US" w:eastAsia="zh-CN" w:bidi="ar-SA"/>
              </w:rPr>
              <w:t>1</w:t>
            </w:r>
            <w:r>
              <w:rPr>
                <w:rFonts w:hint="eastAsia" w:cs="Times New Roman"/>
                <w:color w:val="auto"/>
                <w:kern w:val="2"/>
                <w:sz w:val="24"/>
                <w:szCs w:val="22"/>
                <w:highlight w:val="none"/>
                <w:lang w:val="en-US" w:eastAsia="zh-CN" w:bidi="ar-SA"/>
              </w:rPr>
              <w:t>6</w:t>
            </w:r>
            <w:r>
              <w:rPr>
                <w:rFonts w:hint="default" w:ascii="Times New Roman" w:hAnsi="Times New Roman" w:eastAsia="宋体" w:cs="Times New Roman"/>
                <w:color w:val="auto"/>
                <w:kern w:val="2"/>
                <w:sz w:val="24"/>
                <w:szCs w:val="22"/>
                <w:highlight w:val="none"/>
                <w:lang w:val="en-US" w:eastAsia="zh-CN" w:bidi="ar-SA"/>
              </w:rPr>
              <w:t>%</w:t>
            </w:r>
            <w:r>
              <w:rPr>
                <w:rFonts w:hint="eastAsia" w:cs="Times New Roman"/>
                <w:color w:val="auto"/>
                <w:kern w:val="2"/>
                <w:sz w:val="24"/>
                <w:szCs w:val="22"/>
                <w:highlight w:val="none"/>
                <w:lang w:val="en-US" w:eastAsia="zh-CN" w:bidi="ar-SA"/>
              </w:rPr>
              <w:t>，</w:t>
            </w:r>
            <w:r>
              <w:rPr>
                <w:rFonts w:hint="eastAsia"/>
                <w:color w:val="auto"/>
                <w:sz w:val="24"/>
                <w:szCs w:val="24"/>
                <w:highlight w:val="none"/>
                <w:lang w:eastAsia="zh-CN"/>
              </w:rPr>
              <w:t>占比较小，</w:t>
            </w:r>
            <w:r>
              <w:rPr>
                <w:rFonts w:hint="eastAsia"/>
                <w:color w:val="auto"/>
                <w:sz w:val="24"/>
                <w:szCs w:val="24"/>
                <w:highlight w:val="none"/>
              </w:rPr>
              <w:t>污水处理厂仍有容量接纳本项目污水</w:t>
            </w:r>
            <w:r>
              <w:rPr>
                <w:rFonts w:hint="eastAsia" w:ascii="Times New Roman" w:hAnsi="Times New Roman" w:eastAsia="宋体" w:cs="Times New Roman"/>
                <w:color w:val="auto"/>
                <w:kern w:val="2"/>
                <w:sz w:val="24"/>
                <w:szCs w:val="22"/>
                <w:highlight w:val="none"/>
                <w:lang w:val="en-US" w:eastAsia="zh-CN" w:bidi="ar-SA"/>
              </w:rPr>
              <w:t xml:space="preserve">。项目废水经废水处理设施处理后可满足五河县城南污水处理厂的接管标准。五河县城南污水处理厂已建设完成并投入使用，运行稳定，目前尚有余量来接纳本项目污水。本项目废水不会影响五河县城南污水处理厂的处理能力。 </w:t>
            </w:r>
          </w:p>
          <w:p w14:paraId="55D8C4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 xml:space="preserve">③达标接管的可行性分析 </w:t>
            </w:r>
          </w:p>
          <w:p w14:paraId="4BE2D7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本项目废水排放浓度能够满足五河县城南污水处理厂的接管标准要求，可以实现达标接管。</w:t>
            </w:r>
          </w:p>
          <w:p w14:paraId="3AACA664">
            <w:pPr>
              <w:pStyle w:val="203"/>
              <w:keepNext w:val="0"/>
              <w:keepLines w:val="0"/>
              <w:pageBreakBefore w:val="0"/>
              <w:widowControl w:val="0"/>
              <w:suppressLineNumbers w:val="0"/>
              <w:tabs>
                <w:tab w:val="left" w:pos="1297"/>
              </w:tabs>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综上，本项目废水接管至</w:t>
            </w:r>
            <w:r>
              <w:rPr>
                <w:rFonts w:hint="eastAsia" w:ascii="Times New Roman" w:hAnsi="Times New Roman" w:eastAsia="宋体" w:cs="Times New Roman"/>
                <w:color w:val="auto"/>
                <w:kern w:val="2"/>
                <w:sz w:val="24"/>
                <w:szCs w:val="22"/>
                <w:highlight w:val="none"/>
                <w:lang w:val="en-US" w:eastAsia="zh-CN" w:bidi="ar-SA"/>
              </w:rPr>
              <w:t>五河县</w:t>
            </w:r>
            <w:r>
              <w:rPr>
                <w:rFonts w:hint="default" w:ascii="Times New Roman" w:hAnsi="Times New Roman" w:eastAsia="宋体" w:cs="Times New Roman"/>
                <w:color w:val="auto"/>
                <w:kern w:val="2"/>
                <w:sz w:val="24"/>
                <w:szCs w:val="22"/>
                <w:highlight w:val="none"/>
                <w:lang w:val="en-US" w:eastAsia="zh-CN" w:bidi="ar-SA"/>
              </w:rPr>
              <w:t>城</w:t>
            </w:r>
            <w:r>
              <w:rPr>
                <w:rFonts w:hint="eastAsia" w:ascii="Times New Roman" w:hAnsi="Times New Roman" w:eastAsia="宋体" w:cs="Times New Roman"/>
                <w:color w:val="auto"/>
                <w:kern w:val="2"/>
                <w:sz w:val="24"/>
                <w:szCs w:val="22"/>
                <w:highlight w:val="none"/>
                <w:lang w:val="en-US" w:eastAsia="zh-CN" w:bidi="ar-SA"/>
              </w:rPr>
              <w:t>南</w:t>
            </w:r>
            <w:r>
              <w:rPr>
                <w:rFonts w:hint="default" w:ascii="Times New Roman" w:hAnsi="Times New Roman" w:eastAsia="宋体" w:cs="Times New Roman"/>
                <w:color w:val="auto"/>
                <w:kern w:val="2"/>
                <w:sz w:val="24"/>
                <w:szCs w:val="22"/>
                <w:highlight w:val="none"/>
                <w:lang w:val="en-US" w:eastAsia="zh-CN" w:bidi="ar-SA"/>
              </w:rPr>
              <w:t>污水处理厂是可行的。</w:t>
            </w:r>
          </w:p>
          <w:p w14:paraId="3FE9672C">
            <w:pPr>
              <w:pStyle w:val="203"/>
              <w:keepNext w:val="0"/>
              <w:keepLines w:val="0"/>
              <w:pageBreakBefore w:val="0"/>
              <w:widowControl w:val="0"/>
              <w:suppressLineNumbers w:val="0"/>
              <w:tabs>
                <w:tab w:val="left" w:pos="1297"/>
              </w:tabs>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本项目所排废水的水质、水量能够满足</w:t>
            </w:r>
            <w:r>
              <w:rPr>
                <w:rFonts w:hint="eastAsia" w:ascii="Times New Roman" w:hAnsi="Times New Roman" w:eastAsia="宋体" w:cs="Times New Roman"/>
                <w:color w:val="auto"/>
                <w:kern w:val="2"/>
                <w:sz w:val="24"/>
                <w:szCs w:val="22"/>
                <w:highlight w:val="none"/>
                <w:lang w:val="en-US" w:eastAsia="zh-CN" w:bidi="ar-SA"/>
              </w:rPr>
              <w:t>五河县</w:t>
            </w:r>
            <w:r>
              <w:rPr>
                <w:rFonts w:hint="default" w:ascii="Times New Roman" w:hAnsi="Times New Roman" w:eastAsia="宋体" w:cs="Times New Roman"/>
                <w:color w:val="auto"/>
                <w:kern w:val="2"/>
                <w:sz w:val="24"/>
                <w:szCs w:val="22"/>
                <w:highlight w:val="none"/>
                <w:lang w:val="en-US" w:eastAsia="zh-CN" w:bidi="ar-SA"/>
              </w:rPr>
              <w:t>城</w:t>
            </w:r>
            <w:r>
              <w:rPr>
                <w:rFonts w:hint="eastAsia" w:ascii="Times New Roman" w:hAnsi="Times New Roman" w:eastAsia="宋体" w:cs="Times New Roman"/>
                <w:color w:val="auto"/>
                <w:kern w:val="2"/>
                <w:sz w:val="24"/>
                <w:szCs w:val="22"/>
                <w:highlight w:val="none"/>
                <w:lang w:val="en-US" w:eastAsia="zh-CN" w:bidi="ar-SA"/>
              </w:rPr>
              <w:t>南</w:t>
            </w:r>
            <w:r>
              <w:rPr>
                <w:rFonts w:hint="default" w:ascii="Times New Roman" w:hAnsi="Times New Roman" w:eastAsia="宋体" w:cs="Times New Roman"/>
                <w:color w:val="auto"/>
                <w:kern w:val="2"/>
                <w:sz w:val="24"/>
                <w:szCs w:val="22"/>
                <w:highlight w:val="none"/>
                <w:lang w:val="en-US" w:eastAsia="zh-CN" w:bidi="ar-SA"/>
              </w:rPr>
              <w:t>污水处理厂的接管标准，该废水排入污水处理厂后对</w:t>
            </w:r>
            <w:r>
              <w:rPr>
                <w:rFonts w:hint="eastAsia" w:ascii="Times New Roman" w:hAnsi="Times New Roman" w:eastAsia="宋体" w:cs="Times New Roman"/>
                <w:color w:val="auto"/>
                <w:kern w:val="2"/>
                <w:sz w:val="24"/>
                <w:szCs w:val="22"/>
                <w:highlight w:val="none"/>
                <w:lang w:val="en-US" w:eastAsia="zh-CN" w:bidi="ar-SA"/>
              </w:rPr>
              <w:t>五河县</w:t>
            </w:r>
            <w:r>
              <w:rPr>
                <w:rFonts w:hint="default" w:ascii="Times New Roman" w:hAnsi="Times New Roman" w:eastAsia="宋体" w:cs="Times New Roman"/>
                <w:color w:val="auto"/>
                <w:kern w:val="2"/>
                <w:sz w:val="24"/>
                <w:szCs w:val="22"/>
                <w:highlight w:val="none"/>
                <w:lang w:val="en-US" w:eastAsia="zh-CN" w:bidi="ar-SA"/>
              </w:rPr>
              <w:t>城</w:t>
            </w:r>
            <w:r>
              <w:rPr>
                <w:rFonts w:hint="eastAsia" w:ascii="Times New Roman" w:hAnsi="Times New Roman" w:eastAsia="宋体" w:cs="Times New Roman"/>
                <w:color w:val="auto"/>
                <w:kern w:val="2"/>
                <w:sz w:val="24"/>
                <w:szCs w:val="22"/>
                <w:highlight w:val="none"/>
                <w:lang w:val="en-US" w:eastAsia="zh-CN" w:bidi="ar-SA"/>
              </w:rPr>
              <w:t>南</w:t>
            </w:r>
            <w:r>
              <w:rPr>
                <w:rFonts w:hint="default" w:ascii="Times New Roman" w:hAnsi="Times New Roman" w:eastAsia="宋体" w:cs="Times New Roman"/>
                <w:color w:val="auto"/>
                <w:kern w:val="2"/>
                <w:sz w:val="24"/>
                <w:szCs w:val="22"/>
                <w:highlight w:val="none"/>
                <w:lang w:val="en-US" w:eastAsia="zh-CN" w:bidi="ar-SA"/>
              </w:rPr>
              <w:t>污水处理厂的处理工艺不会产生冲击，经处理后，各污染物达标排放</w:t>
            </w:r>
            <w:r>
              <w:rPr>
                <w:rFonts w:hint="eastAsia" w:ascii="Times New Roman" w:hAnsi="Times New Roman" w:eastAsia="宋体" w:cs="Times New Roman"/>
                <w:color w:val="auto"/>
                <w:kern w:val="2"/>
                <w:sz w:val="24"/>
                <w:szCs w:val="22"/>
                <w:highlight w:val="none"/>
                <w:lang w:val="en-US" w:eastAsia="zh-CN" w:bidi="ar-SA"/>
              </w:rPr>
              <w:t>淮</w:t>
            </w:r>
            <w:r>
              <w:rPr>
                <w:rFonts w:hint="default" w:ascii="Times New Roman" w:hAnsi="Times New Roman" w:eastAsia="宋体" w:cs="Times New Roman"/>
                <w:color w:val="auto"/>
                <w:kern w:val="2"/>
                <w:sz w:val="24"/>
                <w:szCs w:val="22"/>
                <w:highlight w:val="none"/>
                <w:lang w:val="en-US" w:eastAsia="zh-CN" w:bidi="ar-SA"/>
              </w:rPr>
              <w:t>河，污染防治措施可行。</w:t>
            </w:r>
          </w:p>
          <w:p w14:paraId="67069CB8">
            <w:pPr>
              <w:pStyle w:val="203"/>
              <w:keepNext w:val="0"/>
              <w:keepLines w:val="0"/>
              <w:pageBreakBefore w:val="0"/>
              <w:widowControl w:val="0"/>
              <w:suppressLineNumbers w:val="0"/>
              <w:tabs>
                <w:tab w:val="left" w:pos="1297"/>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color w:val="auto"/>
                <w:szCs w:val="22"/>
                <w:highlight w:val="none"/>
              </w:rPr>
            </w:pPr>
            <w:r>
              <w:rPr>
                <w:color w:val="auto"/>
                <w:szCs w:val="22"/>
                <w:highlight w:val="none"/>
              </w:rPr>
              <w:drawing>
                <wp:inline distT="0" distB="0" distL="114300" distR="114300">
                  <wp:extent cx="3457575" cy="4309745"/>
                  <wp:effectExtent l="0" t="0" r="0" b="0"/>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pic:cNvPicPr>
                        </pic:nvPicPr>
                        <pic:blipFill>
                          <a:blip r:embed="rId21"/>
                          <a:srcRect b="1352"/>
                          <a:stretch>
                            <a:fillRect/>
                          </a:stretch>
                        </pic:blipFill>
                        <pic:spPr>
                          <a:xfrm>
                            <a:off x="0" y="0"/>
                            <a:ext cx="3457575" cy="4309745"/>
                          </a:xfrm>
                          <a:prstGeom prst="rect">
                            <a:avLst/>
                          </a:prstGeom>
                          <a:noFill/>
                          <a:ln>
                            <a:noFill/>
                          </a:ln>
                        </pic:spPr>
                      </pic:pic>
                    </a:graphicData>
                  </a:graphic>
                </wp:inline>
              </w:drawing>
            </w:r>
          </w:p>
          <w:p w14:paraId="22FB0B0E">
            <w:pPr>
              <w:pStyle w:val="16"/>
              <w:keepNext w:val="0"/>
              <w:keepLines w:val="0"/>
              <w:suppressLineNumbers w:val="0"/>
              <w:spacing w:before="0" w:beforeAutospacing="0" w:afterAutospacing="0"/>
              <w:ind w:left="0" w:leftChars="0" w:right="0" w:firstLine="0"/>
              <w:jc w:val="center"/>
              <w:rPr>
                <w:rFonts w:hint="eastAsia" w:ascii="Times New Roman" w:hAnsi="Times New Roman"/>
                <w:b/>
                <w:bCs/>
                <w:color w:val="auto"/>
                <w:sz w:val="24"/>
                <w:szCs w:val="24"/>
                <w:highlight w:val="none"/>
              </w:rPr>
            </w:pPr>
            <w:r>
              <w:rPr>
                <w:rFonts w:ascii="Times New Roman" w:hAnsi="Times New Roman"/>
                <w:b/>
                <w:bCs/>
                <w:color w:val="auto"/>
                <w:sz w:val="24"/>
                <w:szCs w:val="24"/>
                <w:highlight w:val="none"/>
              </w:rPr>
              <w:t>图4-</w:t>
            </w:r>
            <w:r>
              <w:rPr>
                <w:rFonts w:hint="eastAsia" w:ascii="Times New Roman" w:hAnsi="Times New Roman"/>
                <w:b/>
                <w:bCs/>
                <w:color w:val="auto"/>
                <w:sz w:val="24"/>
                <w:szCs w:val="24"/>
                <w:highlight w:val="none"/>
                <w:lang w:val="en-US" w:eastAsia="zh-CN"/>
              </w:rPr>
              <w:t>3</w:t>
            </w:r>
            <w:r>
              <w:rPr>
                <w:rFonts w:ascii="Times New Roman" w:hAnsi="Times New Roman"/>
                <w:b/>
                <w:bCs/>
                <w:color w:val="auto"/>
                <w:sz w:val="24"/>
                <w:szCs w:val="24"/>
                <w:highlight w:val="none"/>
              </w:rPr>
              <w:t xml:space="preserve"> </w:t>
            </w:r>
            <w:r>
              <w:rPr>
                <w:rFonts w:hint="eastAsia" w:ascii="Times New Roman" w:hAnsi="Times New Roman"/>
                <w:b/>
                <w:bCs/>
                <w:color w:val="auto"/>
                <w:sz w:val="24"/>
                <w:szCs w:val="24"/>
                <w:highlight w:val="none"/>
                <w:lang w:val="en-US" w:eastAsia="zh-CN"/>
              </w:rPr>
              <w:t xml:space="preserve"> </w:t>
            </w:r>
            <w:r>
              <w:rPr>
                <w:rFonts w:hAnsi="宋体"/>
                <w:b/>
                <w:color w:val="auto"/>
                <w:sz w:val="24"/>
                <w:szCs w:val="24"/>
                <w:highlight w:val="none"/>
              </w:rPr>
              <w:t>五河县</w:t>
            </w:r>
            <w:r>
              <w:rPr>
                <w:rFonts w:hint="eastAsia" w:hAnsi="宋体"/>
                <w:b/>
                <w:color w:val="auto"/>
                <w:sz w:val="24"/>
                <w:szCs w:val="24"/>
                <w:highlight w:val="none"/>
              </w:rPr>
              <w:t>城南</w:t>
            </w:r>
            <w:r>
              <w:rPr>
                <w:rFonts w:hAnsi="宋体"/>
                <w:b/>
                <w:color w:val="auto"/>
                <w:sz w:val="24"/>
                <w:szCs w:val="24"/>
                <w:highlight w:val="none"/>
              </w:rPr>
              <w:t>污水处理厂</w:t>
            </w:r>
            <w:r>
              <w:rPr>
                <w:rFonts w:hint="eastAsia" w:hAnsi="宋体"/>
                <w:b/>
                <w:color w:val="auto"/>
                <w:sz w:val="24"/>
                <w:szCs w:val="24"/>
                <w:highlight w:val="none"/>
              </w:rPr>
              <w:t>一期工程</w:t>
            </w:r>
            <w:r>
              <w:rPr>
                <w:rFonts w:hAnsi="宋体"/>
                <w:b/>
                <w:color w:val="auto"/>
                <w:sz w:val="24"/>
                <w:szCs w:val="24"/>
                <w:highlight w:val="none"/>
              </w:rPr>
              <w:t>污水处理工艺流程图</w:t>
            </w:r>
          </w:p>
          <w:p w14:paraId="298471B2">
            <w:pPr>
              <w:pStyle w:val="203"/>
              <w:keepNext w:val="0"/>
              <w:keepLines w:val="0"/>
              <w:pageBreakBefore w:val="0"/>
              <w:widowControl w:val="0"/>
              <w:suppressLineNumbers w:val="0"/>
              <w:tabs>
                <w:tab w:val="left" w:pos="1297"/>
              </w:tabs>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color w:val="auto"/>
                <w:szCs w:val="22"/>
                <w:highlight w:val="none"/>
              </w:rPr>
            </w:pPr>
          </w:p>
        </w:tc>
      </w:tr>
    </w:tbl>
    <w:p w14:paraId="19BF6AA6">
      <w:pPr>
        <w:rPr>
          <w:rFonts w:hint="eastAsia" w:ascii="Times New Roman"/>
          <w:b/>
          <w:snapToGrid w:val="0"/>
          <w:color w:val="auto"/>
          <w:sz w:val="30"/>
          <w:szCs w:val="30"/>
        </w:rPr>
        <w:sectPr>
          <w:pgSz w:w="11906" w:h="16838"/>
          <w:pgMar w:top="1417" w:right="1417" w:bottom="1417" w:left="1531"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r>
        <w:rPr>
          <w:rFonts w:hint="eastAsia" w:ascii="Times New Roman"/>
          <w:b/>
          <w:snapToGrid w:val="0"/>
          <w:color w:val="auto"/>
          <w:sz w:val="30"/>
          <w:szCs w:val="30"/>
        </w:rPr>
        <w:br w:type="page"/>
      </w:r>
    </w:p>
    <w:tbl>
      <w:tblPr>
        <w:tblStyle w:val="39"/>
        <w:tblW w:w="132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
        <w:gridCol w:w="12869"/>
      </w:tblGrid>
      <w:tr w14:paraId="0E6F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jc w:val="center"/>
        </w:trPr>
        <w:tc>
          <w:tcPr>
            <w:tcW w:w="359" w:type="dxa"/>
            <w:noWrap w:val="0"/>
            <w:vAlign w:val="center"/>
          </w:tcPr>
          <w:p w14:paraId="0836B03E">
            <w:pPr>
              <w:keepNext w:val="0"/>
              <w:keepLines w:val="0"/>
              <w:suppressLineNumbers w:val="0"/>
              <w:adjustRightInd w:val="0"/>
              <w:snapToGrid w:val="0"/>
              <w:spacing w:before="0" w:beforeAutospacing="0" w:after="0" w:afterAutospacing="0"/>
              <w:ind w:left="0" w:right="0"/>
              <w:jc w:val="center"/>
              <w:outlineLvl w:val="0"/>
              <w:rPr>
                <w:b/>
                <w:color w:val="auto"/>
                <w:szCs w:val="21"/>
                <w:highlight w:val="none"/>
              </w:rPr>
            </w:pPr>
          </w:p>
        </w:tc>
        <w:tc>
          <w:tcPr>
            <w:tcW w:w="12869" w:type="dxa"/>
            <w:noWrap w:val="0"/>
            <w:vAlign w:val="center"/>
          </w:tcPr>
          <w:p w14:paraId="4D19B240">
            <w:pPr>
              <w:keepNext w:val="0"/>
              <w:keepLines w:val="0"/>
              <w:suppressLineNumbers w:val="0"/>
              <w:autoSpaceDE w:val="0"/>
              <w:autoSpaceDN w:val="0"/>
              <w:adjustRightInd w:val="0"/>
              <w:spacing w:before="0" w:beforeAutospacing="0" w:after="0" w:afterAutospacing="0" w:line="360" w:lineRule="auto"/>
              <w:ind w:left="0" w:right="0"/>
              <w:rPr>
                <w:rFonts w:hint="eastAsia"/>
                <w:b/>
                <w:bCs/>
                <w:color w:val="auto"/>
                <w:sz w:val="24"/>
                <w:szCs w:val="24"/>
                <w:highlight w:val="none"/>
              </w:rPr>
            </w:pPr>
            <w:r>
              <w:rPr>
                <w:rFonts w:hint="eastAsia"/>
                <w:b/>
                <w:bCs/>
                <w:color w:val="auto"/>
                <w:sz w:val="24"/>
                <w:szCs w:val="22"/>
                <w:highlight w:val="none"/>
                <w:lang w:val="en-US" w:eastAsia="zh-CN"/>
              </w:rPr>
              <w:t>3、</w:t>
            </w:r>
            <w:r>
              <w:rPr>
                <w:b/>
                <w:bCs/>
                <w:color w:val="auto"/>
                <w:sz w:val="24"/>
                <w:szCs w:val="22"/>
                <w:highlight w:val="none"/>
              </w:rPr>
              <w:t>噪声</w:t>
            </w:r>
          </w:p>
          <w:p w14:paraId="5C21C831">
            <w:pPr>
              <w:pStyle w:val="8"/>
              <w:keepNext w:val="0"/>
              <w:keepLines w:val="0"/>
              <w:suppressLineNumbers w:val="0"/>
              <w:spacing w:before="0" w:beforeAutospacing="0" w:after="0" w:afterAutospacing="0" w:line="360" w:lineRule="auto"/>
              <w:ind w:left="0" w:right="0"/>
              <w:rPr>
                <w:b/>
                <w:bCs/>
                <w:color w:val="auto"/>
                <w:sz w:val="24"/>
                <w:szCs w:val="24"/>
                <w:highlight w:val="none"/>
              </w:rPr>
            </w:pPr>
            <w:r>
              <w:rPr>
                <w:rFonts w:hint="eastAsia"/>
                <w:b/>
                <w:bCs/>
                <w:color w:val="auto"/>
                <w:sz w:val="24"/>
                <w:szCs w:val="24"/>
                <w:highlight w:val="none"/>
                <w:lang w:val="en-US" w:eastAsia="zh-CN"/>
              </w:rPr>
              <w:t>3.1</w:t>
            </w:r>
            <w:r>
              <w:rPr>
                <w:b/>
                <w:bCs/>
                <w:color w:val="auto"/>
                <w:sz w:val="24"/>
                <w:szCs w:val="24"/>
                <w:highlight w:val="none"/>
              </w:rPr>
              <w:t>噪声</w:t>
            </w:r>
            <w:r>
              <w:rPr>
                <w:rFonts w:hint="eastAsia"/>
                <w:b/>
                <w:bCs/>
                <w:color w:val="auto"/>
                <w:sz w:val="24"/>
                <w:szCs w:val="24"/>
                <w:highlight w:val="none"/>
              </w:rPr>
              <w:t>源强</w:t>
            </w:r>
          </w:p>
          <w:p w14:paraId="735349E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本项目主要噪声源为</w:t>
            </w:r>
            <w:r>
              <w:rPr>
                <w:rFonts w:hint="eastAsia" w:cs="Times New Roman"/>
                <w:color w:val="auto"/>
                <w:sz w:val="24"/>
                <w:szCs w:val="24"/>
                <w:lang w:val="en-US" w:eastAsia="zh-CN"/>
              </w:rPr>
              <w:t>注塑机</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浇注机</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粉碎机</w:t>
            </w:r>
            <w:r>
              <w:rPr>
                <w:rFonts w:hint="default" w:ascii="Times New Roman" w:hAnsi="Times New Roman" w:cs="Times New Roman"/>
                <w:color w:val="auto"/>
                <w:sz w:val="24"/>
                <w:szCs w:val="24"/>
                <w:lang w:val="en-US" w:eastAsia="zh-CN"/>
              </w:rPr>
              <w:t>及风机等，其噪声值一般在7</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85</w:t>
            </w:r>
            <w:r>
              <w:rPr>
                <w:rFonts w:hint="default" w:ascii="Times New Roman" w:hAnsi="Times New Roman" w:cs="Times New Roman"/>
                <w:color w:val="auto"/>
                <w:sz w:val="24"/>
                <w:szCs w:val="24"/>
                <w:lang w:val="en-US" w:eastAsia="zh-CN"/>
              </w:rPr>
              <w:t>dB(A)</w:t>
            </w:r>
            <w:r>
              <w:rPr>
                <w:rFonts w:hint="eastAsia" w:ascii="Times New Roman" w:hAnsi="Times New Roman" w:cs="Times New Roman"/>
                <w:color w:val="auto"/>
                <w:sz w:val="24"/>
                <w:szCs w:val="24"/>
                <w:lang w:val="en-US" w:eastAsia="zh-CN"/>
              </w:rPr>
              <w:t>，噪声源强及治理措施见下表</w:t>
            </w:r>
            <w:r>
              <w:rPr>
                <w:rFonts w:hint="default" w:ascii="Times New Roman" w:hAnsi="Times New Roman" w:cs="Times New Roman"/>
                <w:color w:val="auto"/>
                <w:sz w:val="24"/>
                <w:szCs w:val="24"/>
              </w:rPr>
              <w:t>。</w:t>
            </w:r>
          </w:p>
          <w:p w14:paraId="3221CD5F">
            <w:pPr>
              <w:keepNext/>
              <w:keepLines/>
              <w:widowControl/>
              <w:numPr>
                <w:ilvl w:val="1"/>
                <w:numId w:val="0"/>
              </w:numPr>
              <w:suppressLineNumbers w:val="0"/>
              <w:tabs>
                <w:tab w:val="left" w:pos="1325"/>
              </w:tabs>
              <w:adjustRightInd w:val="0"/>
              <w:snapToGrid w:val="0"/>
              <w:spacing w:before="0" w:beforeAutospacing="0" w:after="0" w:afterAutospacing="0"/>
              <w:ind w:left="0" w:right="0"/>
              <w:jc w:val="center"/>
              <w:outlineLvl w:val="1"/>
              <w:rPr>
                <w:rFonts w:hint="default" w:ascii="Times New Roman" w:hAnsi="Times New Roman" w:eastAsia="宋体" w:cs="Times New Roman"/>
                <w:b/>
                <w:bCs w:val="0"/>
                <w:color w:val="000000"/>
                <w:kern w:val="2"/>
                <w:sz w:val="24"/>
                <w:szCs w:val="24"/>
                <w:highlight w:val="none"/>
                <w:lang w:val="en-US" w:eastAsia="zh-CN" w:bidi="ar-SA"/>
              </w:rPr>
            </w:pPr>
            <w:r>
              <w:rPr>
                <w:rFonts w:hint="default" w:ascii="Times New Roman" w:hAnsi="Times New Roman" w:eastAsia="宋体" w:cs="Times New Roman"/>
                <w:b/>
                <w:bCs w:val="0"/>
                <w:color w:val="000000"/>
                <w:kern w:val="2"/>
                <w:sz w:val="21"/>
                <w:szCs w:val="21"/>
                <w:highlight w:val="none"/>
                <w:lang w:val="en-US" w:eastAsia="zh-CN" w:bidi="ar-SA"/>
              </w:rPr>
              <w:t>表4-</w:t>
            </w:r>
            <w:r>
              <w:rPr>
                <w:rFonts w:hint="eastAsia" w:ascii="Times New Roman" w:hAnsi="Times New Roman" w:eastAsia="宋体" w:cs="Times New Roman"/>
                <w:b/>
                <w:bCs w:val="0"/>
                <w:color w:val="000000"/>
                <w:kern w:val="2"/>
                <w:sz w:val="21"/>
                <w:szCs w:val="21"/>
                <w:highlight w:val="none"/>
                <w:lang w:val="en-US" w:eastAsia="zh-CN" w:bidi="ar-SA"/>
              </w:rPr>
              <w:t>1</w:t>
            </w:r>
            <w:r>
              <w:rPr>
                <w:rFonts w:hint="eastAsia" w:cs="Times New Roman"/>
                <w:b/>
                <w:bCs w:val="0"/>
                <w:color w:val="000000"/>
                <w:kern w:val="2"/>
                <w:sz w:val="21"/>
                <w:szCs w:val="21"/>
                <w:highlight w:val="none"/>
                <w:lang w:val="en-US" w:eastAsia="zh-CN" w:bidi="ar-SA"/>
              </w:rPr>
              <w:t>1</w:t>
            </w:r>
            <w:r>
              <w:rPr>
                <w:rFonts w:hint="default" w:ascii="Times New Roman" w:hAnsi="Times New Roman" w:eastAsia="宋体" w:cs="Times New Roman"/>
                <w:b/>
                <w:bCs w:val="0"/>
                <w:color w:val="000000"/>
                <w:kern w:val="2"/>
                <w:sz w:val="21"/>
                <w:szCs w:val="21"/>
                <w:highlight w:val="none"/>
                <w:lang w:val="en-US" w:eastAsia="zh-CN" w:bidi="ar-SA"/>
              </w:rPr>
              <w:t xml:space="preserve"> </w:t>
            </w:r>
            <w:r>
              <w:rPr>
                <w:rFonts w:hint="eastAsia" w:ascii="Times New Roman" w:hAnsi="Times New Roman" w:eastAsia="宋体" w:cs="Times New Roman"/>
                <w:b/>
                <w:bCs w:val="0"/>
                <w:color w:val="000000"/>
                <w:kern w:val="2"/>
                <w:sz w:val="21"/>
                <w:szCs w:val="21"/>
                <w:highlight w:val="none"/>
                <w:lang w:val="en-US" w:eastAsia="zh-CN" w:bidi="ar-SA"/>
              </w:rPr>
              <w:t xml:space="preserve"> </w:t>
            </w:r>
            <w:r>
              <w:rPr>
                <w:rFonts w:hint="default" w:ascii="Times New Roman" w:hAnsi="Times New Roman" w:eastAsia="宋体" w:cs="Times New Roman"/>
                <w:b/>
                <w:bCs w:val="0"/>
                <w:color w:val="000000"/>
                <w:kern w:val="2"/>
                <w:sz w:val="21"/>
                <w:szCs w:val="21"/>
                <w:highlight w:val="none"/>
                <w:lang w:val="en-US" w:eastAsia="zh-CN" w:bidi="ar-SA"/>
              </w:rPr>
              <w:t>项目主要噪声源表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350"/>
              <w:gridCol w:w="913"/>
              <w:gridCol w:w="686"/>
              <w:gridCol w:w="701"/>
              <w:gridCol w:w="653"/>
              <w:gridCol w:w="653"/>
              <w:gridCol w:w="504"/>
              <w:gridCol w:w="526"/>
              <w:gridCol w:w="526"/>
              <w:gridCol w:w="526"/>
              <w:gridCol w:w="542"/>
              <w:gridCol w:w="433"/>
              <w:gridCol w:w="499"/>
              <w:gridCol w:w="410"/>
              <w:gridCol w:w="458"/>
              <w:gridCol w:w="600"/>
              <w:gridCol w:w="752"/>
              <w:gridCol w:w="452"/>
              <w:gridCol w:w="495"/>
              <w:gridCol w:w="496"/>
              <w:gridCol w:w="458"/>
              <w:gridCol w:w="567"/>
            </w:tblGrid>
            <w:tr w14:paraId="3B24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 w:type="pct"/>
                  <w:vMerge w:val="restart"/>
                  <w:noWrap w:val="0"/>
                  <w:vAlign w:val="center"/>
                </w:tcPr>
                <w:p w14:paraId="650762C1">
                  <w:pPr>
                    <w:keepNext w:val="0"/>
                    <w:keepLines w:val="0"/>
                    <w:suppressLineNumbers w:val="0"/>
                    <w:adjustRightInd w:val="0"/>
                    <w:snapToGrid w:val="0"/>
                    <w:spacing w:before="0" w:beforeAutospacing="0" w:after="0" w:afterAutospacing="0"/>
                    <w:ind w:left="0" w:right="0"/>
                    <w:jc w:val="center"/>
                    <w:rPr>
                      <w:b/>
                      <w:color w:val="auto"/>
                      <w:sz w:val="21"/>
                      <w:szCs w:val="21"/>
                    </w:rPr>
                  </w:pPr>
                  <w:r>
                    <w:rPr>
                      <w:rFonts w:hint="eastAsia" w:ascii="宋体" w:hAnsi="宋体" w:cs="宋体"/>
                      <w:b/>
                      <w:color w:val="auto"/>
                      <w:sz w:val="21"/>
                      <w:szCs w:val="21"/>
                      <w:lang w:bidi="ar"/>
                    </w:rPr>
                    <w:t>序号</w:t>
                  </w:r>
                </w:p>
              </w:tc>
              <w:tc>
                <w:tcPr>
                  <w:tcW w:w="138" w:type="pct"/>
                  <w:vMerge w:val="restart"/>
                  <w:noWrap w:val="0"/>
                  <w:vAlign w:val="center"/>
                </w:tcPr>
                <w:p w14:paraId="0BBB64BD">
                  <w:pPr>
                    <w:keepNext w:val="0"/>
                    <w:keepLines w:val="0"/>
                    <w:suppressLineNumbers w:val="0"/>
                    <w:adjustRightInd w:val="0"/>
                    <w:snapToGrid w:val="0"/>
                    <w:spacing w:before="0" w:beforeAutospacing="0" w:after="0" w:afterAutospacing="0"/>
                    <w:ind w:left="0" w:right="0"/>
                    <w:jc w:val="center"/>
                    <w:rPr>
                      <w:b/>
                      <w:color w:val="auto"/>
                      <w:sz w:val="21"/>
                      <w:szCs w:val="21"/>
                    </w:rPr>
                  </w:pPr>
                  <w:r>
                    <w:rPr>
                      <w:rFonts w:hint="eastAsia" w:ascii="宋体" w:hAnsi="宋体" w:cs="宋体"/>
                      <w:b/>
                      <w:color w:val="auto"/>
                      <w:sz w:val="21"/>
                      <w:szCs w:val="21"/>
                      <w:lang w:bidi="ar"/>
                    </w:rPr>
                    <w:t>建筑物名称</w:t>
                  </w:r>
                </w:p>
              </w:tc>
              <w:tc>
                <w:tcPr>
                  <w:tcW w:w="361" w:type="pct"/>
                  <w:vMerge w:val="restart"/>
                  <w:noWrap w:val="0"/>
                  <w:vAlign w:val="center"/>
                </w:tcPr>
                <w:p w14:paraId="735E244C">
                  <w:pPr>
                    <w:keepNext w:val="0"/>
                    <w:keepLines w:val="0"/>
                    <w:suppressLineNumbers w:val="0"/>
                    <w:adjustRightInd w:val="0"/>
                    <w:snapToGrid w:val="0"/>
                    <w:spacing w:before="0" w:beforeAutospacing="0" w:after="0" w:afterAutospacing="0"/>
                    <w:ind w:left="0" w:right="0"/>
                    <w:jc w:val="center"/>
                    <w:rPr>
                      <w:b/>
                      <w:color w:val="auto"/>
                      <w:sz w:val="21"/>
                      <w:szCs w:val="21"/>
                    </w:rPr>
                  </w:pPr>
                  <w:r>
                    <w:rPr>
                      <w:rFonts w:hint="eastAsia" w:ascii="宋体" w:hAnsi="宋体" w:cs="宋体"/>
                      <w:b/>
                      <w:color w:val="auto"/>
                      <w:sz w:val="21"/>
                      <w:szCs w:val="21"/>
                      <w:lang w:bidi="ar"/>
                    </w:rPr>
                    <w:t>设备名称</w:t>
                  </w:r>
                </w:p>
              </w:tc>
              <w:tc>
                <w:tcPr>
                  <w:tcW w:w="271" w:type="pct"/>
                  <w:vMerge w:val="restart"/>
                  <w:noWrap w:val="0"/>
                  <w:vAlign w:val="center"/>
                </w:tcPr>
                <w:p w14:paraId="32BCDDFC">
                  <w:pPr>
                    <w:keepNext w:val="0"/>
                    <w:keepLines w:val="0"/>
                    <w:suppressLineNumbers w:val="0"/>
                    <w:adjustRightInd w:val="0"/>
                    <w:snapToGrid w:val="0"/>
                    <w:spacing w:before="0" w:beforeAutospacing="0" w:after="0" w:afterAutospacing="0"/>
                    <w:ind w:left="0" w:right="0"/>
                    <w:jc w:val="center"/>
                    <w:rPr>
                      <w:b/>
                      <w:color w:val="auto"/>
                      <w:sz w:val="21"/>
                      <w:szCs w:val="21"/>
                    </w:rPr>
                  </w:pPr>
                  <w:r>
                    <w:rPr>
                      <w:rFonts w:hint="eastAsia" w:ascii="宋体" w:hAnsi="宋体" w:cs="宋体"/>
                      <w:b/>
                      <w:color w:val="auto"/>
                      <w:sz w:val="21"/>
                      <w:szCs w:val="21"/>
                      <w:lang w:bidi="ar"/>
                    </w:rPr>
                    <w:t>噪声源强</w:t>
                  </w:r>
                  <w:r>
                    <w:rPr>
                      <w:b/>
                      <w:color w:val="auto"/>
                      <w:sz w:val="21"/>
                      <w:szCs w:val="21"/>
                      <w:lang w:bidi="ar"/>
                    </w:rPr>
                    <w:t>dB</w:t>
                  </w:r>
                  <w:r>
                    <w:rPr>
                      <w:rFonts w:hint="eastAsia" w:ascii="宋体" w:hAnsi="宋体" w:cs="宋体"/>
                      <w:b/>
                      <w:color w:val="auto"/>
                      <w:sz w:val="21"/>
                      <w:szCs w:val="21"/>
                      <w:lang w:bidi="ar"/>
                    </w:rPr>
                    <w:t>（</w:t>
                  </w:r>
                  <w:r>
                    <w:rPr>
                      <w:b/>
                      <w:color w:val="auto"/>
                      <w:sz w:val="21"/>
                      <w:szCs w:val="21"/>
                      <w:lang w:bidi="ar"/>
                    </w:rPr>
                    <w:t>A</w:t>
                  </w:r>
                  <w:r>
                    <w:rPr>
                      <w:rFonts w:hint="eastAsia" w:ascii="宋体" w:hAnsi="宋体" w:cs="宋体"/>
                      <w:b/>
                      <w:color w:val="auto"/>
                      <w:sz w:val="21"/>
                      <w:szCs w:val="21"/>
                      <w:lang w:bidi="ar"/>
                    </w:rPr>
                    <w:t>）</w:t>
                  </w:r>
                </w:p>
              </w:tc>
              <w:tc>
                <w:tcPr>
                  <w:tcW w:w="277" w:type="pct"/>
                  <w:vMerge w:val="restart"/>
                  <w:noWrap w:val="0"/>
                  <w:vAlign w:val="center"/>
                </w:tcPr>
                <w:p w14:paraId="1261C01F">
                  <w:pPr>
                    <w:keepNext w:val="0"/>
                    <w:keepLines w:val="0"/>
                    <w:suppressLineNumbers w:val="0"/>
                    <w:adjustRightInd w:val="0"/>
                    <w:snapToGrid w:val="0"/>
                    <w:spacing w:before="0" w:beforeAutospacing="0" w:after="0" w:afterAutospacing="0"/>
                    <w:ind w:left="0" w:right="0"/>
                    <w:jc w:val="center"/>
                    <w:rPr>
                      <w:b/>
                      <w:color w:val="auto"/>
                      <w:sz w:val="21"/>
                      <w:szCs w:val="21"/>
                    </w:rPr>
                  </w:pPr>
                  <w:r>
                    <w:rPr>
                      <w:rFonts w:hint="eastAsia" w:ascii="宋体" w:hAnsi="宋体" w:cs="宋体"/>
                      <w:b/>
                      <w:color w:val="auto"/>
                      <w:sz w:val="21"/>
                      <w:szCs w:val="21"/>
                      <w:lang w:bidi="ar"/>
                    </w:rPr>
                    <w:t>声源控制措施</w:t>
                  </w:r>
                </w:p>
              </w:tc>
              <w:tc>
                <w:tcPr>
                  <w:tcW w:w="715" w:type="pct"/>
                  <w:gridSpan w:val="3"/>
                  <w:vMerge w:val="restart"/>
                  <w:noWrap w:val="0"/>
                  <w:vAlign w:val="center"/>
                </w:tcPr>
                <w:p w14:paraId="56A50286">
                  <w:pPr>
                    <w:keepNext w:val="0"/>
                    <w:keepLines w:val="0"/>
                    <w:suppressLineNumbers w:val="0"/>
                    <w:adjustRightInd w:val="0"/>
                    <w:snapToGrid w:val="0"/>
                    <w:spacing w:before="0" w:beforeAutospacing="0" w:after="0" w:afterAutospacing="0"/>
                    <w:ind w:left="0" w:right="0"/>
                    <w:jc w:val="center"/>
                    <w:rPr>
                      <w:b/>
                      <w:color w:val="auto"/>
                      <w:sz w:val="21"/>
                      <w:szCs w:val="21"/>
                    </w:rPr>
                  </w:pPr>
                  <w:r>
                    <w:rPr>
                      <w:rFonts w:hint="eastAsia" w:ascii="宋体" w:hAnsi="宋体" w:cs="宋体"/>
                      <w:b/>
                      <w:color w:val="auto"/>
                      <w:sz w:val="21"/>
                      <w:szCs w:val="21"/>
                      <w:lang w:bidi="ar"/>
                    </w:rPr>
                    <w:t>空间相对位置（</w:t>
                  </w:r>
                  <w:r>
                    <w:rPr>
                      <w:b/>
                      <w:color w:val="auto"/>
                      <w:sz w:val="21"/>
                      <w:szCs w:val="21"/>
                      <w:lang w:bidi="ar"/>
                    </w:rPr>
                    <w:t>m</w:t>
                  </w:r>
                  <w:r>
                    <w:rPr>
                      <w:rFonts w:hint="eastAsia" w:ascii="宋体" w:hAnsi="宋体" w:cs="宋体"/>
                      <w:b/>
                      <w:color w:val="auto"/>
                      <w:sz w:val="21"/>
                      <w:szCs w:val="21"/>
                      <w:lang w:bidi="ar"/>
                    </w:rPr>
                    <w:t>）</w:t>
                  </w:r>
                </w:p>
              </w:tc>
              <w:tc>
                <w:tcPr>
                  <w:tcW w:w="838" w:type="pct"/>
                  <w:gridSpan w:val="4"/>
                  <w:vMerge w:val="restart"/>
                  <w:noWrap w:val="0"/>
                  <w:vAlign w:val="center"/>
                </w:tcPr>
                <w:p w14:paraId="281CC24D">
                  <w:pPr>
                    <w:keepNext w:val="0"/>
                    <w:keepLines w:val="0"/>
                    <w:suppressLineNumbers w:val="0"/>
                    <w:adjustRightInd w:val="0"/>
                    <w:snapToGrid w:val="0"/>
                    <w:spacing w:before="0" w:beforeAutospacing="0" w:after="0" w:afterAutospacing="0"/>
                    <w:ind w:left="0" w:right="0"/>
                    <w:jc w:val="center"/>
                    <w:rPr>
                      <w:b/>
                      <w:color w:val="auto"/>
                      <w:sz w:val="21"/>
                      <w:szCs w:val="21"/>
                    </w:rPr>
                  </w:pPr>
                  <w:r>
                    <w:rPr>
                      <w:rFonts w:hint="eastAsia" w:ascii="宋体" w:hAnsi="宋体" w:cs="宋体"/>
                      <w:b/>
                      <w:color w:val="auto"/>
                      <w:sz w:val="21"/>
                      <w:szCs w:val="21"/>
                      <w:lang w:bidi="ar"/>
                    </w:rPr>
                    <w:t>距室内边界距离</w:t>
                  </w:r>
                  <w:r>
                    <w:rPr>
                      <w:b/>
                      <w:color w:val="auto"/>
                      <w:sz w:val="21"/>
                      <w:szCs w:val="21"/>
                      <w:lang w:bidi="ar"/>
                    </w:rPr>
                    <w:t>/m</w:t>
                  </w:r>
                </w:p>
              </w:tc>
              <w:tc>
                <w:tcPr>
                  <w:tcW w:w="711" w:type="pct"/>
                  <w:gridSpan w:val="4"/>
                  <w:vMerge w:val="restart"/>
                  <w:noWrap w:val="0"/>
                  <w:vAlign w:val="center"/>
                </w:tcPr>
                <w:p w14:paraId="537780FC">
                  <w:pPr>
                    <w:keepNext w:val="0"/>
                    <w:keepLines w:val="0"/>
                    <w:suppressLineNumbers w:val="0"/>
                    <w:adjustRightInd w:val="0"/>
                    <w:snapToGrid w:val="0"/>
                    <w:spacing w:before="0" w:beforeAutospacing="0" w:after="0" w:afterAutospacing="0"/>
                    <w:ind w:left="0" w:right="0"/>
                    <w:jc w:val="center"/>
                    <w:rPr>
                      <w:b/>
                      <w:color w:val="auto"/>
                      <w:sz w:val="21"/>
                      <w:szCs w:val="21"/>
                    </w:rPr>
                  </w:pPr>
                  <w:r>
                    <w:rPr>
                      <w:rFonts w:hint="eastAsia" w:ascii="宋体" w:hAnsi="宋体" w:cs="宋体"/>
                      <w:b/>
                      <w:color w:val="auto"/>
                      <w:sz w:val="21"/>
                      <w:szCs w:val="21"/>
                      <w:lang w:bidi="ar"/>
                    </w:rPr>
                    <w:t>距室内边界声级</w:t>
                  </w:r>
                  <w:r>
                    <w:rPr>
                      <w:b/>
                      <w:color w:val="auto"/>
                      <w:sz w:val="21"/>
                      <w:szCs w:val="21"/>
                      <w:lang w:bidi="ar"/>
                    </w:rPr>
                    <w:t>dB</w:t>
                  </w:r>
                  <w:r>
                    <w:rPr>
                      <w:rFonts w:hint="eastAsia" w:ascii="宋体" w:hAnsi="宋体" w:cs="宋体"/>
                      <w:b/>
                      <w:color w:val="auto"/>
                      <w:sz w:val="21"/>
                      <w:szCs w:val="21"/>
                      <w:lang w:bidi="ar"/>
                    </w:rPr>
                    <w:t>（</w:t>
                  </w:r>
                  <w:r>
                    <w:rPr>
                      <w:b/>
                      <w:color w:val="auto"/>
                      <w:sz w:val="21"/>
                      <w:szCs w:val="21"/>
                      <w:lang w:bidi="ar"/>
                    </w:rPr>
                    <w:t>A</w:t>
                  </w:r>
                  <w:r>
                    <w:rPr>
                      <w:rFonts w:hint="eastAsia" w:ascii="宋体" w:hAnsi="宋体" w:cs="宋体"/>
                      <w:b/>
                      <w:color w:val="auto"/>
                      <w:sz w:val="21"/>
                      <w:szCs w:val="21"/>
                      <w:lang w:bidi="ar"/>
                    </w:rPr>
                    <w:t>）</w:t>
                  </w:r>
                </w:p>
              </w:tc>
              <w:tc>
                <w:tcPr>
                  <w:tcW w:w="237" w:type="pct"/>
                  <w:vMerge w:val="restart"/>
                  <w:noWrap w:val="0"/>
                  <w:vAlign w:val="center"/>
                </w:tcPr>
                <w:p w14:paraId="7A051032">
                  <w:pPr>
                    <w:keepNext w:val="0"/>
                    <w:keepLines w:val="0"/>
                    <w:suppressLineNumbers w:val="0"/>
                    <w:adjustRightInd w:val="0"/>
                    <w:snapToGrid w:val="0"/>
                    <w:spacing w:before="0" w:beforeAutospacing="0" w:after="0" w:afterAutospacing="0"/>
                    <w:ind w:left="0" w:right="0"/>
                    <w:jc w:val="center"/>
                    <w:rPr>
                      <w:b/>
                      <w:color w:val="auto"/>
                      <w:sz w:val="21"/>
                      <w:szCs w:val="21"/>
                    </w:rPr>
                  </w:pPr>
                  <w:r>
                    <w:rPr>
                      <w:rFonts w:hint="eastAsia" w:ascii="宋体" w:hAnsi="宋体" w:cs="宋体"/>
                      <w:b/>
                      <w:color w:val="auto"/>
                      <w:sz w:val="21"/>
                      <w:szCs w:val="21"/>
                      <w:lang w:bidi="ar"/>
                    </w:rPr>
                    <w:t>运行时段</w:t>
                  </w:r>
                </w:p>
              </w:tc>
              <w:tc>
                <w:tcPr>
                  <w:tcW w:w="297" w:type="pct"/>
                  <w:vMerge w:val="restart"/>
                  <w:noWrap w:val="0"/>
                  <w:vAlign w:val="center"/>
                </w:tcPr>
                <w:p w14:paraId="4B5802B9">
                  <w:pPr>
                    <w:keepNext w:val="0"/>
                    <w:keepLines w:val="0"/>
                    <w:suppressLineNumbers w:val="0"/>
                    <w:adjustRightInd w:val="0"/>
                    <w:snapToGrid w:val="0"/>
                    <w:spacing w:before="0" w:beforeAutospacing="0" w:after="0" w:afterAutospacing="0"/>
                    <w:ind w:left="0" w:right="0"/>
                    <w:jc w:val="center"/>
                    <w:rPr>
                      <w:b/>
                      <w:color w:val="auto"/>
                      <w:sz w:val="21"/>
                      <w:szCs w:val="21"/>
                    </w:rPr>
                  </w:pPr>
                  <w:r>
                    <w:rPr>
                      <w:rFonts w:hint="eastAsia" w:ascii="宋体" w:hAnsi="宋体" w:cs="宋体"/>
                      <w:b/>
                      <w:color w:val="auto"/>
                      <w:sz w:val="21"/>
                      <w:szCs w:val="21"/>
                      <w:lang w:bidi="ar"/>
                    </w:rPr>
                    <w:t>建筑物插入损失</w:t>
                  </w:r>
                  <w:r>
                    <w:rPr>
                      <w:b/>
                      <w:color w:val="auto"/>
                      <w:sz w:val="21"/>
                      <w:szCs w:val="21"/>
                      <w:lang w:bidi="ar"/>
                    </w:rPr>
                    <w:t>dB</w:t>
                  </w:r>
                  <w:r>
                    <w:rPr>
                      <w:rFonts w:hint="eastAsia" w:ascii="宋体" w:hAnsi="宋体" w:cs="宋体"/>
                      <w:b/>
                      <w:color w:val="auto"/>
                      <w:sz w:val="21"/>
                      <w:szCs w:val="21"/>
                      <w:lang w:bidi="ar"/>
                    </w:rPr>
                    <w:t>（</w:t>
                  </w:r>
                  <w:r>
                    <w:rPr>
                      <w:b/>
                      <w:color w:val="auto"/>
                      <w:sz w:val="21"/>
                      <w:szCs w:val="21"/>
                      <w:lang w:bidi="ar"/>
                    </w:rPr>
                    <w:t>A</w:t>
                  </w:r>
                  <w:r>
                    <w:rPr>
                      <w:rFonts w:hint="eastAsia" w:ascii="宋体" w:hAnsi="宋体" w:cs="宋体"/>
                      <w:b/>
                      <w:color w:val="auto"/>
                      <w:sz w:val="21"/>
                      <w:szCs w:val="21"/>
                      <w:lang w:bidi="ar"/>
                    </w:rPr>
                    <w:t>）</w:t>
                  </w:r>
                </w:p>
              </w:tc>
              <w:tc>
                <w:tcPr>
                  <w:tcW w:w="976" w:type="pct"/>
                  <w:gridSpan w:val="5"/>
                  <w:noWrap w:val="0"/>
                  <w:vAlign w:val="center"/>
                </w:tcPr>
                <w:p w14:paraId="04C4C553">
                  <w:pPr>
                    <w:keepNext w:val="0"/>
                    <w:keepLines w:val="0"/>
                    <w:suppressLineNumbers w:val="0"/>
                    <w:adjustRightInd w:val="0"/>
                    <w:snapToGrid w:val="0"/>
                    <w:spacing w:before="0" w:beforeAutospacing="0" w:after="0" w:afterAutospacing="0"/>
                    <w:ind w:left="0" w:right="0"/>
                    <w:jc w:val="center"/>
                    <w:rPr>
                      <w:b/>
                      <w:color w:val="auto"/>
                      <w:sz w:val="21"/>
                      <w:szCs w:val="21"/>
                    </w:rPr>
                  </w:pPr>
                  <w:r>
                    <w:rPr>
                      <w:rFonts w:hint="eastAsia" w:ascii="宋体" w:hAnsi="宋体" w:cs="宋体"/>
                      <w:b/>
                      <w:color w:val="auto"/>
                      <w:sz w:val="21"/>
                      <w:szCs w:val="21"/>
                      <w:lang w:bidi="ar"/>
                    </w:rPr>
                    <w:t>建筑物外声级</w:t>
                  </w:r>
                </w:p>
              </w:tc>
            </w:tr>
            <w:tr w14:paraId="4D46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 w:type="pct"/>
                  <w:vMerge w:val="continue"/>
                  <w:noWrap w:val="0"/>
                  <w:vAlign w:val="center"/>
                </w:tcPr>
                <w:p w14:paraId="1CC878F5">
                  <w:pPr>
                    <w:keepNext w:val="0"/>
                    <w:keepLines w:val="0"/>
                    <w:suppressLineNumbers w:val="0"/>
                    <w:spacing w:before="0" w:beforeAutospacing="0" w:after="0" w:afterAutospacing="0"/>
                    <w:ind w:left="0" w:right="0"/>
                    <w:jc w:val="center"/>
                    <w:rPr>
                      <w:b/>
                      <w:color w:val="auto"/>
                      <w:sz w:val="21"/>
                      <w:szCs w:val="21"/>
                    </w:rPr>
                  </w:pPr>
                </w:p>
              </w:tc>
              <w:tc>
                <w:tcPr>
                  <w:tcW w:w="138" w:type="pct"/>
                  <w:vMerge w:val="continue"/>
                  <w:noWrap w:val="0"/>
                  <w:vAlign w:val="center"/>
                </w:tcPr>
                <w:p w14:paraId="3BEB961D">
                  <w:pPr>
                    <w:keepNext w:val="0"/>
                    <w:keepLines w:val="0"/>
                    <w:suppressLineNumbers w:val="0"/>
                    <w:spacing w:before="0" w:beforeAutospacing="0" w:after="0" w:afterAutospacing="0"/>
                    <w:ind w:left="0" w:right="0"/>
                    <w:jc w:val="center"/>
                    <w:rPr>
                      <w:b/>
                      <w:color w:val="auto"/>
                      <w:sz w:val="21"/>
                      <w:szCs w:val="21"/>
                    </w:rPr>
                  </w:pPr>
                </w:p>
              </w:tc>
              <w:tc>
                <w:tcPr>
                  <w:tcW w:w="361" w:type="pct"/>
                  <w:vMerge w:val="continue"/>
                  <w:noWrap w:val="0"/>
                  <w:vAlign w:val="center"/>
                </w:tcPr>
                <w:p w14:paraId="1A826511">
                  <w:pPr>
                    <w:keepNext w:val="0"/>
                    <w:keepLines w:val="0"/>
                    <w:suppressLineNumbers w:val="0"/>
                    <w:spacing w:before="0" w:beforeAutospacing="0" w:after="0" w:afterAutospacing="0"/>
                    <w:ind w:left="0" w:right="0"/>
                    <w:jc w:val="center"/>
                    <w:rPr>
                      <w:b/>
                      <w:color w:val="auto"/>
                      <w:sz w:val="21"/>
                      <w:szCs w:val="21"/>
                    </w:rPr>
                  </w:pPr>
                </w:p>
              </w:tc>
              <w:tc>
                <w:tcPr>
                  <w:tcW w:w="271" w:type="pct"/>
                  <w:vMerge w:val="continue"/>
                  <w:noWrap w:val="0"/>
                  <w:vAlign w:val="center"/>
                </w:tcPr>
                <w:p w14:paraId="4D483C4D">
                  <w:pPr>
                    <w:keepNext w:val="0"/>
                    <w:keepLines w:val="0"/>
                    <w:suppressLineNumbers w:val="0"/>
                    <w:spacing w:before="0" w:beforeAutospacing="0" w:after="0" w:afterAutospacing="0"/>
                    <w:ind w:left="0" w:right="0"/>
                    <w:jc w:val="center"/>
                    <w:rPr>
                      <w:b/>
                      <w:color w:val="auto"/>
                      <w:sz w:val="21"/>
                      <w:szCs w:val="21"/>
                    </w:rPr>
                  </w:pPr>
                </w:p>
              </w:tc>
              <w:tc>
                <w:tcPr>
                  <w:tcW w:w="277" w:type="pct"/>
                  <w:vMerge w:val="continue"/>
                  <w:noWrap w:val="0"/>
                  <w:vAlign w:val="center"/>
                </w:tcPr>
                <w:p w14:paraId="5B3B962B">
                  <w:pPr>
                    <w:keepNext w:val="0"/>
                    <w:keepLines w:val="0"/>
                    <w:suppressLineNumbers w:val="0"/>
                    <w:spacing w:before="0" w:beforeAutospacing="0" w:after="0" w:afterAutospacing="0"/>
                    <w:ind w:left="0" w:right="0"/>
                    <w:jc w:val="center"/>
                    <w:rPr>
                      <w:b/>
                      <w:color w:val="auto"/>
                      <w:sz w:val="21"/>
                      <w:szCs w:val="21"/>
                    </w:rPr>
                  </w:pPr>
                </w:p>
              </w:tc>
              <w:tc>
                <w:tcPr>
                  <w:tcW w:w="715" w:type="pct"/>
                  <w:gridSpan w:val="3"/>
                  <w:vMerge w:val="continue"/>
                  <w:noWrap w:val="0"/>
                  <w:vAlign w:val="center"/>
                </w:tcPr>
                <w:p w14:paraId="2549F46F">
                  <w:pPr>
                    <w:keepNext w:val="0"/>
                    <w:keepLines w:val="0"/>
                    <w:suppressLineNumbers w:val="0"/>
                    <w:spacing w:before="0" w:beforeAutospacing="0" w:after="0" w:afterAutospacing="0"/>
                    <w:ind w:left="0" w:right="0"/>
                    <w:jc w:val="center"/>
                    <w:rPr>
                      <w:b/>
                      <w:color w:val="auto"/>
                      <w:sz w:val="21"/>
                      <w:szCs w:val="21"/>
                    </w:rPr>
                  </w:pPr>
                </w:p>
              </w:tc>
              <w:tc>
                <w:tcPr>
                  <w:tcW w:w="838" w:type="pct"/>
                  <w:gridSpan w:val="4"/>
                  <w:vMerge w:val="continue"/>
                  <w:noWrap w:val="0"/>
                  <w:vAlign w:val="center"/>
                </w:tcPr>
                <w:p w14:paraId="543FDF4C">
                  <w:pPr>
                    <w:keepNext w:val="0"/>
                    <w:keepLines w:val="0"/>
                    <w:suppressLineNumbers w:val="0"/>
                    <w:spacing w:before="0" w:beforeAutospacing="0" w:after="0" w:afterAutospacing="0"/>
                    <w:ind w:left="0" w:right="0"/>
                    <w:jc w:val="center"/>
                    <w:rPr>
                      <w:b/>
                      <w:color w:val="auto"/>
                      <w:sz w:val="21"/>
                      <w:szCs w:val="21"/>
                    </w:rPr>
                  </w:pPr>
                </w:p>
              </w:tc>
              <w:tc>
                <w:tcPr>
                  <w:tcW w:w="711" w:type="pct"/>
                  <w:gridSpan w:val="4"/>
                  <w:vMerge w:val="continue"/>
                  <w:noWrap w:val="0"/>
                  <w:vAlign w:val="center"/>
                </w:tcPr>
                <w:p w14:paraId="22474A87">
                  <w:pPr>
                    <w:keepNext w:val="0"/>
                    <w:keepLines w:val="0"/>
                    <w:suppressLineNumbers w:val="0"/>
                    <w:spacing w:before="0" w:beforeAutospacing="0" w:after="0" w:afterAutospacing="0"/>
                    <w:ind w:left="0" w:right="0"/>
                    <w:jc w:val="center"/>
                    <w:rPr>
                      <w:b/>
                      <w:color w:val="auto"/>
                      <w:sz w:val="21"/>
                      <w:szCs w:val="21"/>
                    </w:rPr>
                  </w:pPr>
                </w:p>
              </w:tc>
              <w:tc>
                <w:tcPr>
                  <w:tcW w:w="237" w:type="pct"/>
                  <w:vMerge w:val="continue"/>
                  <w:noWrap w:val="0"/>
                  <w:vAlign w:val="center"/>
                </w:tcPr>
                <w:p w14:paraId="1CC1BAC9">
                  <w:pPr>
                    <w:keepNext w:val="0"/>
                    <w:keepLines w:val="0"/>
                    <w:suppressLineNumbers w:val="0"/>
                    <w:spacing w:before="0" w:beforeAutospacing="0" w:after="0" w:afterAutospacing="0"/>
                    <w:ind w:left="0" w:right="0"/>
                    <w:jc w:val="center"/>
                    <w:rPr>
                      <w:b/>
                      <w:color w:val="auto"/>
                      <w:sz w:val="21"/>
                      <w:szCs w:val="21"/>
                    </w:rPr>
                  </w:pPr>
                </w:p>
              </w:tc>
              <w:tc>
                <w:tcPr>
                  <w:tcW w:w="297" w:type="pct"/>
                  <w:vMerge w:val="continue"/>
                  <w:noWrap w:val="0"/>
                  <w:vAlign w:val="center"/>
                </w:tcPr>
                <w:p w14:paraId="6E8B4078">
                  <w:pPr>
                    <w:keepNext w:val="0"/>
                    <w:keepLines w:val="0"/>
                    <w:suppressLineNumbers w:val="0"/>
                    <w:spacing w:before="0" w:beforeAutospacing="0" w:after="0" w:afterAutospacing="0"/>
                    <w:ind w:left="0" w:right="0"/>
                    <w:jc w:val="center"/>
                    <w:rPr>
                      <w:b/>
                      <w:color w:val="auto"/>
                      <w:sz w:val="21"/>
                      <w:szCs w:val="21"/>
                    </w:rPr>
                  </w:pPr>
                </w:p>
              </w:tc>
              <w:tc>
                <w:tcPr>
                  <w:tcW w:w="751" w:type="pct"/>
                  <w:gridSpan w:val="4"/>
                  <w:noWrap w:val="0"/>
                  <w:vAlign w:val="center"/>
                </w:tcPr>
                <w:p w14:paraId="42C07BF7">
                  <w:pPr>
                    <w:keepNext w:val="0"/>
                    <w:keepLines w:val="0"/>
                    <w:suppressLineNumbers w:val="0"/>
                    <w:adjustRightInd w:val="0"/>
                    <w:snapToGrid w:val="0"/>
                    <w:spacing w:before="0" w:beforeAutospacing="0" w:after="0" w:afterAutospacing="0"/>
                    <w:ind w:left="0" w:right="0"/>
                    <w:jc w:val="center"/>
                    <w:rPr>
                      <w:b/>
                      <w:color w:val="auto"/>
                      <w:sz w:val="21"/>
                      <w:szCs w:val="21"/>
                    </w:rPr>
                  </w:pPr>
                  <w:r>
                    <w:rPr>
                      <w:rFonts w:hint="eastAsia" w:ascii="宋体" w:hAnsi="宋体" w:cs="宋体"/>
                      <w:b/>
                      <w:color w:val="auto"/>
                      <w:sz w:val="21"/>
                      <w:szCs w:val="21"/>
                      <w:lang w:bidi="ar"/>
                    </w:rPr>
                    <w:t>声压级</w:t>
                  </w:r>
                  <w:r>
                    <w:rPr>
                      <w:b/>
                      <w:color w:val="auto"/>
                      <w:sz w:val="21"/>
                      <w:szCs w:val="21"/>
                      <w:lang w:bidi="ar"/>
                    </w:rPr>
                    <w:t>dB</w:t>
                  </w:r>
                  <w:r>
                    <w:rPr>
                      <w:rFonts w:hint="eastAsia" w:ascii="宋体" w:hAnsi="宋体" w:cs="宋体"/>
                      <w:b/>
                      <w:color w:val="auto"/>
                      <w:sz w:val="21"/>
                      <w:szCs w:val="21"/>
                      <w:lang w:bidi="ar"/>
                    </w:rPr>
                    <w:t>（</w:t>
                  </w:r>
                  <w:r>
                    <w:rPr>
                      <w:b/>
                      <w:color w:val="auto"/>
                      <w:sz w:val="21"/>
                      <w:szCs w:val="21"/>
                      <w:lang w:bidi="ar"/>
                    </w:rPr>
                    <w:t>A</w:t>
                  </w:r>
                  <w:r>
                    <w:rPr>
                      <w:rFonts w:hint="eastAsia" w:ascii="宋体" w:hAnsi="宋体" w:cs="宋体"/>
                      <w:b/>
                      <w:color w:val="auto"/>
                      <w:sz w:val="21"/>
                      <w:szCs w:val="21"/>
                      <w:lang w:bidi="ar"/>
                    </w:rPr>
                    <w:t>）</w:t>
                  </w:r>
                </w:p>
              </w:tc>
              <w:tc>
                <w:tcPr>
                  <w:tcW w:w="224" w:type="pct"/>
                  <w:vMerge w:val="restart"/>
                  <w:noWrap w:val="0"/>
                  <w:vAlign w:val="center"/>
                </w:tcPr>
                <w:p w14:paraId="0E5A907F">
                  <w:pPr>
                    <w:keepNext w:val="0"/>
                    <w:keepLines w:val="0"/>
                    <w:suppressLineNumbers w:val="0"/>
                    <w:adjustRightInd w:val="0"/>
                    <w:snapToGrid w:val="0"/>
                    <w:spacing w:before="0" w:beforeAutospacing="0" w:after="0" w:afterAutospacing="0"/>
                    <w:ind w:left="0" w:right="0"/>
                    <w:jc w:val="center"/>
                    <w:rPr>
                      <w:b/>
                      <w:color w:val="auto"/>
                      <w:sz w:val="21"/>
                      <w:szCs w:val="21"/>
                    </w:rPr>
                  </w:pPr>
                  <w:r>
                    <w:rPr>
                      <w:rFonts w:hint="eastAsia" w:ascii="宋体" w:hAnsi="宋体" w:cs="宋体"/>
                      <w:b/>
                      <w:color w:val="auto"/>
                      <w:sz w:val="21"/>
                      <w:szCs w:val="21"/>
                      <w:lang w:bidi="ar"/>
                    </w:rPr>
                    <w:t>建筑物外距离</w:t>
                  </w:r>
                </w:p>
              </w:tc>
            </w:tr>
            <w:tr w14:paraId="1A33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 w:type="pct"/>
                  <w:vMerge w:val="continue"/>
                  <w:noWrap w:val="0"/>
                  <w:vAlign w:val="center"/>
                </w:tcPr>
                <w:p w14:paraId="0A0E6B96">
                  <w:pPr>
                    <w:keepNext w:val="0"/>
                    <w:keepLines w:val="0"/>
                    <w:suppressLineNumbers w:val="0"/>
                    <w:spacing w:before="0" w:beforeAutospacing="0" w:after="0" w:afterAutospacing="0"/>
                    <w:ind w:left="0" w:right="0"/>
                    <w:jc w:val="center"/>
                    <w:rPr>
                      <w:b/>
                      <w:color w:val="auto"/>
                      <w:sz w:val="21"/>
                      <w:szCs w:val="21"/>
                    </w:rPr>
                  </w:pPr>
                </w:p>
              </w:tc>
              <w:tc>
                <w:tcPr>
                  <w:tcW w:w="138" w:type="pct"/>
                  <w:vMerge w:val="continue"/>
                  <w:noWrap w:val="0"/>
                  <w:vAlign w:val="center"/>
                </w:tcPr>
                <w:p w14:paraId="279722DB">
                  <w:pPr>
                    <w:keepNext w:val="0"/>
                    <w:keepLines w:val="0"/>
                    <w:suppressLineNumbers w:val="0"/>
                    <w:spacing w:before="0" w:beforeAutospacing="0" w:after="0" w:afterAutospacing="0"/>
                    <w:ind w:left="0" w:right="0"/>
                    <w:jc w:val="center"/>
                    <w:rPr>
                      <w:b/>
                      <w:color w:val="auto"/>
                      <w:sz w:val="21"/>
                      <w:szCs w:val="21"/>
                    </w:rPr>
                  </w:pPr>
                </w:p>
              </w:tc>
              <w:tc>
                <w:tcPr>
                  <w:tcW w:w="361" w:type="pct"/>
                  <w:vMerge w:val="continue"/>
                  <w:noWrap w:val="0"/>
                  <w:vAlign w:val="center"/>
                </w:tcPr>
                <w:p w14:paraId="1FCBC499">
                  <w:pPr>
                    <w:keepNext w:val="0"/>
                    <w:keepLines w:val="0"/>
                    <w:suppressLineNumbers w:val="0"/>
                    <w:spacing w:before="0" w:beforeAutospacing="0" w:after="0" w:afterAutospacing="0"/>
                    <w:ind w:left="0" w:right="0"/>
                    <w:jc w:val="center"/>
                    <w:rPr>
                      <w:b/>
                      <w:color w:val="auto"/>
                      <w:sz w:val="21"/>
                      <w:szCs w:val="21"/>
                    </w:rPr>
                  </w:pPr>
                </w:p>
              </w:tc>
              <w:tc>
                <w:tcPr>
                  <w:tcW w:w="271" w:type="pct"/>
                  <w:vMerge w:val="continue"/>
                  <w:noWrap w:val="0"/>
                  <w:vAlign w:val="center"/>
                </w:tcPr>
                <w:p w14:paraId="1EF3674F">
                  <w:pPr>
                    <w:keepNext w:val="0"/>
                    <w:keepLines w:val="0"/>
                    <w:suppressLineNumbers w:val="0"/>
                    <w:spacing w:before="0" w:beforeAutospacing="0" w:after="0" w:afterAutospacing="0"/>
                    <w:ind w:left="0" w:right="0"/>
                    <w:jc w:val="center"/>
                    <w:rPr>
                      <w:b/>
                      <w:color w:val="auto"/>
                      <w:sz w:val="21"/>
                      <w:szCs w:val="21"/>
                    </w:rPr>
                  </w:pPr>
                </w:p>
              </w:tc>
              <w:tc>
                <w:tcPr>
                  <w:tcW w:w="277" w:type="pct"/>
                  <w:vMerge w:val="continue"/>
                  <w:noWrap w:val="0"/>
                  <w:vAlign w:val="center"/>
                </w:tcPr>
                <w:p w14:paraId="6EA89251">
                  <w:pPr>
                    <w:keepNext w:val="0"/>
                    <w:keepLines w:val="0"/>
                    <w:suppressLineNumbers w:val="0"/>
                    <w:spacing w:before="0" w:beforeAutospacing="0" w:after="0" w:afterAutospacing="0"/>
                    <w:ind w:left="0" w:right="0"/>
                    <w:jc w:val="center"/>
                    <w:rPr>
                      <w:b/>
                      <w:color w:val="auto"/>
                      <w:sz w:val="21"/>
                      <w:szCs w:val="21"/>
                    </w:rPr>
                  </w:pPr>
                </w:p>
              </w:tc>
              <w:tc>
                <w:tcPr>
                  <w:tcW w:w="258" w:type="pct"/>
                  <w:noWrap w:val="0"/>
                  <w:vAlign w:val="center"/>
                </w:tcPr>
                <w:p w14:paraId="31A7E7F8">
                  <w:pPr>
                    <w:keepNext w:val="0"/>
                    <w:keepLines w:val="0"/>
                    <w:suppressLineNumbers w:val="0"/>
                    <w:adjustRightInd w:val="0"/>
                    <w:snapToGrid w:val="0"/>
                    <w:spacing w:before="0" w:beforeAutospacing="0" w:after="0" w:afterAutospacing="0"/>
                    <w:ind w:left="0" w:right="0"/>
                    <w:jc w:val="center"/>
                    <w:rPr>
                      <w:b/>
                      <w:color w:val="auto"/>
                      <w:sz w:val="21"/>
                      <w:szCs w:val="21"/>
                    </w:rPr>
                  </w:pPr>
                  <w:r>
                    <w:rPr>
                      <w:b/>
                      <w:color w:val="auto"/>
                      <w:sz w:val="21"/>
                      <w:szCs w:val="21"/>
                      <w:lang w:bidi="ar"/>
                    </w:rPr>
                    <w:t>X</w:t>
                  </w:r>
                </w:p>
              </w:tc>
              <w:tc>
                <w:tcPr>
                  <w:tcW w:w="258" w:type="pct"/>
                  <w:noWrap w:val="0"/>
                  <w:vAlign w:val="center"/>
                </w:tcPr>
                <w:p w14:paraId="4D56B1C9">
                  <w:pPr>
                    <w:keepNext w:val="0"/>
                    <w:keepLines w:val="0"/>
                    <w:suppressLineNumbers w:val="0"/>
                    <w:adjustRightInd w:val="0"/>
                    <w:snapToGrid w:val="0"/>
                    <w:spacing w:before="0" w:beforeAutospacing="0" w:after="0" w:afterAutospacing="0"/>
                    <w:ind w:left="0" w:right="0"/>
                    <w:jc w:val="center"/>
                    <w:rPr>
                      <w:b/>
                      <w:color w:val="auto"/>
                      <w:sz w:val="21"/>
                      <w:szCs w:val="21"/>
                    </w:rPr>
                  </w:pPr>
                  <w:r>
                    <w:rPr>
                      <w:b/>
                      <w:color w:val="auto"/>
                      <w:sz w:val="21"/>
                      <w:szCs w:val="21"/>
                      <w:lang w:bidi="ar"/>
                    </w:rPr>
                    <w:t>Y</w:t>
                  </w:r>
                </w:p>
              </w:tc>
              <w:tc>
                <w:tcPr>
                  <w:tcW w:w="199" w:type="pct"/>
                  <w:noWrap w:val="0"/>
                  <w:vAlign w:val="center"/>
                </w:tcPr>
                <w:p w14:paraId="738E5C1B">
                  <w:pPr>
                    <w:keepNext w:val="0"/>
                    <w:keepLines w:val="0"/>
                    <w:suppressLineNumbers w:val="0"/>
                    <w:adjustRightInd w:val="0"/>
                    <w:snapToGrid w:val="0"/>
                    <w:spacing w:before="0" w:beforeAutospacing="0" w:after="0" w:afterAutospacing="0"/>
                    <w:ind w:left="0" w:right="0"/>
                    <w:jc w:val="center"/>
                    <w:rPr>
                      <w:b/>
                      <w:color w:val="auto"/>
                      <w:sz w:val="21"/>
                      <w:szCs w:val="21"/>
                    </w:rPr>
                  </w:pPr>
                  <w:r>
                    <w:rPr>
                      <w:b/>
                      <w:color w:val="auto"/>
                      <w:sz w:val="21"/>
                      <w:szCs w:val="21"/>
                      <w:lang w:bidi="ar"/>
                    </w:rPr>
                    <w:t>Z</w:t>
                  </w:r>
                </w:p>
              </w:tc>
              <w:tc>
                <w:tcPr>
                  <w:tcW w:w="208" w:type="pct"/>
                  <w:noWrap w:val="0"/>
                  <w:vAlign w:val="center"/>
                </w:tcPr>
                <w:p w14:paraId="69A1047A">
                  <w:pPr>
                    <w:keepNext w:val="0"/>
                    <w:keepLines w:val="0"/>
                    <w:suppressLineNumbers w:val="0"/>
                    <w:adjustRightInd w:val="0"/>
                    <w:snapToGrid w:val="0"/>
                    <w:spacing w:before="0" w:beforeAutospacing="0" w:after="0" w:afterAutospacing="0"/>
                    <w:ind w:left="0" w:right="0"/>
                    <w:jc w:val="center"/>
                    <w:rPr>
                      <w:b/>
                      <w:color w:val="auto"/>
                      <w:sz w:val="21"/>
                      <w:szCs w:val="21"/>
                    </w:rPr>
                  </w:pPr>
                  <w:r>
                    <w:rPr>
                      <w:b/>
                      <w:color w:val="auto"/>
                      <w:sz w:val="21"/>
                      <w:szCs w:val="21"/>
                      <w:lang w:bidi="ar"/>
                    </w:rPr>
                    <w:t>E</w:t>
                  </w:r>
                </w:p>
              </w:tc>
              <w:tc>
                <w:tcPr>
                  <w:tcW w:w="208" w:type="pct"/>
                  <w:noWrap w:val="0"/>
                  <w:vAlign w:val="center"/>
                </w:tcPr>
                <w:p w14:paraId="4E3C6F83">
                  <w:pPr>
                    <w:keepNext w:val="0"/>
                    <w:keepLines w:val="0"/>
                    <w:suppressLineNumbers w:val="0"/>
                    <w:adjustRightInd w:val="0"/>
                    <w:snapToGrid w:val="0"/>
                    <w:spacing w:before="0" w:beforeAutospacing="0" w:after="0" w:afterAutospacing="0"/>
                    <w:ind w:left="0" w:right="0"/>
                    <w:jc w:val="center"/>
                    <w:rPr>
                      <w:b/>
                      <w:color w:val="auto"/>
                      <w:sz w:val="21"/>
                      <w:szCs w:val="21"/>
                    </w:rPr>
                  </w:pPr>
                  <w:r>
                    <w:rPr>
                      <w:b/>
                      <w:color w:val="auto"/>
                      <w:sz w:val="21"/>
                      <w:szCs w:val="21"/>
                      <w:lang w:bidi="ar"/>
                    </w:rPr>
                    <w:t>W</w:t>
                  </w:r>
                </w:p>
              </w:tc>
              <w:tc>
                <w:tcPr>
                  <w:tcW w:w="208" w:type="pct"/>
                  <w:noWrap w:val="0"/>
                  <w:vAlign w:val="center"/>
                </w:tcPr>
                <w:p w14:paraId="7A5D51D2">
                  <w:pPr>
                    <w:keepNext w:val="0"/>
                    <w:keepLines w:val="0"/>
                    <w:suppressLineNumbers w:val="0"/>
                    <w:adjustRightInd w:val="0"/>
                    <w:snapToGrid w:val="0"/>
                    <w:spacing w:before="0" w:beforeAutospacing="0" w:after="0" w:afterAutospacing="0"/>
                    <w:ind w:left="0" w:right="0"/>
                    <w:jc w:val="center"/>
                    <w:rPr>
                      <w:b/>
                      <w:color w:val="auto"/>
                      <w:sz w:val="21"/>
                      <w:szCs w:val="21"/>
                    </w:rPr>
                  </w:pPr>
                  <w:r>
                    <w:rPr>
                      <w:b/>
                      <w:color w:val="auto"/>
                      <w:sz w:val="21"/>
                      <w:szCs w:val="21"/>
                      <w:lang w:bidi="ar"/>
                    </w:rPr>
                    <w:t>S</w:t>
                  </w:r>
                </w:p>
              </w:tc>
              <w:tc>
                <w:tcPr>
                  <w:tcW w:w="214" w:type="pct"/>
                  <w:noWrap w:val="0"/>
                  <w:vAlign w:val="center"/>
                </w:tcPr>
                <w:p w14:paraId="36BFCD36">
                  <w:pPr>
                    <w:keepNext w:val="0"/>
                    <w:keepLines w:val="0"/>
                    <w:suppressLineNumbers w:val="0"/>
                    <w:adjustRightInd w:val="0"/>
                    <w:snapToGrid w:val="0"/>
                    <w:spacing w:before="0" w:beforeAutospacing="0" w:after="0" w:afterAutospacing="0"/>
                    <w:ind w:left="0" w:right="0"/>
                    <w:jc w:val="center"/>
                    <w:rPr>
                      <w:b/>
                      <w:color w:val="auto"/>
                      <w:sz w:val="21"/>
                      <w:szCs w:val="21"/>
                    </w:rPr>
                  </w:pPr>
                  <w:r>
                    <w:rPr>
                      <w:b/>
                      <w:color w:val="auto"/>
                      <w:sz w:val="21"/>
                      <w:szCs w:val="21"/>
                      <w:lang w:bidi="ar"/>
                    </w:rPr>
                    <w:t>N</w:t>
                  </w:r>
                </w:p>
              </w:tc>
              <w:tc>
                <w:tcPr>
                  <w:tcW w:w="171" w:type="pct"/>
                  <w:noWrap w:val="0"/>
                  <w:vAlign w:val="center"/>
                </w:tcPr>
                <w:p w14:paraId="6AB15FDE">
                  <w:pPr>
                    <w:keepNext w:val="0"/>
                    <w:keepLines w:val="0"/>
                    <w:suppressLineNumbers w:val="0"/>
                    <w:adjustRightInd w:val="0"/>
                    <w:snapToGrid w:val="0"/>
                    <w:spacing w:before="0" w:beforeAutospacing="0" w:after="0" w:afterAutospacing="0"/>
                    <w:ind w:left="0" w:right="0"/>
                    <w:jc w:val="center"/>
                    <w:rPr>
                      <w:b/>
                      <w:color w:val="auto"/>
                      <w:sz w:val="21"/>
                      <w:szCs w:val="21"/>
                    </w:rPr>
                  </w:pPr>
                  <w:r>
                    <w:rPr>
                      <w:b/>
                      <w:color w:val="auto"/>
                      <w:sz w:val="21"/>
                      <w:szCs w:val="21"/>
                      <w:lang w:bidi="ar"/>
                    </w:rPr>
                    <w:t>E</w:t>
                  </w:r>
                </w:p>
              </w:tc>
              <w:tc>
                <w:tcPr>
                  <w:tcW w:w="197" w:type="pct"/>
                  <w:noWrap w:val="0"/>
                  <w:vAlign w:val="center"/>
                </w:tcPr>
                <w:p w14:paraId="43A17CD1">
                  <w:pPr>
                    <w:keepNext w:val="0"/>
                    <w:keepLines w:val="0"/>
                    <w:suppressLineNumbers w:val="0"/>
                    <w:adjustRightInd w:val="0"/>
                    <w:snapToGrid w:val="0"/>
                    <w:spacing w:before="0" w:beforeAutospacing="0" w:after="0" w:afterAutospacing="0"/>
                    <w:ind w:left="0" w:right="0"/>
                    <w:jc w:val="center"/>
                    <w:rPr>
                      <w:b/>
                      <w:color w:val="auto"/>
                      <w:sz w:val="21"/>
                      <w:szCs w:val="21"/>
                    </w:rPr>
                  </w:pPr>
                  <w:r>
                    <w:rPr>
                      <w:b/>
                      <w:color w:val="auto"/>
                      <w:sz w:val="21"/>
                      <w:szCs w:val="21"/>
                      <w:lang w:bidi="ar"/>
                    </w:rPr>
                    <w:t>W</w:t>
                  </w:r>
                </w:p>
              </w:tc>
              <w:tc>
                <w:tcPr>
                  <w:tcW w:w="162" w:type="pct"/>
                  <w:noWrap w:val="0"/>
                  <w:vAlign w:val="center"/>
                </w:tcPr>
                <w:p w14:paraId="49D1DC3A">
                  <w:pPr>
                    <w:keepNext w:val="0"/>
                    <w:keepLines w:val="0"/>
                    <w:suppressLineNumbers w:val="0"/>
                    <w:adjustRightInd w:val="0"/>
                    <w:snapToGrid w:val="0"/>
                    <w:spacing w:before="0" w:beforeAutospacing="0" w:after="0" w:afterAutospacing="0"/>
                    <w:ind w:left="0" w:right="0"/>
                    <w:jc w:val="center"/>
                    <w:rPr>
                      <w:b/>
                      <w:color w:val="auto"/>
                      <w:sz w:val="21"/>
                      <w:szCs w:val="21"/>
                    </w:rPr>
                  </w:pPr>
                  <w:r>
                    <w:rPr>
                      <w:b/>
                      <w:color w:val="auto"/>
                      <w:sz w:val="21"/>
                      <w:szCs w:val="21"/>
                      <w:lang w:bidi="ar"/>
                    </w:rPr>
                    <w:t>S</w:t>
                  </w:r>
                </w:p>
              </w:tc>
              <w:tc>
                <w:tcPr>
                  <w:tcW w:w="181" w:type="pct"/>
                  <w:noWrap w:val="0"/>
                  <w:vAlign w:val="center"/>
                </w:tcPr>
                <w:p w14:paraId="6407F3B0">
                  <w:pPr>
                    <w:keepNext w:val="0"/>
                    <w:keepLines w:val="0"/>
                    <w:suppressLineNumbers w:val="0"/>
                    <w:adjustRightInd w:val="0"/>
                    <w:snapToGrid w:val="0"/>
                    <w:spacing w:before="0" w:beforeAutospacing="0" w:after="0" w:afterAutospacing="0"/>
                    <w:ind w:left="0" w:right="0"/>
                    <w:jc w:val="center"/>
                    <w:rPr>
                      <w:b/>
                      <w:color w:val="auto"/>
                      <w:sz w:val="21"/>
                      <w:szCs w:val="21"/>
                    </w:rPr>
                  </w:pPr>
                  <w:r>
                    <w:rPr>
                      <w:b/>
                      <w:color w:val="auto"/>
                      <w:sz w:val="21"/>
                      <w:szCs w:val="21"/>
                      <w:lang w:bidi="ar"/>
                    </w:rPr>
                    <w:t>N</w:t>
                  </w:r>
                </w:p>
              </w:tc>
              <w:tc>
                <w:tcPr>
                  <w:tcW w:w="237" w:type="pct"/>
                  <w:vMerge w:val="continue"/>
                  <w:noWrap w:val="0"/>
                  <w:vAlign w:val="center"/>
                </w:tcPr>
                <w:p w14:paraId="2C45EFEA">
                  <w:pPr>
                    <w:keepNext w:val="0"/>
                    <w:keepLines w:val="0"/>
                    <w:suppressLineNumbers w:val="0"/>
                    <w:spacing w:before="0" w:beforeAutospacing="0" w:after="0" w:afterAutospacing="0"/>
                    <w:ind w:left="0" w:right="0"/>
                    <w:jc w:val="center"/>
                    <w:rPr>
                      <w:b/>
                      <w:color w:val="auto"/>
                      <w:sz w:val="21"/>
                      <w:szCs w:val="21"/>
                    </w:rPr>
                  </w:pPr>
                </w:p>
              </w:tc>
              <w:tc>
                <w:tcPr>
                  <w:tcW w:w="297" w:type="pct"/>
                  <w:vMerge w:val="continue"/>
                  <w:noWrap w:val="0"/>
                  <w:vAlign w:val="center"/>
                </w:tcPr>
                <w:p w14:paraId="6788521E">
                  <w:pPr>
                    <w:keepNext w:val="0"/>
                    <w:keepLines w:val="0"/>
                    <w:suppressLineNumbers w:val="0"/>
                    <w:spacing w:before="0" w:beforeAutospacing="0" w:after="0" w:afterAutospacing="0"/>
                    <w:ind w:left="0" w:right="0"/>
                    <w:jc w:val="center"/>
                    <w:rPr>
                      <w:b/>
                      <w:color w:val="auto"/>
                      <w:sz w:val="21"/>
                      <w:szCs w:val="21"/>
                    </w:rPr>
                  </w:pPr>
                </w:p>
              </w:tc>
              <w:tc>
                <w:tcPr>
                  <w:tcW w:w="178" w:type="pct"/>
                  <w:noWrap w:val="0"/>
                  <w:vAlign w:val="center"/>
                </w:tcPr>
                <w:p w14:paraId="1268B50E">
                  <w:pPr>
                    <w:keepNext w:val="0"/>
                    <w:keepLines w:val="0"/>
                    <w:suppressLineNumbers w:val="0"/>
                    <w:adjustRightInd w:val="0"/>
                    <w:snapToGrid w:val="0"/>
                    <w:spacing w:before="0" w:beforeAutospacing="0" w:after="0" w:afterAutospacing="0"/>
                    <w:ind w:left="0" w:right="0"/>
                    <w:jc w:val="center"/>
                    <w:rPr>
                      <w:b/>
                      <w:color w:val="auto"/>
                      <w:sz w:val="21"/>
                      <w:szCs w:val="21"/>
                    </w:rPr>
                  </w:pPr>
                  <w:r>
                    <w:rPr>
                      <w:b/>
                      <w:color w:val="auto"/>
                      <w:sz w:val="21"/>
                      <w:szCs w:val="21"/>
                      <w:lang w:bidi="ar"/>
                    </w:rPr>
                    <w:t>E</w:t>
                  </w:r>
                </w:p>
              </w:tc>
              <w:tc>
                <w:tcPr>
                  <w:tcW w:w="195" w:type="pct"/>
                  <w:noWrap w:val="0"/>
                  <w:vAlign w:val="center"/>
                </w:tcPr>
                <w:p w14:paraId="4C93BCFD">
                  <w:pPr>
                    <w:keepNext w:val="0"/>
                    <w:keepLines w:val="0"/>
                    <w:suppressLineNumbers w:val="0"/>
                    <w:adjustRightInd w:val="0"/>
                    <w:snapToGrid w:val="0"/>
                    <w:spacing w:before="0" w:beforeAutospacing="0" w:after="0" w:afterAutospacing="0"/>
                    <w:ind w:left="0" w:right="0"/>
                    <w:jc w:val="center"/>
                    <w:rPr>
                      <w:b/>
                      <w:color w:val="auto"/>
                      <w:sz w:val="21"/>
                      <w:szCs w:val="21"/>
                    </w:rPr>
                  </w:pPr>
                  <w:r>
                    <w:rPr>
                      <w:b/>
                      <w:color w:val="auto"/>
                      <w:sz w:val="21"/>
                      <w:szCs w:val="21"/>
                      <w:lang w:bidi="ar"/>
                    </w:rPr>
                    <w:t>W</w:t>
                  </w:r>
                </w:p>
              </w:tc>
              <w:tc>
                <w:tcPr>
                  <w:tcW w:w="196" w:type="pct"/>
                  <w:noWrap w:val="0"/>
                  <w:vAlign w:val="center"/>
                </w:tcPr>
                <w:p w14:paraId="52DFFA19">
                  <w:pPr>
                    <w:keepNext w:val="0"/>
                    <w:keepLines w:val="0"/>
                    <w:suppressLineNumbers w:val="0"/>
                    <w:adjustRightInd w:val="0"/>
                    <w:snapToGrid w:val="0"/>
                    <w:spacing w:before="0" w:beforeAutospacing="0" w:after="0" w:afterAutospacing="0"/>
                    <w:ind w:left="0" w:right="0"/>
                    <w:jc w:val="center"/>
                    <w:rPr>
                      <w:b/>
                      <w:color w:val="auto"/>
                      <w:sz w:val="21"/>
                      <w:szCs w:val="21"/>
                    </w:rPr>
                  </w:pPr>
                  <w:r>
                    <w:rPr>
                      <w:b/>
                      <w:color w:val="auto"/>
                      <w:sz w:val="21"/>
                      <w:szCs w:val="21"/>
                      <w:lang w:bidi="ar"/>
                    </w:rPr>
                    <w:t>S</w:t>
                  </w:r>
                </w:p>
              </w:tc>
              <w:tc>
                <w:tcPr>
                  <w:tcW w:w="181" w:type="pct"/>
                  <w:noWrap w:val="0"/>
                  <w:vAlign w:val="center"/>
                </w:tcPr>
                <w:p w14:paraId="1952F479">
                  <w:pPr>
                    <w:keepNext w:val="0"/>
                    <w:keepLines w:val="0"/>
                    <w:suppressLineNumbers w:val="0"/>
                    <w:adjustRightInd w:val="0"/>
                    <w:snapToGrid w:val="0"/>
                    <w:spacing w:before="0" w:beforeAutospacing="0" w:after="0" w:afterAutospacing="0"/>
                    <w:ind w:left="0" w:right="0"/>
                    <w:jc w:val="center"/>
                    <w:rPr>
                      <w:b/>
                      <w:color w:val="auto"/>
                      <w:sz w:val="21"/>
                      <w:szCs w:val="21"/>
                    </w:rPr>
                  </w:pPr>
                  <w:r>
                    <w:rPr>
                      <w:b/>
                      <w:color w:val="auto"/>
                      <w:sz w:val="21"/>
                      <w:szCs w:val="21"/>
                      <w:lang w:bidi="ar"/>
                    </w:rPr>
                    <w:t>N</w:t>
                  </w:r>
                </w:p>
              </w:tc>
              <w:tc>
                <w:tcPr>
                  <w:tcW w:w="224" w:type="pct"/>
                  <w:vMerge w:val="continue"/>
                  <w:noWrap w:val="0"/>
                  <w:vAlign w:val="center"/>
                </w:tcPr>
                <w:p w14:paraId="23C79B8E">
                  <w:pPr>
                    <w:keepNext w:val="0"/>
                    <w:keepLines w:val="0"/>
                    <w:suppressLineNumbers w:val="0"/>
                    <w:spacing w:before="0" w:beforeAutospacing="0" w:after="0" w:afterAutospacing="0"/>
                    <w:ind w:left="0" w:right="0"/>
                    <w:jc w:val="center"/>
                    <w:rPr>
                      <w:color w:val="auto"/>
                      <w:sz w:val="21"/>
                      <w:szCs w:val="21"/>
                    </w:rPr>
                  </w:pPr>
                </w:p>
              </w:tc>
            </w:tr>
            <w:tr w14:paraId="263ED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 w:type="pct"/>
                  <w:noWrap w:val="0"/>
                  <w:vAlign w:val="center"/>
                </w:tcPr>
                <w:p w14:paraId="4BB05480">
                  <w:pPr>
                    <w:keepNext w:val="0"/>
                    <w:keepLines w:val="0"/>
                    <w:suppressLineNumbers w:val="0"/>
                    <w:adjustRightInd w:val="0"/>
                    <w:snapToGrid w:val="0"/>
                    <w:spacing w:before="0" w:beforeAutospacing="0" w:after="0" w:afterAutospacing="0"/>
                    <w:ind w:left="0" w:right="0"/>
                    <w:jc w:val="center"/>
                    <w:rPr>
                      <w:bCs/>
                      <w:color w:val="auto"/>
                      <w:sz w:val="21"/>
                      <w:szCs w:val="21"/>
                    </w:rPr>
                  </w:pPr>
                  <w:r>
                    <w:rPr>
                      <w:bCs/>
                      <w:color w:val="auto"/>
                      <w:sz w:val="21"/>
                      <w:szCs w:val="21"/>
                      <w:lang w:bidi="ar"/>
                    </w:rPr>
                    <w:t>1</w:t>
                  </w:r>
                </w:p>
              </w:tc>
              <w:tc>
                <w:tcPr>
                  <w:tcW w:w="138" w:type="pct"/>
                  <w:vMerge w:val="restart"/>
                  <w:noWrap w:val="0"/>
                  <w:vAlign w:val="center"/>
                </w:tcPr>
                <w:p w14:paraId="01F71139">
                  <w:pPr>
                    <w:keepNext w:val="0"/>
                    <w:keepLines w:val="0"/>
                    <w:suppressLineNumbers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1#厂房</w:t>
                  </w:r>
                </w:p>
              </w:tc>
              <w:tc>
                <w:tcPr>
                  <w:tcW w:w="361" w:type="pct"/>
                  <w:shd w:val="clear" w:color="auto" w:fill="auto"/>
                  <w:noWrap w:val="0"/>
                  <w:vAlign w:val="center"/>
                </w:tcPr>
                <w:p w14:paraId="4344681B">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搅拌罐</w:t>
                  </w:r>
                </w:p>
              </w:tc>
              <w:tc>
                <w:tcPr>
                  <w:tcW w:w="271" w:type="pct"/>
                  <w:noWrap w:val="0"/>
                  <w:vAlign w:val="center"/>
                </w:tcPr>
                <w:p w14:paraId="6B6740AC">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75</w:t>
                  </w:r>
                </w:p>
              </w:tc>
              <w:tc>
                <w:tcPr>
                  <w:tcW w:w="277" w:type="pct"/>
                  <w:vMerge w:val="restart"/>
                  <w:noWrap w:val="0"/>
                  <w:vAlign w:val="center"/>
                </w:tcPr>
                <w:p w14:paraId="7EF39989">
                  <w:pPr>
                    <w:keepNext w:val="0"/>
                    <w:keepLines w:val="0"/>
                    <w:suppressLineNumbers w:val="0"/>
                    <w:spacing w:before="0" w:beforeAutospacing="0" w:after="0" w:afterAutospacing="0"/>
                    <w:ind w:left="0" w:right="0"/>
                    <w:jc w:val="center"/>
                    <w:rPr>
                      <w:rFonts w:hint="default" w:eastAsia="宋体"/>
                      <w:szCs w:val="22"/>
                      <w:lang w:val="en-US" w:eastAsia="zh-CN"/>
                    </w:rPr>
                  </w:pPr>
                  <w:r>
                    <w:rPr>
                      <w:rFonts w:hint="default"/>
                      <w:szCs w:val="22"/>
                    </w:rPr>
                    <w:t>用低噪声设备、加强设备保养维护</w:t>
                  </w:r>
                  <w:r>
                    <w:rPr>
                      <w:rFonts w:hint="eastAsia"/>
                      <w:szCs w:val="22"/>
                      <w:lang w:eastAsia="zh-CN"/>
                    </w:rPr>
                    <w:t>、</w:t>
                  </w:r>
                  <w:r>
                    <w:rPr>
                      <w:rFonts w:hint="default"/>
                      <w:szCs w:val="22"/>
                    </w:rPr>
                    <w:t>设置减振基座</w:t>
                  </w:r>
                  <w:r>
                    <w:rPr>
                      <w:rFonts w:hint="eastAsia"/>
                      <w:szCs w:val="22"/>
                      <w:lang w:eastAsia="zh-CN"/>
                    </w:rPr>
                    <w:t>、</w:t>
                  </w:r>
                  <w:r>
                    <w:rPr>
                      <w:rFonts w:hint="eastAsia"/>
                      <w:szCs w:val="22"/>
                      <w:lang w:val="en-US" w:eastAsia="zh-CN"/>
                    </w:rPr>
                    <w:t>选配消音器</w:t>
                  </w:r>
                </w:p>
                <w:p w14:paraId="7AFE3DA0">
                  <w:pPr>
                    <w:pStyle w:val="5"/>
                    <w:keepNext w:val="0"/>
                    <w:keepLines w:val="0"/>
                    <w:suppressLineNumbers w:val="0"/>
                    <w:spacing w:before="0" w:beforeAutospacing="0" w:after="0" w:afterAutospacing="0"/>
                    <w:ind w:left="0" w:right="0"/>
                    <w:rPr>
                      <w:rFonts w:hint="eastAsia" w:eastAsia="宋体"/>
                      <w:szCs w:val="22"/>
                      <w:lang w:val="en-US" w:eastAsia="zh-CN"/>
                    </w:rPr>
                  </w:pPr>
                  <w:r>
                    <w:rPr>
                      <w:rFonts w:hint="eastAsia" w:cs="Times New Roman"/>
                      <w:color w:val="auto"/>
                      <w:sz w:val="21"/>
                      <w:szCs w:val="21"/>
                      <w:lang w:val="en-US" w:eastAsia="zh-CN"/>
                    </w:rPr>
                    <w:t xml:space="preserve"> </w:t>
                  </w:r>
                </w:p>
              </w:tc>
              <w:tc>
                <w:tcPr>
                  <w:tcW w:w="258" w:type="pct"/>
                  <w:noWrap w:val="0"/>
                  <w:vAlign w:val="center"/>
                </w:tcPr>
                <w:p w14:paraId="77443E2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258" w:type="pct"/>
                  <w:noWrap w:val="0"/>
                  <w:vAlign w:val="center"/>
                </w:tcPr>
                <w:p w14:paraId="5AA63A7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19</w:t>
                  </w:r>
                </w:p>
              </w:tc>
              <w:tc>
                <w:tcPr>
                  <w:tcW w:w="199" w:type="pct"/>
                  <w:noWrap w:val="0"/>
                  <w:vAlign w:val="center"/>
                </w:tcPr>
                <w:p w14:paraId="722A58B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208" w:type="pct"/>
                  <w:noWrap w:val="0"/>
                  <w:vAlign w:val="center"/>
                </w:tcPr>
                <w:p w14:paraId="0636586F">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41</w:t>
                  </w:r>
                </w:p>
              </w:tc>
              <w:tc>
                <w:tcPr>
                  <w:tcW w:w="208" w:type="pct"/>
                  <w:shd w:val="clear" w:color="auto" w:fill="auto"/>
                  <w:noWrap w:val="0"/>
                  <w:vAlign w:val="center"/>
                </w:tcPr>
                <w:p w14:paraId="65D7462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208" w:type="pct"/>
                  <w:shd w:val="clear" w:color="auto" w:fill="auto"/>
                  <w:noWrap w:val="0"/>
                  <w:vAlign w:val="center"/>
                </w:tcPr>
                <w:p w14:paraId="7D0AA5F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19</w:t>
                  </w:r>
                </w:p>
              </w:tc>
              <w:tc>
                <w:tcPr>
                  <w:tcW w:w="214" w:type="pct"/>
                  <w:noWrap w:val="0"/>
                  <w:vAlign w:val="center"/>
                </w:tcPr>
                <w:p w14:paraId="22A9AFA9">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3</w:t>
                  </w:r>
                </w:p>
              </w:tc>
              <w:tc>
                <w:tcPr>
                  <w:tcW w:w="171" w:type="pct"/>
                  <w:noWrap w:val="0"/>
                  <w:vAlign w:val="center"/>
                </w:tcPr>
                <w:p w14:paraId="238E24F6">
                  <w:pPr>
                    <w:keepNext w:val="0"/>
                    <w:keepLines w:val="0"/>
                    <w:widowControl/>
                    <w:suppressLineNumbers w:val="0"/>
                    <w:spacing w:before="0" w:beforeAutospacing="0" w:after="0" w:afterAutospacing="0"/>
                    <w:ind w:left="0" w:right="0"/>
                    <w:jc w:val="center"/>
                    <w:textAlignment w:val="center"/>
                    <w:rPr>
                      <w:rFonts w:hint="default" w:eastAsia="宋体"/>
                      <w:bCs/>
                      <w:color w:val="auto"/>
                      <w:sz w:val="21"/>
                      <w:szCs w:val="21"/>
                      <w:lang w:val="en-US" w:eastAsia="zh-CN"/>
                    </w:rPr>
                  </w:pPr>
                  <w:r>
                    <w:rPr>
                      <w:rFonts w:hint="eastAsia"/>
                      <w:bCs/>
                      <w:color w:val="auto"/>
                      <w:sz w:val="21"/>
                      <w:szCs w:val="21"/>
                      <w:lang w:val="en-US" w:eastAsia="zh-CN"/>
                    </w:rPr>
                    <w:t>48.2</w:t>
                  </w:r>
                </w:p>
              </w:tc>
              <w:tc>
                <w:tcPr>
                  <w:tcW w:w="197" w:type="pct"/>
                  <w:noWrap w:val="0"/>
                  <w:vAlign w:val="center"/>
                </w:tcPr>
                <w:p w14:paraId="04CE345C">
                  <w:pPr>
                    <w:keepNext w:val="0"/>
                    <w:keepLines w:val="0"/>
                    <w:widowControl/>
                    <w:suppressLineNumbers w:val="0"/>
                    <w:spacing w:before="0" w:beforeAutospacing="0" w:after="0" w:afterAutospacing="0"/>
                    <w:ind w:left="0" w:right="0"/>
                    <w:jc w:val="center"/>
                    <w:textAlignment w:val="center"/>
                    <w:rPr>
                      <w:rFonts w:hint="default" w:eastAsia="宋体"/>
                      <w:bCs/>
                      <w:color w:val="auto"/>
                      <w:sz w:val="21"/>
                      <w:szCs w:val="21"/>
                      <w:lang w:val="en-US" w:eastAsia="zh-CN"/>
                    </w:rPr>
                  </w:pPr>
                  <w:r>
                    <w:rPr>
                      <w:rFonts w:hint="eastAsia"/>
                      <w:bCs/>
                      <w:color w:val="auto"/>
                      <w:sz w:val="21"/>
                      <w:szCs w:val="21"/>
                      <w:lang w:val="en-US" w:eastAsia="zh-CN"/>
                    </w:rPr>
                    <w:t>48.4</w:t>
                  </w:r>
                </w:p>
              </w:tc>
              <w:tc>
                <w:tcPr>
                  <w:tcW w:w="162" w:type="pct"/>
                  <w:noWrap w:val="0"/>
                  <w:vAlign w:val="center"/>
                </w:tcPr>
                <w:p w14:paraId="6CE938AC">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rPr>
                  </w:pPr>
                  <w:r>
                    <w:rPr>
                      <w:rFonts w:hint="eastAsia"/>
                      <w:color w:val="auto"/>
                      <w:kern w:val="0"/>
                      <w:sz w:val="21"/>
                      <w:szCs w:val="21"/>
                      <w:lang w:val="en-US" w:eastAsia="zh-CN"/>
                    </w:rPr>
                    <w:t>48.6</w:t>
                  </w:r>
                </w:p>
              </w:tc>
              <w:tc>
                <w:tcPr>
                  <w:tcW w:w="181" w:type="pct"/>
                  <w:noWrap w:val="0"/>
                  <w:vAlign w:val="center"/>
                </w:tcPr>
                <w:p w14:paraId="3950B0EE">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rPr>
                  </w:pPr>
                  <w:r>
                    <w:rPr>
                      <w:rFonts w:hint="eastAsia"/>
                      <w:color w:val="auto"/>
                      <w:kern w:val="0"/>
                      <w:sz w:val="21"/>
                      <w:szCs w:val="21"/>
                      <w:lang w:val="en-US" w:eastAsia="zh-CN"/>
                    </w:rPr>
                    <w:t>55.4</w:t>
                  </w:r>
                </w:p>
              </w:tc>
              <w:tc>
                <w:tcPr>
                  <w:tcW w:w="237" w:type="pct"/>
                  <w:vMerge w:val="restart"/>
                  <w:noWrap w:val="0"/>
                  <w:vAlign w:val="center"/>
                </w:tcPr>
                <w:p w14:paraId="75CA7D68">
                  <w:pPr>
                    <w:keepNext w:val="0"/>
                    <w:keepLines w:val="0"/>
                    <w:suppressLineNumbers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2080h/a</w:t>
                  </w:r>
                </w:p>
              </w:tc>
              <w:tc>
                <w:tcPr>
                  <w:tcW w:w="297" w:type="pct"/>
                  <w:noWrap w:val="0"/>
                  <w:vAlign w:val="center"/>
                </w:tcPr>
                <w:p w14:paraId="4707FBBF">
                  <w:pPr>
                    <w:keepNext w:val="0"/>
                    <w:keepLines w:val="0"/>
                    <w:suppressLineNumbers w:val="0"/>
                    <w:autoSpaceDE w:val="0"/>
                    <w:adjustRightInd w:val="0"/>
                    <w:snapToGrid w:val="0"/>
                    <w:spacing w:before="0" w:beforeAutospacing="0" w:after="0" w:afterAutospacing="0"/>
                    <w:ind w:left="0" w:right="0"/>
                    <w:jc w:val="center"/>
                    <w:rPr>
                      <w:bCs/>
                      <w:color w:val="auto"/>
                      <w:sz w:val="21"/>
                      <w:szCs w:val="21"/>
                    </w:rPr>
                  </w:pPr>
                  <w:r>
                    <w:rPr>
                      <w:bCs/>
                      <w:color w:val="auto"/>
                      <w:sz w:val="21"/>
                      <w:szCs w:val="21"/>
                      <w:lang w:bidi="ar"/>
                    </w:rPr>
                    <w:t>20</w:t>
                  </w:r>
                </w:p>
              </w:tc>
              <w:tc>
                <w:tcPr>
                  <w:tcW w:w="178" w:type="pct"/>
                  <w:shd w:val="clear" w:color="auto" w:fill="auto"/>
                  <w:noWrap w:val="0"/>
                  <w:vAlign w:val="center"/>
                </w:tcPr>
                <w:p w14:paraId="65A460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33</w:t>
                  </w:r>
                </w:p>
              </w:tc>
              <w:tc>
                <w:tcPr>
                  <w:tcW w:w="195" w:type="pct"/>
                  <w:shd w:val="clear" w:color="auto" w:fill="auto"/>
                  <w:noWrap w:val="0"/>
                  <w:vAlign w:val="center"/>
                </w:tcPr>
                <w:p w14:paraId="62B134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33.2</w:t>
                  </w:r>
                </w:p>
              </w:tc>
              <w:tc>
                <w:tcPr>
                  <w:tcW w:w="196" w:type="pct"/>
                  <w:shd w:val="clear" w:color="auto" w:fill="auto"/>
                  <w:noWrap w:val="0"/>
                  <w:vAlign w:val="center"/>
                </w:tcPr>
                <w:p w14:paraId="4F870B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33.4</w:t>
                  </w:r>
                </w:p>
              </w:tc>
              <w:tc>
                <w:tcPr>
                  <w:tcW w:w="181" w:type="pct"/>
                  <w:shd w:val="clear" w:color="auto" w:fill="auto"/>
                  <w:noWrap w:val="0"/>
                  <w:vAlign w:val="center"/>
                </w:tcPr>
                <w:p w14:paraId="04DF2F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40.2</w:t>
                  </w:r>
                </w:p>
              </w:tc>
              <w:tc>
                <w:tcPr>
                  <w:tcW w:w="224" w:type="pct"/>
                  <w:noWrap w:val="0"/>
                  <w:vAlign w:val="center"/>
                </w:tcPr>
                <w:p w14:paraId="7CF5742B">
                  <w:pPr>
                    <w:keepNext w:val="0"/>
                    <w:keepLines w:val="0"/>
                    <w:suppressLineNumbers w:val="0"/>
                    <w:autoSpaceDE w:val="0"/>
                    <w:adjustRightInd w:val="0"/>
                    <w:snapToGrid w:val="0"/>
                    <w:spacing w:before="0" w:beforeAutospacing="0" w:after="0" w:afterAutospacing="0"/>
                    <w:ind w:left="0" w:right="0"/>
                    <w:jc w:val="center"/>
                    <w:rPr>
                      <w:bCs/>
                      <w:color w:val="auto"/>
                      <w:sz w:val="21"/>
                      <w:szCs w:val="21"/>
                    </w:rPr>
                  </w:pPr>
                  <w:r>
                    <w:rPr>
                      <w:bCs/>
                      <w:color w:val="auto"/>
                      <w:sz w:val="21"/>
                      <w:szCs w:val="21"/>
                      <w:lang w:bidi="ar"/>
                    </w:rPr>
                    <w:t>1m</w:t>
                  </w:r>
                </w:p>
              </w:tc>
            </w:tr>
            <w:tr w14:paraId="71CE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 w:type="pct"/>
                  <w:noWrap w:val="0"/>
                  <w:vAlign w:val="center"/>
                </w:tcPr>
                <w:p w14:paraId="355E8502">
                  <w:pPr>
                    <w:keepNext w:val="0"/>
                    <w:keepLines w:val="0"/>
                    <w:suppressLineNumbers w:val="0"/>
                    <w:adjustRightInd w:val="0"/>
                    <w:snapToGrid w:val="0"/>
                    <w:spacing w:before="0" w:beforeAutospacing="0" w:after="0" w:afterAutospacing="0"/>
                    <w:ind w:left="0" w:right="0"/>
                    <w:jc w:val="center"/>
                    <w:rPr>
                      <w:rFonts w:hint="eastAsia" w:eastAsia="宋体"/>
                      <w:bCs/>
                      <w:color w:val="auto"/>
                      <w:sz w:val="21"/>
                      <w:szCs w:val="21"/>
                      <w:lang w:val="en-US" w:eastAsia="zh-CN" w:bidi="ar"/>
                    </w:rPr>
                  </w:pPr>
                  <w:r>
                    <w:rPr>
                      <w:rFonts w:hint="eastAsia"/>
                      <w:bCs/>
                      <w:color w:val="auto"/>
                      <w:sz w:val="21"/>
                      <w:szCs w:val="21"/>
                      <w:lang w:val="en-US" w:eastAsia="zh-CN" w:bidi="ar"/>
                    </w:rPr>
                    <w:t>2</w:t>
                  </w:r>
                </w:p>
              </w:tc>
              <w:tc>
                <w:tcPr>
                  <w:tcW w:w="138" w:type="pct"/>
                  <w:vMerge w:val="continue"/>
                  <w:noWrap w:val="0"/>
                  <w:vAlign w:val="center"/>
                </w:tcPr>
                <w:p w14:paraId="13989408">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361" w:type="pct"/>
                  <w:shd w:val="clear" w:color="auto" w:fill="auto"/>
                  <w:noWrap w:val="0"/>
                  <w:vAlign w:val="center"/>
                </w:tcPr>
                <w:p w14:paraId="0765DD0D">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圆盘注塑机</w:t>
                  </w:r>
                </w:p>
              </w:tc>
              <w:tc>
                <w:tcPr>
                  <w:tcW w:w="271" w:type="pct"/>
                  <w:noWrap w:val="0"/>
                  <w:vAlign w:val="center"/>
                </w:tcPr>
                <w:p w14:paraId="77D4CF8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70</w:t>
                  </w:r>
                </w:p>
              </w:tc>
              <w:tc>
                <w:tcPr>
                  <w:tcW w:w="277" w:type="pct"/>
                  <w:vMerge w:val="continue"/>
                  <w:noWrap w:val="0"/>
                  <w:vAlign w:val="center"/>
                </w:tcPr>
                <w:p w14:paraId="3C94104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258" w:type="pct"/>
                  <w:noWrap w:val="0"/>
                  <w:vAlign w:val="center"/>
                </w:tcPr>
                <w:p w14:paraId="7E1A1A5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258" w:type="pct"/>
                  <w:noWrap w:val="0"/>
                  <w:vAlign w:val="center"/>
                </w:tcPr>
                <w:p w14:paraId="035F9E0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199" w:type="pct"/>
                  <w:noWrap w:val="0"/>
                  <w:vAlign w:val="center"/>
                </w:tcPr>
                <w:p w14:paraId="129FEC6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p>
              </w:tc>
              <w:tc>
                <w:tcPr>
                  <w:tcW w:w="208" w:type="pct"/>
                  <w:noWrap w:val="0"/>
                  <w:vAlign w:val="center"/>
                </w:tcPr>
                <w:p w14:paraId="199A6C3B">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36</w:t>
                  </w:r>
                </w:p>
              </w:tc>
              <w:tc>
                <w:tcPr>
                  <w:tcW w:w="208" w:type="pct"/>
                  <w:shd w:val="clear" w:color="auto" w:fill="auto"/>
                  <w:noWrap w:val="0"/>
                  <w:vAlign w:val="center"/>
                </w:tcPr>
                <w:p w14:paraId="140DF96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30</w:t>
                  </w:r>
                </w:p>
              </w:tc>
              <w:tc>
                <w:tcPr>
                  <w:tcW w:w="208" w:type="pct"/>
                  <w:shd w:val="clear" w:color="auto" w:fill="auto"/>
                  <w:noWrap w:val="0"/>
                  <w:vAlign w:val="center"/>
                </w:tcPr>
                <w:p w14:paraId="0CA0160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12</w:t>
                  </w:r>
                </w:p>
              </w:tc>
              <w:tc>
                <w:tcPr>
                  <w:tcW w:w="214" w:type="pct"/>
                  <w:noWrap w:val="0"/>
                  <w:vAlign w:val="center"/>
                </w:tcPr>
                <w:p w14:paraId="516D01A9">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10</w:t>
                  </w:r>
                </w:p>
              </w:tc>
              <w:tc>
                <w:tcPr>
                  <w:tcW w:w="171" w:type="pct"/>
                  <w:noWrap w:val="0"/>
                  <w:vAlign w:val="center"/>
                </w:tcPr>
                <w:p w14:paraId="33DC883D">
                  <w:pPr>
                    <w:keepNext w:val="0"/>
                    <w:keepLines w:val="0"/>
                    <w:widowControl/>
                    <w:suppressLineNumbers w:val="0"/>
                    <w:spacing w:before="0" w:beforeAutospacing="0" w:after="0" w:afterAutospacing="0"/>
                    <w:ind w:left="0" w:right="0"/>
                    <w:jc w:val="center"/>
                    <w:textAlignment w:val="center"/>
                    <w:rPr>
                      <w:rFonts w:hint="default" w:eastAsia="宋体"/>
                      <w:bCs/>
                      <w:color w:val="auto"/>
                      <w:kern w:val="2"/>
                      <w:sz w:val="21"/>
                      <w:szCs w:val="21"/>
                      <w:lang w:val="en-US" w:eastAsia="zh-CN" w:bidi="ar-SA"/>
                    </w:rPr>
                  </w:pPr>
                  <w:r>
                    <w:rPr>
                      <w:rFonts w:hint="eastAsia"/>
                      <w:bCs/>
                      <w:color w:val="auto"/>
                      <w:kern w:val="2"/>
                      <w:sz w:val="21"/>
                      <w:szCs w:val="21"/>
                      <w:lang w:val="en-US" w:eastAsia="zh-CN" w:bidi="ar-SA"/>
                    </w:rPr>
                    <w:t>43.3</w:t>
                  </w:r>
                </w:p>
              </w:tc>
              <w:tc>
                <w:tcPr>
                  <w:tcW w:w="197" w:type="pct"/>
                  <w:noWrap w:val="0"/>
                  <w:vAlign w:val="center"/>
                </w:tcPr>
                <w:p w14:paraId="769F1C9C">
                  <w:pPr>
                    <w:keepNext w:val="0"/>
                    <w:keepLines w:val="0"/>
                    <w:widowControl/>
                    <w:suppressLineNumbers w:val="0"/>
                    <w:spacing w:before="0" w:beforeAutospacing="0" w:after="0" w:afterAutospacing="0"/>
                    <w:ind w:left="0" w:right="0"/>
                    <w:jc w:val="center"/>
                    <w:textAlignment w:val="center"/>
                    <w:rPr>
                      <w:rFonts w:hint="default" w:eastAsia="宋体"/>
                      <w:bCs/>
                      <w:color w:val="auto"/>
                      <w:kern w:val="2"/>
                      <w:sz w:val="21"/>
                      <w:szCs w:val="21"/>
                      <w:lang w:val="en-US" w:eastAsia="zh-CN" w:bidi="ar-SA"/>
                    </w:rPr>
                  </w:pPr>
                  <w:r>
                    <w:rPr>
                      <w:rFonts w:hint="eastAsia"/>
                      <w:bCs/>
                      <w:color w:val="auto"/>
                      <w:kern w:val="2"/>
                      <w:sz w:val="21"/>
                      <w:szCs w:val="21"/>
                      <w:lang w:val="en-US" w:eastAsia="zh-CN" w:bidi="ar-SA"/>
                    </w:rPr>
                    <w:t>43.3</w:t>
                  </w:r>
                </w:p>
              </w:tc>
              <w:tc>
                <w:tcPr>
                  <w:tcW w:w="162" w:type="pct"/>
                  <w:noWrap w:val="0"/>
                  <w:vAlign w:val="center"/>
                </w:tcPr>
                <w:p w14:paraId="64BC978D">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rPr>
                  </w:pPr>
                  <w:r>
                    <w:rPr>
                      <w:rFonts w:hint="eastAsia"/>
                      <w:color w:val="auto"/>
                      <w:kern w:val="0"/>
                      <w:sz w:val="21"/>
                      <w:szCs w:val="21"/>
                      <w:lang w:val="en-US" w:eastAsia="zh-CN"/>
                    </w:rPr>
                    <w:t>44.2</w:t>
                  </w:r>
                </w:p>
              </w:tc>
              <w:tc>
                <w:tcPr>
                  <w:tcW w:w="181" w:type="pct"/>
                  <w:noWrap w:val="0"/>
                  <w:vAlign w:val="center"/>
                </w:tcPr>
                <w:p w14:paraId="4C9588D2">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rPr>
                  </w:pPr>
                  <w:r>
                    <w:rPr>
                      <w:rFonts w:hint="eastAsia"/>
                      <w:color w:val="auto"/>
                      <w:kern w:val="0"/>
                      <w:sz w:val="21"/>
                      <w:szCs w:val="21"/>
                      <w:lang w:val="en-US" w:eastAsia="zh-CN"/>
                    </w:rPr>
                    <w:t>44.6</w:t>
                  </w:r>
                </w:p>
              </w:tc>
              <w:tc>
                <w:tcPr>
                  <w:tcW w:w="237" w:type="pct"/>
                  <w:vMerge w:val="continue"/>
                  <w:noWrap w:val="0"/>
                  <w:vAlign w:val="center"/>
                </w:tcPr>
                <w:p w14:paraId="40F15D29">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297" w:type="pct"/>
                  <w:noWrap w:val="0"/>
                  <w:vAlign w:val="center"/>
                </w:tcPr>
                <w:p w14:paraId="7B048FE6">
                  <w:pPr>
                    <w:keepNext w:val="0"/>
                    <w:keepLines w:val="0"/>
                    <w:suppressLineNumbers w:val="0"/>
                    <w:autoSpaceDE w:val="0"/>
                    <w:adjustRightInd w:val="0"/>
                    <w:snapToGrid w:val="0"/>
                    <w:spacing w:before="0" w:beforeAutospacing="0" w:after="0" w:afterAutospacing="0"/>
                    <w:ind w:left="0" w:right="0"/>
                    <w:jc w:val="center"/>
                    <w:rPr>
                      <w:rFonts w:hint="default" w:eastAsia="宋体"/>
                      <w:bCs/>
                      <w:color w:val="auto"/>
                      <w:sz w:val="21"/>
                      <w:szCs w:val="21"/>
                      <w:lang w:val="en-US" w:eastAsia="zh-CN" w:bidi="ar"/>
                    </w:rPr>
                  </w:pPr>
                  <w:r>
                    <w:rPr>
                      <w:rFonts w:hint="eastAsia"/>
                      <w:bCs/>
                      <w:color w:val="auto"/>
                      <w:sz w:val="21"/>
                      <w:szCs w:val="21"/>
                      <w:lang w:val="en-US" w:eastAsia="zh-CN" w:bidi="ar"/>
                    </w:rPr>
                    <w:t>20</w:t>
                  </w:r>
                </w:p>
              </w:tc>
              <w:tc>
                <w:tcPr>
                  <w:tcW w:w="178" w:type="pct"/>
                  <w:shd w:val="clear" w:color="auto" w:fill="auto"/>
                  <w:noWrap w:val="0"/>
                  <w:vAlign w:val="center"/>
                </w:tcPr>
                <w:p w14:paraId="6E87FA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28.1</w:t>
                  </w:r>
                </w:p>
              </w:tc>
              <w:tc>
                <w:tcPr>
                  <w:tcW w:w="195" w:type="pct"/>
                  <w:shd w:val="clear" w:color="auto" w:fill="auto"/>
                  <w:noWrap w:val="0"/>
                  <w:vAlign w:val="center"/>
                </w:tcPr>
                <w:p w14:paraId="014112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28.1</w:t>
                  </w:r>
                </w:p>
              </w:tc>
              <w:tc>
                <w:tcPr>
                  <w:tcW w:w="196" w:type="pct"/>
                  <w:shd w:val="clear" w:color="auto" w:fill="auto"/>
                  <w:noWrap w:val="0"/>
                  <w:vAlign w:val="center"/>
                </w:tcPr>
                <w:p w14:paraId="6510C0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29</w:t>
                  </w:r>
                </w:p>
              </w:tc>
              <w:tc>
                <w:tcPr>
                  <w:tcW w:w="181" w:type="pct"/>
                  <w:shd w:val="clear" w:color="auto" w:fill="auto"/>
                  <w:noWrap w:val="0"/>
                  <w:vAlign w:val="center"/>
                </w:tcPr>
                <w:p w14:paraId="5C1AC0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29.3</w:t>
                  </w:r>
                </w:p>
              </w:tc>
              <w:tc>
                <w:tcPr>
                  <w:tcW w:w="224" w:type="pct"/>
                  <w:noWrap w:val="0"/>
                  <w:vAlign w:val="center"/>
                </w:tcPr>
                <w:p w14:paraId="750AAB9A">
                  <w:pPr>
                    <w:keepNext w:val="0"/>
                    <w:keepLines w:val="0"/>
                    <w:suppressLineNumbers w:val="0"/>
                    <w:autoSpaceDE w:val="0"/>
                    <w:adjustRightInd w:val="0"/>
                    <w:snapToGrid w:val="0"/>
                    <w:spacing w:before="0" w:beforeAutospacing="0" w:after="0" w:afterAutospacing="0"/>
                    <w:ind w:left="0" w:right="0"/>
                    <w:jc w:val="center"/>
                    <w:rPr>
                      <w:bCs/>
                      <w:color w:val="auto"/>
                      <w:sz w:val="21"/>
                      <w:szCs w:val="21"/>
                      <w:lang w:bidi="ar"/>
                    </w:rPr>
                  </w:pPr>
                  <w:r>
                    <w:rPr>
                      <w:bCs/>
                      <w:color w:val="auto"/>
                      <w:sz w:val="21"/>
                      <w:szCs w:val="21"/>
                      <w:lang w:bidi="ar"/>
                    </w:rPr>
                    <w:t>1m</w:t>
                  </w:r>
                </w:p>
              </w:tc>
            </w:tr>
            <w:tr w14:paraId="49AFF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 w:type="pct"/>
                  <w:noWrap w:val="0"/>
                  <w:vAlign w:val="center"/>
                </w:tcPr>
                <w:p w14:paraId="4E018CFF">
                  <w:pPr>
                    <w:keepNext w:val="0"/>
                    <w:keepLines w:val="0"/>
                    <w:suppressLineNumbers w:val="0"/>
                    <w:adjustRightInd w:val="0"/>
                    <w:snapToGrid w:val="0"/>
                    <w:spacing w:before="0" w:beforeAutospacing="0" w:after="0" w:afterAutospacing="0"/>
                    <w:ind w:left="0" w:right="0"/>
                    <w:jc w:val="center"/>
                    <w:rPr>
                      <w:rFonts w:hint="eastAsia" w:eastAsia="宋体"/>
                      <w:bCs/>
                      <w:color w:val="auto"/>
                      <w:sz w:val="21"/>
                      <w:szCs w:val="21"/>
                      <w:lang w:val="en-US" w:eastAsia="zh-CN" w:bidi="ar"/>
                    </w:rPr>
                  </w:pPr>
                  <w:r>
                    <w:rPr>
                      <w:rFonts w:hint="eastAsia"/>
                      <w:bCs/>
                      <w:color w:val="auto"/>
                      <w:sz w:val="21"/>
                      <w:szCs w:val="21"/>
                      <w:lang w:val="en-US" w:eastAsia="zh-CN" w:bidi="ar"/>
                    </w:rPr>
                    <w:t>3</w:t>
                  </w:r>
                </w:p>
              </w:tc>
              <w:tc>
                <w:tcPr>
                  <w:tcW w:w="138" w:type="pct"/>
                  <w:vMerge w:val="continue"/>
                  <w:noWrap w:val="0"/>
                  <w:vAlign w:val="center"/>
                </w:tcPr>
                <w:p w14:paraId="1869960A">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361" w:type="pct"/>
                  <w:shd w:val="clear" w:color="auto" w:fill="auto"/>
                  <w:noWrap w:val="0"/>
                  <w:vAlign w:val="center"/>
                </w:tcPr>
                <w:p w14:paraId="2C221FEB">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空压机</w:t>
                  </w:r>
                </w:p>
              </w:tc>
              <w:tc>
                <w:tcPr>
                  <w:tcW w:w="271" w:type="pct"/>
                  <w:noWrap w:val="0"/>
                  <w:vAlign w:val="center"/>
                </w:tcPr>
                <w:p w14:paraId="26A337F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80</w:t>
                  </w:r>
                </w:p>
              </w:tc>
              <w:tc>
                <w:tcPr>
                  <w:tcW w:w="277" w:type="pct"/>
                  <w:vMerge w:val="continue"/>
                  <w:noWrap w:val="0"/>
                  <w:vAlign w:val="center"/>
                </w:tcPr>
                <w:p w14:paraId="58CD922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258" w:type="pct"/>
                  <w:noWrap w:val="0"/>
                  <w:vAlign w:val="center"/>
                </w:tcPr>
                <w:p w14:paraId="0A74A62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w:t>
                  </w:r>
                </w:p>
              </w:tc>
              <w:tc>
                <w:tcPr>
                  <w:tcW w:w="258" w:type="pct"/>
                  <w:noWrap w:val="0"/>
                  <w:vAlign w:val="center"/>
                </w:tcPr>
                <w:p w14:paraId="65733B0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199" w:type="pct"/>
                  <w:noWrap w:val="0"/>
                  <w:vAlign w:val="center"/>
                </w:tcPr>
                <w:p w14:paraId="3CDC74B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p>
              </w:tc>
              <w:tc>
                <w:tcPr>
                  <w:tcW w:w="208" w:type="pct"/>
                  <w:noWrap w:val="0"/>
                  <w:vAlign w:val="center"/>
                </w:tcPr>
                <w:p w14:paraId="7AF600A5">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33</w:t>
                  </w:r>
                </w:p>
              </w:tc>
              <w:tc>
                <w:tcPr>
                  <w:tcW w:w="208" w:type="pct"/>
                  <w:shd w:val="clear" w:color="auto" w:fill="auto"/>
                  <w:noWrap w:val="0"/>
                  <w:vAlign w:val="center"/>
                </w:tcPr>
                <w:p w14:paraId="3710A91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33</w:t>
                  </w:r>
                </w:p>
              </w:tc>
              <w:tc>
                <w:tcPr>
                  <w:tcW w:w="208" w:type="pct"/>
                  <w:shd w:val="clear" w:color="auto" w:fill="auto"/>
                  <w:noWrap w:val="0"/>
                  <w:vAlign w:val="center"/>
                </w:tcPr>
                <w:p w14:paraId="4D571B6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12</w:t>
                  </w:r>
                </w:p>
              </w:tc>
              <w:tc>
                <w:tcPr>
                  <w:tcW w:w="214" w:type="pct"/>
                  <w:noWrap w:val="0"/>
                  <w:vAlign w:val="center"/>
                </w:tcPr>
                <w:p w14:paraId="23698386">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10</w:t>
                  </w:r>
                </w:p>
              </w:tc>
              <w:tc>
                <w:tcPr>
                  <w:tcW w:w="171" w:type="pct"/>
                  <w:shd w:val="clear" w:color="auto" w:fill="auto"/>
                  <w:noWrap w:val="0"/>
                  <w:vAlign w:val="center"/>
                </w:tcPr>
                <w:p w14:paraId="23BD06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53.3</w:t>
                  </w:r>
                </w:p>
              </w:tc>
              <w:tc>
                <w:tcPr>
                  <w:tcW w:w="197" w:type="pct"/>
                  <w:shd w:val="clear" w:color="auto" w:fill="auto"/>
                  <w:noWrap w:val="0"/>
                  <w:vAlign w:val="center"/>
                </w:tcPr>
                <w:p w14:paraId="33B1F7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53..3</w:t>
                  </w:r>
                </w:p>
              </w:tc>
              <w:tc>
                <w:tcPr>
                  <w:tcW w:w="162" w:type="pct"/>
                  <w:noWrap w:val="0"/>
                  <w:vAlign w:val="center"/>
                </w:tcPr>
                <w:p w14:paraId="37BF9137">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rPr>
                  </w:pPr>
                  <w:r>
                    <w:rPr>
                      <w:rFonts w:hint="eastAsia"/>
                      <w:color w:val="auto"/>
                      <w:kern w:val="0"/>
                      <w:sz w:val="21"/>
                      <w:szCs w:val="21"/>
                      <w:lang w:val="en-US" w:eastAsia="zh-CN"/>
                    </w:rPr>
                    <w:t>54.2</w:t>
                  </w:r>
                </w:p>
              </w:tc>
              <w:tc>
                <w:tcPr>
                  <w:tcW w:w="181" w:type="pct"/>
                  <w:noWrap w:val="0"/>
                  <w:vAlign w:val="center"/>
                </w:tcPr>
                <w:p w14:paraId="592E3B78">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rPr>
                  </w:pPr>
                  <w:r>
                    <w:rPr>
                      <w:rFonts w:hint="eastAsia"/>
                      <w:color w:val="auto"/>
                      <w:kern w:val="0"/>
                      <w:sz w:val="21"/>
                      <w:szCs w:val="21"/>
                      <w:lang w:val="en-US" w:eastAsia="zh-CN"/>
                    </w:rPr>
                    <w:t>54.6</w:t>
                  </w:r>
                </w:p>
              </w:tc>
              <w:tc>
                <w:tcPr>
                  <w:tcW w:w="237" w:type="pct"/>
                  <w:vMerge w:val="continue"/>
                  <w:noWrap w:val="0"/>
                  <w:vAlign w:val="center"/>
                </w:tcPr>
                <w:p w14:paraId="4F366232">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297" w:type="pct"/>
                  <w:noWrap w:val="0"/>
                  <w:vAlign w:val="center"/>
                </w:tcPr>
                <w:p w14:paraId="4337D85E">
                  <w:pPr>
                    <w:keepNext w:val="0"/>
                    <w:keepLines w:val="0"/>
                    <w:suppressLineNumbers w:val="0"/>
                    <w:autoSpaceDE w:val="0"/>
                    <w:adjustRightInd w:val="0"/>
                    <w:snapToGrid w:val="0"/>
                    <w:spacing w:before="0" w:beforeAutospacing="0" w:after="0" w:afterAutospacing="0"/>
                    <w:ind w:left="0" w:right="0"/>
                    <w:jc w:val="center"/>
                    <w:rPr>
                      <w:rFonts w:hint="default" w:eastAsia="宋体"/>
                      <w:bCs/>
                      <w:color w:val="auto"/>
                      <w:sz w:val="21"/>
                      <w:szCs w:val="21"/>
                      <w:lang w:val="en-US" w:eastAsia="zh-CN" w:bidi="ar"/>
                    </w:rPr>
                  </w:pPr>
                  <w:r>
                    <w:rPr>
                      <w:rFonts w:hint="eastAsia"/>
                      <w:bCs/>
                      <w:color w:val="auto"/>
                      <w:sz w:val="21"/>
                      <w:szCs w:val="21"/>
                      <w:lang w:val="en-US" w:eastAsia="zh-CN" w:bidi="ar"/>
                    </w:rPr>
                    <w:t>20</w:t>
                  </w:r>
                </w:p>
              </w:tc>
              <w:tc>
                <w:tcPr>
                  <w:tcW w:w="178" w:type="pct"/>
                  <w:shd w:val="clear" w:color="auto" w:fill="auto"/>
                  <w:noWrap w:val="0"/>
                  <w:vAlign w:val="center"/>
                </w:tcPr>
                <w:p w14:paraId="7D7404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38.1</w:t>
                  </w:r>
                </w:p>
              </w:tc>
              <w:tc>
                <w:tcPr>
                  <w:tcW w:w="195" w:type="pct"/>
                  <w:shd w:val="clear" w:color="auto" w:fill="auto"/>
                  <w:noWrap w:val="0"/>
                  <w:vAlign w:val="center"/>
                </w:tcPr>
                <w:p w14:paraId="0CDC88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38.1</w:t>
                  </w:r>
                </w:p>
              </w:tc>
              <w:tc>
                <w:tcPr>
                  <w:tcW w:w="196" w:type="pct"/>
                  <w:shd w:val="clear" w:color="auto" w:fill="auto"/>
                  <w:noWrap w:val="0"/>
                  <w:vAlign w:val="center"/>
                </w:tcPr>
                <w:p w14:paraId="648217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39</w:t>
                  </w:r>
                </w:p>
              </w:tc>
              <w:tc>
                <w:tcPr>
                  <w:tcW w:w="181" w:type="pct"/>
                  <w:shd w:val="clear" w:color="auto" w:fill="auto"/>
                  <w:noWrap w:val="0"/>
                  <w:vAlign w:val="center"/>
                </w:tcPr>
                <w:p w14:paraId="036EEE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39.3</w:t>
                  </w:r>
                </w:p>
              </w:tc>
              <w:tc>
                <w:tcPr>
                  <w:tcW w:w="224" w:type="pct"/>
                  <w:noWrap w:val="0"/>
                  <w:vAlign w:val="center"/>
                </w:tcPr>
                <w:p w14:paraId="40502B22">
                  <w:pPr>
                    <w:keepNext w:val="0"/>
                    <w:keepLines w:val="0"/>
                    <w:suppressLineNumbers w:val="0"/>
                    <w:autoSpaceDE w:val="0"/>
                    <w:adjustRightInd w:val="0"/>
                    <w:snapToGrid w:val="0"/>
                    <w:spacing w:before="0" w:beforeAutospacing="0" w:after="0" w:afterAutospacing="0"/>
                    <w:ind w:left="0" w:right="0"/>
                    <w:jc w:val="center"/>
                    <w:rPr>
                      <w:bCs/>
                      <w:color w:val="auto"/>
                      <w:sz w:val="21"/>
                      <w:szCs w:val="21"/>
                      <w:lang w:bidi="ar"/>
                    </w:rPr>
                  </w:pPr>
                  <w:r>
                    <w:rPr>
                      <w:bCs/>
                      <w:color w:val="auto"/>
                      <w:sz w:val="21"/>
                      <w:szCs w:val="21"/>
                      <w:lang w:bidi="ar"/>
                    </w:rPr>
                    <w:t>1m</w:t>
                  </w:r>
                </w:p>
              </w:tc>
            </w:tr>
            <w:tr w14:paraId="0081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 w:type="pct"/>
                  <w:noWrap w:val="0"/>
                  <w:vAlign w:val="center"/>
                </w:tcPr>
                <w:p w14:paraId="1EC4E0C5">
                  <w:pPr>
                    <w:keepNext w:val="0"/>
                    <w:keepLines w:val="0"/>
                    <w:suppressLineNumbers w:val="0"/>
                    <w:adjustRightInd w:val="0"/>
                    <w:snapToGrid w:val="0"/>
                    <w:spacing w:before="0" w:beforeAutospacing="0" w:after="0" w:afterAutospacing="0"/>
                    <w:ind w:left="0" w:right="0"/>
                    <w:jc w:val="center"/>
                    <w:rPr>
                      <w:rFonts w:hint="eastAsia" w:eastAsia="宋体"/>
                      <w:bCs/>
                      <w:color w:val="auto"/>
                      <w:sz w:val="21"/>
                      <w:szCs w:val="21"/>
                      <w:lang w:eastAsia="zh-CN"/>
                    </w:rPr>
                  </w:pPr>
                  <w:r>
                    <w:rPr>
                      <w:rFonts w:hint="eastAsia"/>
                      <w:bCs/>
                      <w:color w:val="auto"/>
                      <w:sz w:val="21"/>
                      <w:szCs w:val="21"/>
                      <w:lang w:val="en-US" w:eastAsia="zh-CN" w:bidi="ar"/>
                    </w:rPr>
                    <w:t>4</w:t>
                  </w:r>
                </w:p>
              </w:tc>
              <w:tc>
                <w:tcPr>
                  <w:tcW w:w="138" w:type="pct"/>
                  <w:vMerge w:val="continue"/>
                  <w:noWrap w:val="0"/>
                  <w:vAlign w:val="center"/>
                </w:tcPr>
                <w:p w14:paraId="4E99ECDC">
                  <w:pPr>
                    <w:keepNext w:val="0"/>
                    <w:keepLines w:val="0"/>
                    <w:suppressLineNumbers w:val="0"/>
                    <w:spacing w:before="0" w:beforeAutospacing="0" w:after="0" w:afterAutospacing="0"/>
                    <w:ind w:left="0" w:right="0"/>
                    <w:jc w:val="center"/>
                    <w:rPr>
                      <w:color w:val="auto"/>
                      <w:sz w:val="21"/>
                      <w:szCs w:val="21"/>
                    </w:rPr>
                  </w:pPr>
                </w:p>
              </w:tc>
              <w:tc>
                <w:tcPr>
                  <w:tcW w:w="361" w:type="pct"/>
                  <w:shd w:val="clear" w:color="auto" w:fill="auto"/>
                  <w:noWrap w:val="0"/>
                  <w:vAlign w:val="center"/>
                </w:tcPr>
                <w:p w14:paraId="7929D4DA">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鞋底修边机</w:t>
                  </w:r>
                </w:p>
              </w:tc>
              <w:tc>
                <w:tcPr>
                  <w:tcW w:w="271" w:type="pct"/>
                  <w:noWrap w:val="0"/>
                  <w:vAlign w:val="center"/>
                </w:tcPr>
                <w:p w14:paraId="07FD98DE">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75</w:t>
                  </w:r>
                </w:p>
              </w:tc>
              <w:tc>
                <w:tcPr>
                  <w:tcW w:w="277" w:type="pct"/>
                  <w:vMerge w:val="continue"/>
                  <w:noWrap w:val="0"/>
                  <w:vAlign w:val="center"/>
                </w:tcPr>
                <w:p w14:paraId="62260522">
                  <w:pPr>
                    <w:keepNext w:val="0"/>
                    <w:keepLines w:val="0"/>
                    <w:suppressLineNumbers w:val="0"/>
                    <w:spacing w:before="0" w:beforeAutospacing="0" w:after="0" w:afterAutospacing="0"/>
                    <w:ind w:left="0" w:right="0"/>
                    <w:jc w:val="center"/>
                    <w:rPr>
                      <w:color w:val="auto"/>
                      <w:sz w:val="21"/>
                      <w:szCs w:val="21"/>
                    </w:rPr>
                  </w:pPr>
                </w:p>
              </w:tc>
              <w:tc>
                <w:tcPr>
                  <w:tcW w:w="258" w:type="pct"/>
                  <w:noWrap w:val="0"/>
                  <w:vAlign w:val="center"/>
                </w:tcPr>
                <w:p w14:paraId="54FC24D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w:t>
                  </w:r>
                </w:p>
              </w:tc>
              <w:tc>
                <w:tcPr>
                  <w:tcW w:w="258" w:type="pct"/>
                  <w:noWrap w:val="0"/>
                  <w:vAlign w:val="center"/>
                </w:tcPr>
                <w:p w14:paraId="54130D2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199" w:type="pct"/>
                  <w:noWrap w:val="0"/>
                  <w:vAlign w:val="center"/>
                </w:tcPr>
                <w:p w14:paraId="7874661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208" w:type="pct"/>
                  <w:noWrap w:val="0"/>
                  <w:vAlign w:val="center"/>
                </w:tcPr>
                <w:p w14:paraId="25EE0D00">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33</w:t>
                  </w:r>
                </w:p>
              </w:tc>
              <w:tc>
                <w:tcPr>
                  <w:tcW w:w="208" w:type="pct"/>
                  <w:shd w:val="clear" w:color="auto" w:fill="auto"/>
                  <w:noWrap w:val="0"/>
                  <w:vAlign w:val="center"/>
                </w:tcPr>
                <w:p w14:paraId="1B832A3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w:t>
                  </w:r>
                </w:p>
              </w:tc>
              <w:tc>
                <w:tcPr>
                  <w:tcW w:w="208" w:type="pct"/>
                  <w:shd w:val="clear" w:color="auto" w:fill="auto"/>
                  <w:noWrap w:val="0"/>
                  <w:vAlign w:val="center"/>
                </w:tcPr>
                <w:p w14:paraId="64F3EE1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214" w:type="pct"/>
                  <w:noWrap w:val="0"/>
                  <w:vAlign w:val="center"/>
                </w:tcPr>
                <w:p w14:paraId="3753218E">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15</w:t>
                  </w:r>
                </w:p>
              </w:tc>
              <w:tc>
                <w:tcPr>
                  <w:tcW w:w="171" w:type="pct"/>
                  <w:noWrap w:val="0"/>
                  <w:vAlign w:val="center"/>
                </w:tcPr>
                <w:p w14:paraId="35320B65">
                  <w:pPr>
                    <w:keepNext w:val="0"/>
                    <w:keepLines w:val="0"/>
                    <w:widowControl/>
                    <w:suppressLineNumbers w:val="0"/>
                    <w:spacing w:before="0" w:beforeAutospacing="0" w:after="0" w:afterAutospacing="0"/>
                    <w:ind w:left="0" w:right="0"/>
                    <w:jc w:val="center"/>
                    <w:textAlignment w:val="center"/>
                    <w:rPr>
                      <w:rFonts w:hint="default" w:eastAsia="宋体"/>
                      <w:bCs/>
                      <w:color w:val="auto"/>
                      <w:sz w:val="21"/>
                      <w:szCs w:val="21"/>
                      <w:lang w:val="en-US" w:eastAsia="zh-CN"/>
                    </w:rPr>
                  </w:pPr>
                  <w:r>
                    <w:rPr>
                      <w:rFonts w:hint="eastAsia"/>
                      <w:bCs/>
                      <w:color w:val="auto"/>
                      <w:sz w:val="21"/>
                      <w:szCs w:val="21"/>
                      <w:lang w:val="en-US" w:eastAsia="zh-CN"/>
                    </w:rPr>
                    <w:t>48.3</w:t>
                  </w:r>
                </w:p>
              </w:tc>
              <w:tc>
                <w:tcPr>
                  <w:tcW w:w="197" w:type="pct"/>
                  <w:noWrap w:val="0"/>
                  <w:vAlign w:val="center"/>
                </w:tcPr>
                <w:p w14:paraId="344591BF">
                  <w:pPr>
                    <w:keepNext w:val="0"/>
                    <w:keepLines w:val="0"/>
                    <w:widowControl/>
                    <w:suppressLineNumbers w:val="0"/>
                    <w:spacing w:before="0" w:beforeAutospacing="0" w:after="0" w:afterAutospacing="0"/>
                    <w:ind w:left="0" w:right="0"/>
                    <w:jc w:val="center"/>
                    <w:textAlignment w:val="center"/>
                    <w:rPr>
                      <w:rFonts w:hint="default" w:eastAsia="宋体"/>
                      <w:bCs/>
                      <w:color w:val="auto"/>
                      <w:sz w:val="21"/>
                      <w:szCs w:val="21"/>
                      <w:lang w:val="en-US" w:eastAsia="zh-CN"/>
                    </w:rPr>
                  </w:pPr>
                  <w:r>
                    <w:rPr>
                      <w:rFonts w:hint="eastAsia"/>
                      <w:bCs/>
                      <w:color w:val="auto"/>
                      <w:sz w:val="21"/>
                      <w:szCs w:val="21"/>
                      <w:lang w:val="en-US" w:eastAsia="zh-CN"/>
                    </w:rPr>
                    <w:t>48.3</w:t>
                  </w:r>
                </w:p>
              </w:tc>
              <w:tc>
                <w:tcPr>
                  <w:tcW w:w="162" w:type="pct"/>
                  <w:noWrap w:val="0"/>
                  <w:vAlign w:val="center"/>
                </w:tcPr>
                <w:p w14:paraId="073A7F8C">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rPr>
                  </w:pPr>
                  <w:r>
                    <w:rPr>
                      <w:rFonts w:hint="eastAsia"/>
                      <w:color w:val="auto"/>
                      <w:kern w:val="0"/>
                      <w:sz w:val="21"/>
                      <w:szCs w:val="21"/>
                      <w:lang w:val="en-US" w:eastAsia="zh-CN"/>
                    </w:rPr>
                    <w:t>50.7</w:t>
                  </w:r>
                </w:p>
              </w:tc>
              <w:tc>
                <w:tcPr>
                  <w:tcW w:w="181" w:type="pct"/>
                  <w:noWrap w:val="0"/>
                  <w:vAlign w:val="center"/>
                </w:tcPr>
                <w:p w14:paraId="713F11DA">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rPr>
                  </w:pPr>
                  <w:r>
                    <w:rPr>
                      <w:rFonts w:hint="eastAsia"/>
                      <w:color w:val="auto"/>
                      <w:kern w:val="0"/>
                      <w:sz w:val="21"/>
                      <w:szCs w:val="21"/>
                      <w:lang w:val="en-US" w:eastAsia="zh-CN"/>
                    </w:rPr>
                    <w:t>48.8</w:t>
                  </w:r>
                </w:p>
              </w:tc>
              <w:tc>
                <w:tcPr>
                  <w:tcW w:w="237" w:type="pct"/>
                  <w:vMerge w:val="continue"/>
                  <w:noWrap w:val="0"/>
                  <w:vAlign w:val="center"/>
                </w:tcPr>
                <w:p w14:paraId="1C9A784E">
                  <w:pPr>
                    <w:keepNext w:val="0"/>
                    <w:keepLines w:val="0"/>
                    <w:suppressLineNumbers w:val="0"/>
                    <w:spacing w:before="0" w:beforeAutospacing="0" w:after="0" w:afterAutospacing="0"/>
                    <w:ind w:left="0" w:right="0"/>
                    <w:jc w:val="center"/>
                    <w:rPr>
                      <w:rFonts w:hint="default"/>
                      <w:color w:val="auto"/>
                      <w:sz w:val="21"/>
                      <w:szCs w:val="21"/>
                      <w:lang w:val="en-US"/>
                    </w:rPr>
                  </w:pPr>
                </w:p>
              </w:tc>
              <w:tc>
                <w:tcPr>
                  <w:tcW w:w="297" w:type="pct"/>
                  <w:noWrap w:val="0"/>
                  <w:vAlign w:val="center"/>
                </w:tcPr>
                <w:p w14:paraId="5C4FA1CD">
                  <w:pPr>
                    <w:keepNext w:val="0"/>
                    <w:keepLines w:val="0"/>
                    <w:suppressLineNumbers w:val="0"/>
                    <w:autoSpaceDE w:val="0"/>
                    <w:adjustRightInd w:val="0"/>
                    <w:snapToGrid w:val="0"/>
                    <w:spacing w:before="0" w:beforeAutospacing="0" w:after="0" w:afterAutospacing="0"/>
                    <w:ind w:left="0" w:right="0"/>
                    <w:jc w:val="center"/>
                    <w:rPr>
                      <w:bCs/>
                      <w:color w:val="auto"/>
                      <w:sz w:val="21"/>
                      <w:szCs w:val="21"/>
                    </w:rPr>
                  </w:pPr>
                  <w:r>
                    <w:rPr>
                      <w:bCs/>
                      <w:color w:val="auto"/>
                      <w:sz w:val="21"/>
                      <w:szCs w:val="21"/>
                      <w:lang w:bidi="ar"/>
                    </w:rPr>
                    <w:t>20</w:t>
                  </w:r>
                </w:p>
              </w:tc>
              <w:tc>
                <w:tcPr>
                  <w:tcW w:w="178" w:type="pct"/>
                  <w:shd w:val="clear" w:color="auto" w:fill="auto"/>
                  <w:noWrap w:val="0"/>
                  <w:vAlign w:val="center"/>
                </w:tcPr>
                <w:p w14:paraId="33AF1E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33.1</w:t>
                  </w:r>
                </w:p>
              </w:tc>
              <w:tc>
                <w:tcPr>
                  <w:tcW w:w="195" w:type="pct"/>
                  <w:shd w:val="clear" w:color="auto" w:fill="auto"/>
                  <w:noWrap w:val="0"/>
                  <w:vAlign w:val="center"/>
                </w:tcPr>
                <w:p w14:paraId="4C027D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33.1</w:t>
                  </w:r>
                </w:p>
              </w:tc>
              <w:tc>
                <w:tcPr>
                  <w:tcW w:w="196" w:type="pct"/>
                  <w:shd w:val="clear" w:color="auto" w:fill="auto"/>
                  <w:noWrap w:val="0"/>
                  <w:vAlign w:val="center"/>
                </w:tcPr>
                <w:p w14:paraId="35DCB6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35.4</w:t>
                  </w:r>
                </w:p>
              </w:tc>
              <w:tc>
                <w:tcPr>
                  <w:tcW w:w="181" w:type="pct"/>
                  <w:shd w:val="clear" w:color="auto" w:fill="auto"/>
                  <w:noWrap w:val="0"/>
                  <w:vAlign w:val="center"/>
                </w:tcPr>
                <w:p w14:paraId="46BB56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33.6</w:t>
                  </w:r>
                </w:p>
              </w:tc>
              <w:tc>
                <w:tcPr>
                  <w:tcW w:w="224" w:type="pct"/>
                  <w:noWrap w:val="0"/>
                  <w:vAlign w:val="center"/>
                </w:tcPr>
                <w:p w14:paraId="2210253E">
                  <w:pPr>
                    <w:keepNext w:val="0"/>
                    <w:keepLines w:val="0"/>
                    <w:suppressLineNumbers w:val="0"/>
                    <w:autoSpaceDE w:val="0"/>
                    <w:adjustRightInd w:val="0"/>
                    <w:snapToGrid w:val="0"/>
                    <w:spacing w:before="0" w:beforeAutospacing="0" w:after="0" w:afterAutospacing="0"/>
                    <w:ind w:left="0" w:right="0"/>
                    <w:jc w:val="center"/>
                    <w:rPr>
                      <w:bCs/>
                      <w:color w:val="auto"/>
                      <w:sz w:val="21"/>
                      <w:szCs w:val="21"/>
                    </w:rPr>
                  </w:pPr>
                  <w:r>
                    <w:rPr>
                      <w:bCs/>
                      <w:color w:val="auto"/>
                      <w:sz w:val="21"/>
                      <w:szCs w:val="21"/>
                      <w:lang w:bidi="ar"/>
                    </w:rPr>
                    <w:t>1m</w:t>
                  </w:r>
                </w:p>
              </w:tc>
            </w:tr>
            <w:tr w14:paraId="18D4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 w:type="pct"/>
                  <w:noWrap w:val="0"/>
                  <w:vAlign w:val="center"/>
                </w:tcPr>
                <w:p w14:paraId="472A806B">
                  <w:pPr>
                    <w:keepNext w:val="0"/>
                    <w:keepLines w:val="0"/>
                    <w:suppressLineNumbers w:val="0"/>
                    <w:adjustRightInd w:val="0"/>
                    <w:snapToGrid w:val="0"/>
                    <w:spacing w:before="0" w:beforeAutospacing="0" w:after="0" w:afterAutospacing="0"/>
                    <w:ind w:left="0" w:right="0"/>
                    <w:jc w:val="center"/>
                    <w:rPr>
                      <w:rFonts w:hint="eastAsia" w:eastAsia="宋体"/>
                      <w:bCs/>
                      <w:color w:val="auto"/>
                      <w:sz w:val="21"/>
                      <w:szCs w:val="21"/>
                      <w:lang w:eastAsia="zh-CN" w:bidi="ar"/>
                    </w:rPr>
                  </w:pPr>
                  <w:r>
                    <w:rPr>
                      <w:rFonts w:hint="eastAsia"/>
                      <w:bCs/>
                      <w:color w:val="auto"/>
                      <w:sz w:val="21"/>
                      <w:szCs w:val="21"/>
                      <w:lang w:val="en-US" w:eastAsia="zh-CN" w:bidi="ar"/>
                    </w:rPr>
                    <w:t>5</w:t>
                  </w:r>
                </w:p>
              </w:tc>
              <w:tc>
                <w:tcPr>
                  <w:tcW w:w="138" w:type="pct"/>
                  <w:vMerge w:val="continue"/>
                  <w:noWrap w:val="0"/>
                  <w:vAlign w:val="center"/>
                </w:tcPr>
                <w:p w14:paraId="2CA93619">
                  <w:pPr>
                    <w:keepNext w:val="0"/>
                    <w:keepLines w:val="0"/>
                    <w:suppressLineNumbers w:val="0"/>
                    <w:spacing w:before="0" w:beforeAutospacing="0" w:after="0" w:afterAutospacing="0"/>
                    <w:ind w:left="0" w:right="0"/>
                    <w:jc w:val="center"/>
                    <w:rPr>
                      <w:rFonts w:hint="eastAsia"/>
                      <w:color w:val="auto"/>
                      <w:sz w:val="21"/>
                      <w:szCs w:val="21"/>
                    </w:rPr>
                  </w:pPr>
                </w:p>
              </w:tc>
              <w:tc>
                <w:tcPr>
                  <w:tcW w:w="361" w:type="pct"/>
                  <w:shd w:val="clear" w:color="auto" w:fill="auto"/>
                  <w:noWrap w:val="0"/>
                  <w:vAlign w:val="center"/>
                </w:tcPr>
                <w:p w14:paraId="0E66042B">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鞋底料粉碎机</w:t>
                  </w:r>
                </w:p>
              </w:tc>
              <w:tc>
                <w:tcPr>
                  <w:tcW w:w="271" w:type="pct"/>
                  <w:noWrap w:val="0"/>
                  <w:vAlign w:val="center"/>
                </w:tcPr>
                <w:p w14:paraId="4C804F8E">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80</w:t>
                  </w:r>
                </w:p>
              </w:tc>
              <w:tc>
                <w:tcPr>
                  <w:tcW w:w="277" w:type="pct"/>
                  <w:vMerge w:val="continue"/>
                  <w:noWrap w:val="0"/>
                  <w:vAlign w:val="center"/>
                </w:tcPr>
                <w:p w14:paraId="3BFE3E3A">
                  <w:pPr>
                    <w:keepNext w:val="0"/>
                    <w:keepLines w:val="0"/>
                    <w:suppressLineNumbers w:val="0"/>
                    <w:spacing w:before="0" w:beforeAutospacing="0" w:after="0" w:afterAutospacing="0"/>
                    <w:ind w:left="0" w:right="0"/>
                    <w:jc w:val="center"/>
                    <w:rPr>
                      <w:color w:val="auto"/>
                      <w:sz w:val="21"/>
                      <w:szCs w:val="21"/>
                    </w:rPr>
                  </w:pPr>
                </w:p>
              </w:tc>
              <w:tc>
                <w:tcPr>
                  <w:tcW w:w="258" w:type="pct"/>
                  <w:noWrap w:val="0"/>
                  <w:vAlign w:val="center"/>
                </w:tcPr>
                <w:p w14:paraId="4D92518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258" w:type="pct"/>
                  <w:noWrap w:val="0"/>
                  <w:vAlign w:val="center"/>
                </w:tcPr>
                <w:p w14:paraId="6F3DEE4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19</w:t>
                  </w:r>
                </w:p>
              </w:tc>
              <w:tc>
                <w:tcPr>
                  <w:tcW w:w="199" w:type="pct"/>
                  <w:noWrap w:val="0"/>
                  <w:vAlign w:val="center"/>
                </w:tcPr>
                <w:p w14:paraId="5FDCC9C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208" w:type="pct"/>
                  <w:noWrap w:val="0"/>
                  <w:vAlign w:val="center"/>
                </w:tcPr>
                <w:p w14:paraId="7311F5E1">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26</w:t>
                  </w:r>
                </w:p>
              </w:tc>
              <w:tc>
                <w:tcPr>
                  <w:tcW w:w="208" w:type="pct"/>
                  <w:shd w:val="clear" w:color="auto" w:fill="auto"/>
                  <w:noWrap w:val="0"/>
                  <w:vAlign w:val="center"/>
                </w:tcPr>
                <w:p w14:paraId="4A2E832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208" w:type="pct"/>
                  <w:shd w:val="clear" w:color="auto" w:fill="auto"/>
                  <w:noWrap w:val="0"/>
                  <w:vAlign w:val="center"/>
                </w:tcPr>
                <w:p w14:paraId="1284AEC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19</w:t>
                  </w:r>
                </w:p>
              </w:tc>
              <w:tc>
                <w:tcPr>
                  <w:tcW w:w="214" w:type="pct"/>
                  <w:noWrap w:val="0"/>
                  <w:vAlign w:val="center"/>
                </w:tcPr>
                <w:p w14:paraId="5567393D">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3</w:t>
                  </w:r>
                </w:p>
              </w:tc>
              <w:tc>
                <w:tcPr>
                  <w:tcW w:w="171" w:type="pct"/>
                  <w:noWrap w:val="0"/>
                  <w:vAlign w:val="center"/>
                </w:tcPr>
                <w:p w14:paraId="7E91C889">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53.4</w:t>
                  </w:r>
                </w:p>
              </w:tc>
              <w:tc>
                <w:tcPr>
                  <w:tcW w:w="197" w:type="pct"/>
                  <w:noWrap w:val="0"/>
                  <w:vAlign w:val="center"/>
                </w:tcPr>
                <w:p w14:paraId="17BA093C">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53.3</w:t>
                  </w:r>
                </w:p>
              </w:tc>
              <w:tc>
                <w:tcPr>
                  <w:tcW w:w="162" w:type="pct"/>
                  <w:noWrap w:val="0"/>
                  <w:vAlign w:val="center"/>
                </w:tcPr>
                <w:p w14:paraId="1B42FA4A">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53.6</w:t>
                  </w:r>
                </w:p>
              </w:tc>
              <w:tc>
                <w:tcPr>
                  <w:tcW w:w="181" w:type="pct"/>
                  <w:noWrap w:val="0"/>
                  <w:vAlign w:val="center"/>
                </w:tcPr>
                <w:p w14:paraId="588BD955">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60.4</w:t>
                  </w:r>
                </w:p>
              </w:tc>
              <w:tc>
                <w:tcPr>
                  <w:tcW w:w="237" w:type="pct"/>
                  <w:vMerge w:val="continue"/>
                  <w:noWrap w:val="0"/>
                  <w:vAlign w:val="center"/>
                </w:tcPr>
                <w:p w14:paraId="34DD5081">
                  <w:pPr>
                    <w:keepNext w:val="0"/>
                    <w:keepLines w:val="0"/>
                    <w:suppressLineNumbers w:val="0"/>
                    <w:spacing w:before="0" w:beforeAutospacing="0" w:after="0" w:afterAutospacing="0"/>
                    <w:ind w:left="0" w:right="0"/>
                    <w:jc w:val="center"/>
                    <w:rPr>
                      <w:color w:val="auto"/>
                      <w:sz w:val="21"/>
                      <w:szCs w:val="21"/>
                    </w:rPr>
                  </w:pPr>
                </w:p>
              </w:tc>
              <w:tc>
                <w:tcPr>
                  <w:tcW w:w="297" w:type="pct"/>
                  <w:noWrap w:val="0"/>
                  <w:vAlign w:val="center"/>
                </w:tcPr>
                <w:p w14:paraId="76BCCCEB">
                  <w:pPr>
                    <w:keepNext w:val="0"/>
                    <w:keepLines w:val="0"/>
                    <w:suppressLineNumbers w:val="0"/>
                    <w:autoSpaceDE w:val="0"/>
                    <w:adjustRightInd w:val="0"/>
                    <w:snapToGrid w:val="0"/>
                    <w:spacing w:before="0" w:beforeAutospacing="0" w:after="0" w:afterAutospacing="0"/>
                    <w:ind w:left="0" w:right="0"/>
                    <w:jc w:val="center"/>
                    <w:rPr>
                      <w:bCs/>
                      <w:color w:val="auto"/>
                      <w:sz w:val="21"/>
                      <w:szCs w:val="21"/>
                    </w:rPr>
                  </w:pPr>
                  <w:r>
                    <w:rPr>
                      <w:bCs/>
                      <w:color w:val="auto"/>
                      <w:sz w:val="21"/>
                      <w:szCs w:val="21"/>
                      <w:lang w:bidi="ar"/>
                    </w:rPr>
                    <w:t>20</w:t>
                  </w:r>
                </w:p>
              </w:tc>
              <w:tc>
                <w:tcPr>
                  <w:tcW w:w="178" w:type="pct"/>
                  <w:shd w:val="clear" w:color="auto" w:fill="auto"/>
                  <w:noWrap w:val="0"/>
                  <w:vAlign w:val="center"/>
                </w:tcPr>
                <w:p w14:paraId="79DC44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38.2</w:t>
                  </w:r>
                </w:p>
              </w:tc>
              <w:tc>
                <w:tcPr>
                  <w:tcW w:w="195" w:type="pct"/>
                  <w:shd w:val="clear" w:color="auto" w:fill="auto"/>
                  <w:noWrap w:val="0"/>
                  <w:vAlign w:val="center"/>
                </w:tcPr>
                <w:p w14:paraId="065BE1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38</w:t>
                  </w:r>
                </w:p>
              </w:tc>
              <w:tc>
                <w:tcPr>
                  <w:tcW w:w="196" w:type="pct"/>
                  <w:shd w:val="clear" w:color="auto" w:fill="auto"/>
                  <w:noWrap w:val="0"/>
                  <w:vAlign w:val="center"/>
                </w:tcPr>
                <w:p w14:paraId="3A234D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38.4</w:t>
                  </w:r>
                </w:p>
              </w:tc>
              <w:tc>
                <w:tcPr>
                  <w:tcW w:w="181" w:type="pct"/>
                  <w:shd w:val="clear" w:color="auto" w:fill="auto"/>
                  <w:noWrap w:val="0"/>
                  <w:vAlign w:val="center"/>
                </w:tcPr>
                <w:p w14:paraId="07F302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45.2</w:t>
                  </w:r>
                </w:p>
              </w:tc>
              <w:tc>
                <w:tcPr>
                  <w:tcW w:w="224" w:type="pct"/>
                  <w:noWrap w:val="0"/>
                  <w:vAlign w:val="center"/>
                </w:tcPr>
                <w:p w14:paraId="2A62692F">
                  <w:pPr>
                    <w:keepNext w:val="0"/>
                    <w:keepLines w:val="0"/>
                    <w:suppressLineNumbers w:val="0"/>
                    <w:autoSpaceDE w:val="0"/>
                    <w:adjustRightInd w:val="0"/>
                    <w:snapToGrid w:val="0"/>
                    <w:spacing w:before="0" w:beforeAutospacing="0" w:after="0" w:afterAutospacing="0"/>
                    <w:ind w:left="0" w:right="0"/>
                    <w:jc w:val="center"/>
                    <w:rPr>
                      <w:bCs/>
                      <w:color w:val="auto"/>
                      <w:sz w:val="21"/>
                      <w:szCs w:val="21"/>
                    </w:rPr>
                  </w:pPr>
                  <w:r>
                    <w:rPr>
                      <w:bCs/>
                      <w:color w:val="auto"/>
                      <w:sz w:val="21"/>
                      <w:szCs w:val="21"/>
                      <w:lang w:bidi="ar"/>
                    </w:rPr>
                    <w:t>1m</w:t>
                  </w:r>
                </w:p>
              </w:tc>
            </w:tr>
            <w:tr w14:paraId="507C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 w:type="pct"/>
                  <w:noWrap w:val="0"/>
                  <w:vAlign w:val="center"/>
                </w:tcPr>
                <w:p w14:paraId="1D8D13A1">
                  <w:pPr>
                    <w:keepNext w:val="0"/>
                    <w:keepLines w:val="0"/>
                    <w:suppressLineNumbers w:val="0"/>
                    <w:adjustRightInd w:val="0"/>
                    <w:snapToGrid w:val="0"/>
                    <w:spacing w:before="0" w:beforeAutospacing="0" w:after="0" w:afterAutospacing="0"/>
                    <w:ind w:left="0" w:right="0"/>
                    <w:jc w:val="center"/>
                    <w:rPr>
                      <w:rFonts w:hint="eastAsia" w:eastAsia="宋体"/>
                      <w:bCs/>
                      <w:color w:val="auto"/>
                      <w:sz w:val="21"/>
                      <w:szCs w:val="21"/>
                      <w:lang w:val="en-US" w:eastAsia="zh-CN" w:bidi="ar"/>
                    </w:rPr>
                  </w:pPr>
                  <w:r>
                    <w:rPr>
                      <w:rFonts w:hint="eastAsia"/>
                      <w:bCs/>
                      <w:color w:val="auto"/>
                      <w:sz w:val="21"/>
                      <w:szCs w:val="21"/>
                      <w:lang w:val="en-US" w:eastAsia="zh-CN" w:bidi="ar"/>
                    </w:rPr>
                    <w:t>6</w:t>
                  </w:r>
                </w:p>
              </w:tc>
              <w:tc>
                <w:tcPr>
                  <w:tcW w:w="138" w:type="pct"/>
                  <w:vMerge w:val="continue"/>
                  <w:noWrap w:val="0"/>
                  <w:vAlign w:val="center"/>
                </w:tcPr>
                <w:p w14:paraId="7DC3DAA1">
                  <w:pPr>
                    <w:keepNext w:val="0"/>
                    <w:keepLines w:val="0"/>
                    <w:suppressLineNumbers w:val="0"/>
                    <w:spacing w:before="0" w:beforeAutospacing="0" w:after="0" w:afterAutospacing="0"/>
                    <w:ind w:left="0" w:right="0"/>
                    <w:jc w:val="center"/>
                    <w:rPr>
                      <w:rFonts w:hint="eastAsia"/>
                      <w:color w:val="auto"/>
                      <w:sz w:val="21"/>
                      <w:szCs w:val="21"/>
                    </w:rPr>
                  </w:pPr>
                </w:p>
              </w:tc>
              <w:tc>
                <w:tcPr>
                  <w:tcW w:w="361" w:type="pct"/>
                  <w:shd w:val="clear" w:color="auto" w:fill="auto"/>
                  <w:noWrap w:val="0"/>
                  <w:vAlign w:val="center"/>
                </w:tcPr>
                <w:p w14:paraId="5FF47951">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全自动聚氨酯鞋底浇注机</w:t>
                  </w:r>
                </w:p>
              </w:tc>
              <w:tc>
                <w:tcPr>
                  <w:tcW w:w="271" w:type="pct"/>
                  <w:noWrap w:val="0"/>
                  <w:vAlign w:val="center"/>
                </w:tcPr>
                <w:p w14:paraId="6C8B2673">
                  <w:pPr>
                    <w:keepNext w:val="0"/>
                    <w:keepLines w:val="0"/>
                    <w:suppressLineNumbers w:val="0"/>
                    <w:spacing w:before="0" w:beforeAutospacing="0" w:after="0" w:afterAutospacing="0" w:line="240" w:lineRule="auto"/>
                    <w:ind w:left="0" w:leftChars="0" w:right="0" w:rightChars="0"/>
                    <w:jc w:val="center"/>
                    <w:rPr>
                      <w:rFonts w:hint="default"/>
                      <w:color w:val="auto"/>
                      <w:sz w:val="21"/>
                      <w:szCs w:val="21"/>
                      <w:lang w:val="en-US" w:eastAsia="zh-CN"/>
                    </w:rPr>
                  </w:pPr>
                  <w:r>
                    <w:rPr>
                      <w:rFonts w:hint="eastAsia"/>
                      <w:color w:val="auto"/>
                      <w:sz w:val="21"/>
                      <w:szCs w:val="21"/>
                      <w:lang w:val="en-US" w:eastAsia="zh-CN"/>
                    </w:rPr>
                    <w:t>70</w:t>
                  </w:r>
                </w:p>
              </w:tc>
              <w:tc>
                <w:tcPr>
                  <w:tcW w:w="277" w:type="pct"/>
                  <w:vMerge w:val="continue"/>
                  <w:noWrap w:val="0"/>
                  <w:vAlign w:val="center"/>
                </w:tcPr>
                <w:p w14:paraId="11555FD8">
                  <w:pPr>
                    <w:keepNext w:val="0"/>
                    <w:keepLines w:val="0"/>
                    <w:suppressLineNumbers w:val="0"/>
                    <w:spacing w:before="0" w:beforeAutospacing="0" w:after="0" w:afterAutospacing="0"/>
                    <w:ind w:left="0" w:right="0"/>
                    <w:jc w:val="center"/>
                    <w:rPr>
                      <w:color w:val="auto"/>
                      <w:sz w:val="21"/>
                      <w:szCs w:val="21"/>
                    </w:rPr>
                  </w:pPr>
                </w:p>
              </w:tc>
              <w:tc>
                <w:tcPr>
                  <w:tcW w:w="258" w:type="pct"/>
                  <w:shd w:val="clear" w:color="auto" w:fill="auto"/>
                  <w:noWrap w:val="0"/>
                  <w:vAlign w:val="center"/>
                </w:tcPr>
                <w:p w14:paraId="0003675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258" w:type="pct"/>
                  <w:shd w:val="clear" w:color="auto" w:fill="auto"/>
                  <w:noWrap w:val="0"/>
                  <w:vAlign w:val="center"/>
                </w:tcPr>
                <w:p w14:paraId="21A8FF9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199" w:type="pct"/>
                  <w:shd w:val="clear" w:color="auto" w:fill="auto"/>
                  <w:noWrap w:val="0"/>
                  <w:vAlign w:val="center"/>
                </w:tcPr>
                <w:p w14:paraId="6C57183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208" w:type="pct"/>
                  <w:noWrap w:val="0"/>
                  <w:vAlign w:val="center"/>
                </w:tcPr>
                <w:p w14:paraId="5A3ABBF6">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61</w:t>
                  </w:r>
                </w:p>
              </w:tc>
              <w:tc>
                <w:tcPr>
                  <w:tcW w:w="208" w:type="pct"/>
                  <w:shd w:val="clear" w:color="auto" w:fill="auto"/>
                  <w:noWrap w:val="0"/>
                  <w:vAlign w:val="center"/>
                </w:tcPr>
                <w:p w14:paraId="05D2D34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208" w:type="pct"/>
                  <w:shd w:val="clear" w:color="auto" w:fill="auto"/>
                  <w:noWrap w:val="0"/>
                  <w:vAlign w:val="center"/>
                </w:tcPr>
                <w:p w14:paraId="5881B7A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214" w:type="pct"/>
                  <w:noWrap w:val="0"/>
                  <w:vAlign w:val="center"/>
                </w:tcPr>
                <w:p w14:paraId="060DE87B">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10</w:t>
                  </w:r>
                </w:p>
              </w:tc>
              <w:tc>
                <w:tcPr>
                  <w:tcW w:w="171" w:type="pct"/>
                  <w:noWrap w:val="0"/>
                  <w:vAlign w:val="center"/>
                </w:tcPr>
                <w:p w14:paraId="3B26C31E">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43.2</w:t>
                  </w:r>
                </w:p>
              </w:tc>
              <w:tc>
                <w:tcPr>
                  <w:tcW w:w="197" w:type="pct"/>
                  <w:noWrap w:val="0"/>
                  <w:vAlign w:val="center"/>
                </w:tcPr>
                <w:p w14:paraId="4A2EE7B3">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47.2</w:t>
                  </w:r>
                </w:p>
              </w:tc>
              <w:tc>
                <w:tcPr>
                  <w:tcW w:w="162" w:type="pct"/>
                  <w:noWrap w:val="0"/>
                  <w:vAlign w:val="center"/>
                </w:tcPr>
                <w:p w14:paraId="5D16EF2C">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44.2</w:t>
                  </w:r>
                </w:p>
              </w:tc>
              <w:tc>
                <w:tcPr>
                  <w:tcW w:w="181" w:type="pct"/>
                  <w:noWrap w:val="0"/>
                  <w:vAlign w:val="center"/>
                </w:tcPr>
                <w:p w14:paraId="373AA2A5">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44.6</w:t>
                  </w:r>
                </w:p>
              </w:tc>
              <w:tc>
                <w:tcPr>
                  <w:tcW w:w="237" w:type="pct"/>
                  <w:vMerge w:val="continue"/>
                  <w:noWrap w:val="0"/>
                  <w:vAlign w:val="center"/>
                </w:tcPr>
                <w:p w14:paraId="7FFC6662">
                  <w:pPr>
                    <w:keepNext w:val="0"/>
                    <w:keepLines w:val="0"/>
                    <w:suppressLineNumbers w:val="0"/>
                    <w:spacing w:before="0" w:beforeAutospacing="0" w:after="0" w:afterAutospacing="0"/>
                    <w:ind w:left="0" w:right="0"/>
                    <w:jc w:val="center"/>
                    <w:rPr>
                      <w:color w:val="auto"/>
                      <w:sz w:val="21"/>
                      <w:szCs w:val="21"/>
                    </w:rPr>
                  </w:pPr>
                </w:p>
              </w:tc>
              <w:tc>
                <w:tcPr>
                  <w:tcW w:w="297" w:type="pct"/>
                  <w:noWrap w:val="0"/>
                  <w:vAlign w:val="center"/>
                </w:tcPr>
                <w:p w14:paraId="39C71B8E">
                  <w:pPr>
                    <w:keepNext w:val="0"/>
                    <w:keepLines w:val="0"/>
                    <w:suppressLineNumbers w:val="0"/>
                    <w:autoSpaceDE w:val="0"/>
                    <w:adjustRightInd w:val="0"/>
                    <w:snapToGrid w:val="0"/>
                    <w:spacing w:before="0" w:beforeAutospacing="0" w:after="0" w:afterAutospacing="0"/>
                    <w:ind w:left="0" w:right="0"/>
                    <w:jc w:val="center"/>
                    <w:rPr>
                      <w:rFonts w:hint="default" w:eastAsia="宋体"/>
                      <w:bCs/>
                      <w:color w:val="auto"/>
                      <w:sz w:val="21"/>
                      <w:szCs w:val="21"/>
                      <w:lang w:val="en-US" w:eastAsia="zh-CN" w:bidi="ar"/>
                    </w:rPr>
                  </w:pPr>
                  <w:r>
                    <w:rPr>
                      <w:rFonts w:hint="eastAsia"/>
                      <w:bCs/>
                      <w:color w:val="auto"/>
                      <w:sz w:val="21"/>
                      <w:szCs w:val="21"/>
                      <w:lang w:val="en-US" w:eastAsia="zh-CN" w:bidi="ar"/>
                    </w:rPr>
                    <w:t>20</w:t>
                  </w:r>
                </w:p>
              </w:tc>
              <w:tc>
                <w:tcPr>
                  <w:tcW w:w="178" w:type="pct"/>
                  <w:shd w:val="clear" w:color="auto" w:fill="auto"/>
                  <w:noWrap w:val="0"/>
                  <w:vAlign w:val="center"/>
                </w:tcPr>
                <w:p w14:paraId="41568B3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28</w:t>
                  </w:r>
                </w:p>
              </w:tc>
              <w:tc>
                <w:tcPr>
                  <w:tcW w:w="195" w:type="pct"/>
                  <w:shd w:val="clear" w:color="auto" w:fill="auto"/>
                  <w:noWrap w:val="0"/>
                  <w:vAlign w:val="center"/>
                </w:tcPr>
                <w:p w14:paraId="1C22FD2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32</w:t>
                  </w:r>
                </w:p>
              </w:tc>
              <w:tc>
                <w:tcPr>
                  <w:tcW w:w="196" w:type="pct"/>
                  <w:shd w:val="clear" w:color="auto" w:fill="auto"/>
                  <w:noWrap w:val="0"/>
                  <w:vAlign w:val="center"/>
                </w:tcPr>
                <w:p w14:paraId="2E23CCD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29</w:t>
                  </w:r>
                </w:p>
              </w:tc>
              <w:tc>
                <w:tcPr>
                  <w:tcW w:w="181" w:type="pct"/>
                  <w:shd w:val="clear" w:color="auto" w:fill="auto"/>
                  <w:noWrap w:val="0"/>
                  <w:vAlign w:val="center"/>
                </w:tcPr>
                <w:p w14:paraId="62BE645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29.3</w:t>
                  </w:r>
                </w:p>
              </w:tc>
              <w:tc>
                <w:tcPr>
                  <w:tcW w:w="224" w:type="pct"/>
                  <w:noWrap w:val="0"/>
                  <w:vAlign w:val="center"/>
                </w:tcPr>
                <w:p w14:paraId="680EFD34">
                  <w:pPr>
                    <w:keepNext w:val="0"/>
                    <w:keepLines w:val="0"/>
                    <w:suppressLineNumbers w:val="0"/>
                    <w:autoSpaceDE w:val="0"/>
                    <w:adjustRightInd w:val="0"/>
                    <w:snapToGrid w:val="0"/>
                    <w:spacing w:before="0" w:beforeAutospacing="0" w:after="0" w:afterAutospacing="0"/>
                    <w:ind w:left="0" w:right="0"/>
                    <w:jc w:val="center"/>
                    <w:rPr>
                      <w:bCs/>
                      <w:color w:val="auto"/>
                      <w:sz w:val="21"/>
                      <w:szCs w:val="21"/>
                      <w:lang w:bidi="ar"/>
                    </w:rPr>
                  </w:pPr>
                  <w:r>
                    <w:rPr>
                      <w:bCs/>
                      <w:color w:val="auto"/>
                      <w:sz w:val="21"/>
                      <w:szCs w:val="21"/>
                      <w:lang w:bidi="ar"/>
                    </w:rPr>
                    <w:t>1m</w:t>
                  </w:r>
                </w:p>
              </w:tc>
            </w:tr>
            <w:tr w14:paraId="3718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 w:type="pct"/>
                  <w:noWrap w:val="0"/>
                  <w:vAlign w:val="center"/>
                </w:tcPr>
                <w:p w14:paraId="08C6F586">
                  <w:pPr>
                    <w:keepNext w:val="0"/>
                    <w:keepLines w:val="0"/>
                    <w:suppressLineNumbers w:val="0"/>
                    <w:adjustRightInd w:val="0"/>
                    <w:snapToGrid w:val="0"/>
                    <w:spacing w:before="0" w:beforeAutospacing="0" w:after="0" w:afterAutospacing="0"/>
                    <w:ind w:left="0" w:right="0"/>
                    <w:jc w:val="center"/>
                    <w:rPr>
                      <w:rFonts w:hint="eastAsia" w:eastAsia="宋体"/>
                      <w:bCs/>
                      <w:color w:val="auto"/>
                      <w:sz w:val="21"/>
                      <w:szCs w:val="21"/>
                      <w:lang w:val="en-US" w:eastAsia="zh-CN" w:bidi="ar"/>
                    </w:rPr>
                  </w:pPr>
                  <w:r>
                    <w:rPr>
                      <w:rFonts w:hint="eastAsia"/>
                      <w:bCs/>
                      <w:color w:val="auto"/>
                      <w:sz w:val="21"/>
                      <w:szCs w:val="21"/>
                      <w:lang w:val="en-US" w:eastAsia="zh-CN" w:bidi="ar"/>
                    </w:rPr>
                    <w:t>7</w:t>
                  </w:r>
                </w:p>
              </w:tc>
              <w:tc>
                <w:tcPr>
                  <w:tcW w:w="138" w:type="pct"/>
                  <w:vMerge w:val="continue"/>
                  <w:noWrap w:val="0"/>
                  <w:vAlign w:val="center"/>
                </w:tcPr>
                <w:p w14:paraId="4A6D7243">
                  <w:pPr>
                    <w:keepNext w:val="0"/>
                    <w:keepLines w:val="0"/>
                    <w:suppressLineNumbers w:val="0"/>
                    <w:spacing w:before="0" w:beforeAutospacing="0" w:after="0" w:afterAutospacing="0"/>
                    <w:ind w:left="0" w:right="0"/>
                    <w:jc w:val="center"/>
                    <w:rPr>
                      <w:rFonts w:hint="default" w:eastAsia="宋体"/>
                      <w:color w:val="auto"/>
                      <w:sz w:val="21"/>
                      <w:szCs w:val="21"/>
                      <w:lang w:val="en-US" w:eastAsia="zh-CN"/>
                    </w:rPr>
                  </w:pPr>
                </w:p>
              </w:tc>
              <w:tc>
                <w:tcPr>
                  <w:tcW w:w="361" w:type="pct"/>
                  <w:shd w:val="clear" w:color="auto" w:fill="auto"/>
                  <w:noWrap w:val="0"/>
                  <w:vAlign w:val="center"/>
                </w:tcPr>
                <w:p w14:paraId="3C73A8A1">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空压机</w:t>
                  </w:r>
                </w:p>
              </w:tc>
              <w:tc>
                <w:tcPr>
                  <w:tcW w:w="271" w:type="pct"/>
                  <w:noWrap w:val="0"/>
                  <w:vAlign w:val="center"/>
                </w:tcPr>
                <w:p w14:paraId="46360009">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80</w:t>
                  </w:r>
                </w:p>
              </w:tc>
              <w:tc>
                <w:tcPr>
                  <w:tcW w:w="277" w:type="pct"/>
                  <w:vMerge w:val="continue"/>
                  <w:noWrap w:val="0"/>
                  <w:vAlign w:val="center"/>
                </w:tcPr>
                <w:p w14:paraId="09EECD32">
                  <w:pPr>
                    <w:keepNext w:val="0"/>
                    <w:keepLines w:val="0"/>
                    <w:suppressLineNumbers w:val="0"/>
                    <w:spacing w:before="0" w:beforeAutospacing="0" w:after="0" w:afterAutospacing="0"/>
                    <w:ind w:left="0" w:right="0"/>
                    <w:jc w:val="center"/>
                    <w:rPr>
                      <w:color w:val="auto"/>
                      <w:sz w:val="21"/>
                      <w:szCs w:val="21"/>
                    </w:rPr>
                  </w:pPr>
                </w:p>
              </w:tc>
              <w:tc>
                <w:tcPr>
                  <w:tcW w:w="258" w:type="pct"/>
                  <w:noWrap w:val="0"/>
                  <w:vAlign w:val="center"/>
                </w:tcPr>
                <w:p w14:paraId="35EAEC2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258" w:type="pct"/>
                  <w:noWrap w:val="0"/>
                  <w:vAlign w:val="center"/>
                </w:tcPr>
                <w:p w14:paraId="4701B6C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199" w:type="pct"/>
                  <w:noWrap w:val="0"/>
                  <w:vAlign w:val="center"/>
                </w:tcPr>
                <w:p w14:paraId="2E6C194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208" w:type="pct"/>
                  <w:noWrap w:val="0"/>
                  <w:vAlign w:val="center"/>
                </w:tcPr>
                <w:p w14:paraId="346774C9">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58</w:t>
                  </w:r>
                </w:p>
              </w:tc>
              <w:tc>
                <w:tcPr>
                  <w:tcW w:w="208" w:type="pct"/>
                  <w:shd w:val="clear" w:color="auto" w:fill="auto"/>
                  <w:noWrap w:val="0"/>
                  <w:vAlign w:val="center"/>
                </w:tcPr>
                <w:p w14:paraId="7926725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208" w:type="pct"/>
                  <w:shd w:val="clear" w:color="auto" w:fill="auto"/>
                  <w:noWrap w:val="0"/>
                  <w:vAlign w:val="center"/>
                </w:tcPr>
                <w:p w14:paraId="3C5179E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214" w:type="pct"/>
                  <w:noWrap w:val="0"/>
                  <w:vAlign w:val="center"/>
                </w:tcPr>
                <w:p w14:paraId="78F8A84B">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10</w:t>
                  </w:r>
                </w:p>
              </w:tc>
              <w:tc>
                <w:tcPr>
                  <w:tcW w:w="171" w:type="pct"/>
                  <w:noWrap w:val="0"/>
                  <w:vAlign w:val="center"/>
                </w:tcPr>
                <w:p w14:paraId="74E217D8">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53.2</w:t>
                  </w:r>
                </w:p>
              </w:tc>
              <w:tc>
                <w:tcPr>
                  <w:tcW w:w="197" w:type="pct"/>
                  <w:noWrap w:val="0"/>
                  <w:vAlign w:val="center"/>
                </w:tcPr>
                <w:p w14:paraId="1F59F89A">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55.2</w:t>
                  </w:r>
                </w:p>
              </w:tc>
              <w:tc>
                <w:tcPr>
                  <w:tcW w:w="162" w:type="pct"/>
                  <w:noWrap w:val="0"/>
                  <w:vAlign w:val="center"/>
                </w:tcPr>
                <w:p w14:paraId="49CB290F">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54.2</w:t>
                  </w:r>
                </w:p>
              </w:tc>
              <w:tc>
                <w:tcPr>
                  <w:tcW w:w="181" w:type="pct"/>
                  <w:noWrap w:val="0"/>
                  <w:vAlign w:val="center"/>
                </w:tcPr>
                <w:p w14:paraId="00EE0117">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54.6</w:t>
                  </w:r>
                </w:p>
              </w:tc>
              <w:tc>
                <w:tcPr>
                  <w:tcW w:w="237" w:type="pct"/>
                  <w:vMerge w:val="continue"/>
                  <w:noWrap w:val="0"/>
                  <w:vAlign w:val="center"/>
                </w:tcPr>
                <w:p w14:paraId="0E999F49">
                  <w:pPr>
                    <w:keepNext w:val="0"/>
                    <w:keepLines w:val="0"/>
                    <w:suppressLineNumbers w:val="0"/>
                    <w:spacing w:before="0" w:beforeAutospacing="0" w:after="0" w:afterAutospacing="0"/>
                    <w:ind w:left="0" w:right="0"/>
                    <w:jc w:val="center"/>
                    <w:rPr>
                      <w:color w:val="auto"/>
                      <w:sz w:val="21"/>
                      <w:szCs w:val="21"/>
                    </w:rPr>
                  </w:pPr>
                </w:p>
              </w:tc>
              <w:tc>
                <w:tcPr>
                  <w:tcW w:w="297" w:type="pct"/>
                  <w:noWrap w:val="0"/>
                  <w:vAlign w:val="center"/>
                </w:tcPr>
                <w:p w14:paraId="2E5C8605">
                  <w:pPr>
                    <w:keepNext w:val="0"/>
                    <w:keepLines w:val="0"/>
                    <w:suppressLineNumbers w:val="0"/>
                    <w:autoSpaceDE w:val="0"/>
                    <w:adjustRightInd w:val="0"/>
                    <w:snapToGrid w:val="0"/>
                    <w:spacing w:before="0" w:beforeAutospacing="0" w:after="0" w:afterAutospacing="0"/>
                    <w:ind w:left="0" w:right="0"/>
                    <w:jc w:val="center"/>
                    <w:rPr>
                      <w:rFonts w:hint="default" w:eastAsia="宋体"/>
                      <w:bCs/>
                      <w:color w:val="auto"/>
                      <w:sz w:val="21"/>
                      <w:szCs w:val="21"/>
                      <w:lang w:val="en-US" w:eastAsia="zh-CN" w:bidi="ar"/>
                    </w:rPr>
                  </w:pPr>
                  <w:r>
                    <w:rPr>
                      <w:rFonts w:hint="eastAsia"/>
                      <w:bCs/>
                      <w:color w:val="auto"/>
                      <w:sz w:val="21"/>
                      <w:szCs w:val="21"/>
                      <w:lang w:val="en-US" w:eastAsia="zh-CN" w:bidi="ar"/>
                    </w:rPr>
                    <w:t>20</w:t>
                  </w:r>
                </w:p>
              </w:tc>
              <w:tc>
                <w:tcPr>
                  <w:tcW w:w="178" w:type="pct"/>
                  <w:shd w:val="clear" w:color="auto" w:fill="auto"/>
                  <w:noWrap w:val="0"/>
                  <w:vAlign w:val="center"/>
                </w:tcPr>
                <w:p w14:paraId="2C6AA06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38</w:t>
                  </w:r>
                </w:p>
              </w:tc>
              <w:tc>
                <w:tcPr>
                  <w:tcW w:w="195" w:type="pct"/>
                  <w:shd w:val="clear" w:color="auto" w:fill="auto"/>
                  <w:noWrap w:val="0"/>
                  <w:vAlign w:val="center"/>
                </w:tcPr>
                <w:p w14:paraId="1F15D3C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40</w:t>
                  </w:r>
                </w:p>
              </w:tc>
              <w:tc>
                <w:tcPr>
                  <w:tcW w:w="196" w:type="pct"/>
                  <w:shd w:val="clear" w:color="auto" w:fill="auto"/>
                  <w:noWrap w:val="0"/>
                  <w:vAlign w:val="center"/>
                </w:tcPr>
                <w:p w14:paraId="457A684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39</w:t>
                  </w:r>
                </w:p>
              </w:tc>
              <w:tc>
                <w:tcPr>
                  <w:tcW w:w="181" w:type="pct"/>
                  <w:shd w:val="clear" w:color="auto" w:fill="auto"/>
                  <w:noWrap w:val="0"/>
                  <w:vAlign w:val="center"/>
                </w:tcPr>
                <w:p w14:paraId="18D3D8D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39.3</w:t>
                  </w:r>
                </w:p>
              </w:tc>
              <w:tc>
                <w:tcPr>
                  <w:tcW w:w="224" w:type="pct"/>
                  <w:noWrap w:val="0"/>
                  <w:vAlign w:val="center"/>
                </w:tcPr>
                <w:p w14:paraId="1EE2ED91">
                  <w:pPr>
                    <w:keepNext w:val="0"/>
                    <w:keepLines w:val="0"/>
                    <w:suppressLineNumbers w:val="0"/>
                    <w:autoSpaceDE w:val="0"/>
                    <w:adjustRightInd w:val="0"/>
                    <w:snapToGrid w:val="0"/>
                    <w:spacing w:before="0" w:beforeAutospacing="0" w:after="0" w:afterAutospacing="0"/>
                    <w:ind w:left="0" w:right="0"/>
                    <w:jc w:val="center"/>
                    <w:rPr>
                      <w:bCs/>
                      <w:color w:val="auto"/>
                      <w:sz w:val="21"/>
                      <w:szCs w:val="21"/>
                      <w:lang w:bidi="ar"/>
                    </w:rPr>
                  </w:pPr>
                  <w:r>
                    <w:rPr>
                      <w:bCs/>
                      <w:color w:val="auto"/>
                      <w:sz w:val="21"/>
                      <w:szCs w:val="21"/>
                      <w:lang w:bidi="ar"/>
                    </w:rPr>
                    <w:t>1m</w:t>
                  </w:r>
                </w:p>
              </w:tc>
            </w:tr>
            <w:tr w14:paraId="783B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 w:type="pct"/>
                  <w:noWrap w:val="0"/>
                  <w:vAlign w:val="center"/>
                </w:tcPr>
                <w:p w14:paraId="6C359BB6">
                  <w:pPr>
                    <w:keepNext w:val="0"/>
                    <w:keepLines w:val="0"/>
                    <w:suppressLineNumbers w:val="0"/>
                    <w:adjustRightInd w:val="0"/>
                    <w:snapToGrid w:val="0"/>
                    <w:spacing w:before="0" w:beforeAutospacing="0" w:after="0" w:afterAutospacing="0"/>
                    <w:ind w:left="0" w:right="0"/>
                    <w:jc w:val="center"/>
                    <w:rPr>
                      <w:rFonts w:hint="default"/>
                      <w:bCs/>
                      <w:color w:val="auto"/>
                      <w:sz w:val="21"/>
                      <w:szCs w:val="21"/>
                      <w:lang w:val="en-US" w:eastAsia="zh-CN" w:bidi="ar"/>
                    </w:rPr>
                  </w:pPr>
                  <w:r>
                    <w:rPr>
                      <w:rFonts w:hint="eastAsia"/>
                      <w:bCs/>
                      <w:color w:val="auto"/>
                      <w:sz w:val="21"/>
                      <w:szCs w:val="21"/>
                      <w:lang w:val="en-US" w:eastAsia="zh-CN" w:bidi="ar"/>
                    </w:rPr>
                    <w:t>8</w:t>
                  </w:r>
                </w:p>
              </w:tc>
              <w:tc>
                <w:tcPr>
                  <w:tcW w:w="138" w:type="pct"/>
                  <w:vMerge w:val="continue"/>
                  <w:noWrap w:val="0"/>
                  <w:vAlign w:val="center"/>
                </w:tcPr>
                <w:p w14:paraId="59EF1AEE">
                  <w:pPr>
                    <w:keepNext w:val="0"/>
                    <w:keepLines w:val="0"/>
                    <w:suppressLineNumbers w:val="0"/>
                    <w:spacing w:before="0" w:beforeAutospacing="0" w:after="0" w:afterAutospacing="0"/>
                    <w:ind w:left="0" w:right="0"/>
                    <w:jc w:val="center"/>
                    <w:rPr>
                      <w:rFonts w:hint="eastAsia"/>
                      <w:color w:val="auto"/>
                      <w:sz w:val="21"/>
                      <w:szCs w:val="21"/>
                    </w:rPr>
                  </w:pPr>
                </w:p>
              </w:tc>
              <w:tc>
                <w:tcPr>
                  <w:tcW w:w="361" w:type="pct"/>
                  <w:noWrap w:val="0"/>
                  <w:vAlign w:val="center"/>
                </w:tcPr>
                <w:p w14:paraId="1BEB7B5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bCs/>
                      <w:color w:val="auto"/>
                      <w:kern w:val="2"/>
                      <w:sz w:val="21"/>
                      <w:szCs w:val="21"/>
                      <w:lang w:val="en-US" w:eastAsia="zh-CN" w:bidi="ar-SA"/>
                    </w:rPr>
                    <w:t>鞋底修边机</w:t>
                  </w:r>
                </w:p>
              </w:tc>
              <w:tc>
                <w:tcPr>
                  <w:tcW w:w="271" w:type="pct"/>
                  <w:noWrap w:val="0"/>
                  <w:vAlign w:val="center"/>
                </w:tcPr>
                <w:p w14:paraId="1CD0C8E9">
                  <w:pPr>
                    <w:keepNext w:val="0"/>
                    <w:keepLines w:val="0"/>
                    <w:suppressLineNumbers w:val="0"/>
                    <w:spacing w:before="0" w:beforeAutospacing="0" w:after="0" w:afterAutospacing="0" w:line="240" w:lineRule="auto"/>
                    <w:ind w:left="0" w:leftChars="0" w:right="0" w:rightChars="0"/>
                    <w:jc w:val="center"/>
                    <w:rPr>
                      <w:rFonts w:hint="default"/>
                      <w:color w:val="auto"/>
                      <w:sz w:val="21"/>
                      <w:szCs w:val="21"/>
                      <w:lang w:val="en-US" w:eastAsia="zh-CN"/>
                    </w:rPr>
                  </w:pPr>
                  <w:r>
                    <w:rPr>
                      <w:rFonts w:hint="eastAsia"/>
                      <w:color w:val="auto"/>
                      <w:sz w:val="21"/>
                      <w:szCs w:val="21"/>
                      <w:lang w:val="en-US" w:eastAsia="zh-CN"/>
                    </w:rPr>
                    <w:t>75</w:t>
                  </w:r>
                </w:p>
              </w:tc>
              <w:tc>
                <w:tcPr>
                  <w:tcW w:w="277" w:type="pct"/>
                  <w:vMerge w:val="continue"/>
                  <w:noWrap w:val="0"/>
                  <w:vAlign w:val="center"/>
                </w:tcPr>
                <w:p w14:paraId="3ECF5E58">
                  <w:pPr>
                    <w:keepNext w:val="0"/>
                    <w:keepLines w:val="0"/>
                    <w:suppressLineNumbers w:val="0"/>
                    <w:spacing w:before="0" w:beforeAutospacing="0" w:after="0" w:afterAutospacing="0"/>
                    <w:ind w:left="0" w:right="0"/>
                    <w:jc w:val="center"/>
                    <w:rPr>
                      <w:color w:val="auto"/>
                      <w:sz w:val="21"/>
                      <w:szCs w:val="21"/>
                    </w:rPr>
                  </w:pPr>
                </w:p>
              </w:tc>
              <w:tc>
                <w:tcPr>
                  <w:tcW w:w="258" w:type="pct"/>
                  <w:noWrap w:val="0"/>
                  <w:vAlign w:val="center"/>
                </w:tcPr>
                <w:p w14:paraId="3FEA3D2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258" w:type="pct"/>
                  <w:noWrap w:val="0"/>
                  <w:vAlign w:val="center"/>
                </w:tcPr>
                <w:p w14:paraId="5759444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199" w:type="pct"/>
                  <w:noWrap w:val="0"/>
                  <w:vAlign w:val="center"/>
                </w:tcPr>
                <w:p w14:paraId="0D9D2D4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208" w:type="pct"/>
                  <w:noWrap w:val="0"/>
                  <w:vAlign w:val="center"/>
                </w:tcPr>
                <w:p w14:paraId="74BBDC6C">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58</w:t>
                  </w:r>
                </w:p>
              </w:tc>
              <w:tc>
                <w:tcPr>
                  <w:tcW w:w="208" w:type="pct"/>
                  <w:shd w:val="clear" w:color="auto" w:fill="auto"/>
                  <w:noWrap w:val="0"/>
                  <w:vAlign w:val="center"/>
                </w:tcPr>
                <w:p w14:paraId="62D157D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208" w:type="pct"/>
                  <w:shd w:val="clear" w:color="auto" w:fill="auto"/>
                  <w:noWrap w:val="0"/>
                  <w:vAlign w:val="center"/>
                </w:tcPr>
                <w:p w14:paraId="7269B1A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214" w:type="pct"/>
                  <w:noWrap w:val="0"/>
                  <w:vAlign w:val="center"/>
                </w:tcPr>
                <w:p w14:paraId="1117EC78">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15</w:t>
                  </w:r>
                </w:p>
              </w:tc>
              <w:tc>
                <w:tcPr>
                  <w:tcW w:w="171" w:type="pct"/>
                  <w:noWrap w:val="0"/>
                  <w:vAlign w:val="center"/>
                </w:tcPr>
                <w:p w14:paraId="4897974D">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48.2</w:t>
                  </w:r>
                </w:p>
              </w:tc>
              <w:tc>
                <w:tcPr>
                  <w:tcW w:w="197" w:type="pct"/>
                  <w:noWrap w:val="0"/>
                  <w:vAlign w:val="center"/>
                </w:tcPr>
                <w:p w14:paraId="25C6F9F2">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50.2</w:t>
                  </w:r>
                </w:p>
              </w:tc>
              <w:tc>
                <w:tcPr>
                  <w:tcW w:w="162" w:type="pct"/>
                  <w:noWrap w:val="0"/>
                  <w:vAlign w:val="center"/>
                </w:tcPr>
                <w:p w14:paraId="35EC1A52">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50.7</w:t>
                  </w:r>
                </w:p>
              </w:tc>
              <w:tc>
                <w:tcPr>
                  <w:tcW w:w="181" w:type="pct"/>
                  <w:noWrap w:val="0"/>
                  <w:vAlign w:val="center"/>
                </w:tcPr>
                <w:p w14:paraId="178CAF6E">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48.8</w:t>
                  </w:r>
                </w:p>
              </w:tc>
              <w:tc>
                <w:tcPr>
                  <w:tcW w:w="237" w:type="pct"/>
                  <w:vMerge w:val="continue"/>
                  <w:noWrap w:val="0"/>
                  <w:vAlign w:val="center"/>
                </w:tcPr>
                <w:p w14:paraId="6C2FBD5E">
                  <w:pPr>
                    <w:keepNext w:val="0"/>
                    <w:keepLines w:val="0"/>
                    <w:suppressLineNumbers w:val="0"/>
                    <w:spacing w:before="0" w:beforeAutospacing="0" w:after="0" w:afterAutospacing="0"/>
                    <w:ind w:left="0" w:right="0"/>
                    <w:jc w:val="center"/>
                    <w:rPr>
                      <w:rFonts w:hint="default"/>
                      <w:color w:val="auto"/>
                      <w:sz w:val="21"/>
                      <w:szCs w:val="21"/>
                      <w:lang w:val="en-US"/>
                    </w:rPr>
                  </w:pPr>
                </w:p>
              </w:tc>
              <w:tc>
                <w:tcPr>
                  <w:tcW w:w="297" w:type="pct"/>
                  <w:noWrap w:val="0"/>
                  <w:vAlign w:val="center"/>
                </w:tcPr>
                <w:p w14:paraId="1E433028">
                  <w:pPr>
                    <w:keepNext w:val="0"/>
                    <w:keepLines w:val="0"/>
                    <w:suppressLineNumbers w:val="0"/>
                    <w:autoSpaceDE w:val="0"/>
                    <w:adjustRightInd w:val="0"/>
                    <w:snapToGrid w:val="0"/>
                    <w:spacing w:before="0" w:beforeAutospacing="0" w:after="0" w:afterAutospacing="0"/>
                    <w:ind w:left="0" w:right="0"/>
                    <w:jc w:val="center"/>
                    <w:rPr>
                      <w:rFonts w:hint="eastAsia" w:eastAsia="宋体"/>
                      <w:bCs/>
                      <w:color w:val="auto"/>
                      <w:kern w:val="2"/>
                      <w:sz w:val="21"/>
                      <w:szCs w:val="21"/>
                      <w:lang w:val="en-US" w:eastAsia="zh-CN" w:bidi="ar"/>
                    </w:rPr>
                  </w:pPr>
                  <w:r>
                    <w:rPr>
                      <w:rFonts w:hint="eastAsia"/>
                      <w:bCs/>
                      <w:color w:val="auto"/>
                      <w:sz w:val="21"/>
                      <w:szCs w:val="21"/>
                      <w:lang w:val="en-US" w:eastAsia="zh-CN" w:bidi="ar"/>
                    </w:rPr>
                    <w:t>20</w:t>
                  </w:r>
                </w:p>
              </w:tc>
              <w:tc>
                <w:tcPr>
                  <w:tcW w:w="178" w:type="pct"/>
                  <w:shd w:val="clear" w:color="auto" w:fill="auto"/>
                  <w:noWrap w:val="0"/>
                  <w:vAlign w:val="center"/>
                </w:tcPr>
                <w:p w14:paraId="6064E9F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33</w:t>
                  </w:r>
                </w:p>
              </w:tc>
              <w:tc>
                <w:tcPr>
                  <w:tcW w:w="195" w:type="pct"/>
                  <w:shd w:val="clear" w:color="auto" w:fill="auto"/>
                  <w:noWrap w:val="0"/>
                  <w:vAlign w:val="center"/>
                </w:tcPr>
                <w:p w14:paraId="1C842F3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35</w:t>
                  </w:r>
                </w:p>
              </w:tc>
              <w:tc>
                <w:tcPr>
                  <w:tcW w:w="196" w:type="pct"/>
                  <w:shd w:val="clear" w:color="auto" w:fill="auto"/>
                  <w:noWrap w:val="0"/>
                  <w:vAlign w:val="center"/>
                </w:tcPr>
                <w:p w14:paraId="5EE627A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35.4</w:t>
                  </w:r>
                </w:p>
              </w:tc>
              <w:tc>
                <w:tcPr>
                  <w:tcW w:w="181" w:type="pct"/>
                  <w:shd w:val="clear" w:color="auto" w:fill="auto"/>
                  <w:noWrap w:val="0"/>
                  <w:vAlign w:val="center"/>
                </w:tcPr>
                <w:p w14:paraId="1A8978F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33.6</w:t>
                  </w:r>
                </w:p>
              </w:tc>
              <w:tc>
                <w:tcPr>
                  <w:tcW w:w="224" w:type="pct"/>
                  <w:noWrap w:val="0"/>
                  <w:vAlign w:val="center"/>
                </w:tcPr>
                <w:p w14:paraId="2B73A8BD">
                  <w:pPr>
                    <w:keepNext w:val="0"/>
                    <w:keepLines w:val="0"/>
                    <w:suppressLineNumbers w:val="0"/>
                    <w:autoSpaceDE w:val="0"/>
                    <w:adjustRightInd w:val="0"/>
                    <w:snapToGrid w:val="0"/>
                    <w:spacing w:before="0" w:beforeAutospacing="0" w:after="0" w:afterAutospacing="0"/>
                    <w:ind w:left="0" w:right="0"/>
                    <w:jc w:val="center"/>
                    <w:rPr>
                      <w:bCs/>
                      <w:color w:val="auto"/>
                      <w:kern w:val="2"/>
                      <w:sz w:val="21"/>
                      <w:szCs w:val="21"/>
                      <w:lang w:val="en-US" w:eastAsia="zh-CN" w:bidi="ar"/>
                    </w:rPr>
                  </w:pPr>
                  <w:r>
                    <w:rPr>
                      <w:bCs/>
                      <w:color w:val="auto"/>
                      <w:sz w:val="21"/>
                      <w:szCs w:val="21"/>
                      <w:lang w:bidi="ar"/>
                    </w:rPr>
                    <w:t>1m</w:t>
                  </w:r>
                </w:p>
              </w:tc>
            </w:tr>
            <w:tr w14:paraId="7566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 w:type="pct"/>
                  <w:noWrap w:val="0"/>
                  <w:vAlign w:val="center"/>
                </w:tcPr>
                <w:p w14:paraId="4D4C8C01">
                  <w:pPr>
                    <w:keepNext w:val="0"/>
                    <w:keepLines w:val="0"/>
                    <w:suppressLineNumbers w:val="0"/>
                    <w:adjustRightInd w:val="0"/>
                    <w:snapToGrid w:val="0"/>
                    <w:spacing w:before="0" w:beforeAutospacing="0" w:after="0" w:afterAutospacing="0"/>
                    <w:ind w:left="0" w:right="0"/>
                    <w:jc w:val="center"/>
                    <w:rPr>
                      <w:rFonts w:hint="default"/>
                      <w:bCs/>
                      <w:color w:val="auto"/>
                      <w:sz w:val="21"/>
                      <w:szCs w:val="21"/>
                      <w:lang w:val="en-US" w:eastAsia="zh-CN" w:bidi="ar"/>
                    </w:rPr>
                  </w:pPr>
                  <w:r>
                    <w:rPr>
                      <w:rFonts w:hint="eastAsia"/>
                      <w:bCs/>
                      <w:color w:val="auto"/>
                      <w:sz w:val="21"/>
                      <w:szCs w:val="21"/>
                      <w:lang w:val="en-US" w:eastAsia="zh-CN" w:bidi="ar"/>
                    </w:rPr>
                    <w:t>9</w:t>
                  </w:r>
                </w:p>
              </w:tc>
              <w:tc>
                <w:tcPr>
                  <w:tcW w:w="138" w:type="pct"/>
                  <w:vMerge w:val="restart"/>
                  <w:noWrap w:val="0"/>
                  <w:vAlign w:val="center"/>
                </w:tcPr>
                <w:p w14:paraId="3800312F">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lang w:val="en-US" w:eastAsia="zh-CN"/>
                    </w:rPr>
                    <w:t>2#厂房</w:t>
                  </w:r>
                </w:p>
              </w:tc>
              <w:tc>
                <w:tcPr>
                  <w:tcW w:w="361" w:type="pct"/>
                  <w:shd w:val="clear" w:color="auto" w:fill="auto"/>
                  <w:noWrap w:val="0"/>
                  <w:vAlign w:val="center"/>
                </w:tcPr>
                <w:p w14:paraId="39FDFF7A">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鞋帮面裁剪机</w:t>
                  </w:r>
                </w:p>
              </w:tc>
              <w:tc>
                <w:tcPr>
                  <w:tcW w:w="271" w:type="pct"/>
                  <w:shd w:val="clear" w:color="auto" w:fill="auto"/>
                  <w:noWrap w:val="0"/>
                  <w:vAlign w:val="center"/>
                </w:tcPr>
                <w:p w14:paraId="35BF065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70</w:t>
                  </w:r>
                </w:p>
              </w:tc>
              <w:tc>
                <w:tcPr>
                  <w:tcW w:w="277" w:type="pct"/>
                  <w:vMerge w:val="continue"/>
                  <w:noWrap w:val="0"/>
                  <w:vAlign w:val="center"/>
                </w:tcPr>
                <w:p w14:paraId="05A057C2">
                  <w:pPr>
                    <w:keepNext w:val="0"/>
                    <w:keepLines w:val="0"/>
                    <w:suppressLineNumbers w:val="0"/>
                    <w:spacing w:before="0" w:beforeAutospacing="0" w:after="0" w:afterAutospacing="0"/>
                    <w:ind w:left="0" w:right="0"/>
                    <w:jc w:val="center"/>
                    <w:rPr>
                      <w:color w:val="auto"/>
                      <w:sz w:val="21"/>
                      <w:szCs w:val="21"/>
                    </w:rPr>
                  </w:pPr>
                </w:p>
              </w:tc>
              <w:tc>
                <w:tcPr>
                  <w:tcW w:w="258" w:type="pct"/>
                  <w:noWrap w:val="0"/>
                  <w:vAlign w:val="center"/>
                </w:tcPr>
                <w:p w14:paraId="2FB42A7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55</w:t>
                  </w:r>
                </w:p>
              </w:tc>
              <w:tc>
                <w:tcPr>
                  <w:tcW w:w="258" w:type="pct"/>
                  <w:noWrap w:val="0"/>
                  <w:vAlign w:val="center"/>
                </w:tcPr>
                <w:p w14:paraId="27BCC32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199" w:type="pct"/>
                  <w:noWrap w:val="0"/>
                  <w:vAlign w:val="center"/>
                </w:tcPr>
                <w:p w14:paraId="64F6A1E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208" w:type="pct"/>
                  <w:noWrap w:val="0"/>
                  <w:vAlign w:val="center"/>
                </w:tcPr>
                <w:p w14:paraId="5EAF8BA0">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11</w:t>
                  </w:r>
                </w:p>
              </w:tc>
              <w:tc>
                <w:tcPr>
                  <w:tcW w:w="208" w:type="pct"/>
                  <w:shd w:val="clear" w:color="auto" w:fill="auto"/>
                  <w:noWrap w:val="0"/>
                  <w:vAlign w:val="center"/>
                </w:tcPr>
                <w:p w14:paraId="312E139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55</w:t>
                  </w:r>
                </w:p>
              </w:tc>
              <w:tc>
                <w:tcPr>
                  <w:tcW w:w="208" w:type="pct"/>
                  <w:shd w:val="clear" w:color="auto" w:fill="auto"/>
                  <w:noWrap w:val="0"/>
                  <w:vAlign w:val="center"/>
                </w:tcPr>
                <w:p w14:paraId="1E32827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214" w:type="pct"/>
                  <w:noWrap w:val="0"/>
                  <w:vAlign w:val="center"/>
                </w:tcPr>
                <w:p w14:paraId="15B7100E">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10</w:t>
                  </w:r>
                </w:p>
              </w:tc>
              <w:tc>
                <w:tcPr>
                  <w:tcW w:w="171" w:type="pct"/>
                  <w:noWrap w:val="0"/>
                  <w:vAlign w:val="center"/>
                </w:tcPr>
                <w:p w14:paraId="4D844296">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44.4</w:t>
                  </w:r>
                </w:p>
              </w:tc>
              <w:tc>
                <w:tcPr>
                  <w:tcW w:w="197" w:type="pct"/>
                  <w:noWrap w:val="0"/>
                  <w:vAlign w:val="center"/>
                </w:tcPr>
                <w:p w14:paraId="5D732E38">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43.2</w:t>
                  </w:r>
                </w:p>
              </w:tc>
              <w:tc>
                <w:tcPr>
                  <w:tcW w:w="162" w:type="pct"/>
                  <w:noWrap w:val="0"/>
                  <w:vAlign w:val="center"/>
                </w:tcPr>
                <w:p w14:paraId="2EE86188">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44.2</w:t>
                  </w:r>
                </w:p>
              </w:tc>
              <w:tc>
                <w:tcPr>
                  <w:tcW w:w="181" w:type="pct"/>
                  <w:noWrap w:val="0"/>
                  <w:vAlign w:val="center"/>
                </w:tcPr>
                <w:p w14:paraId="0443B5A6">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44.6</w:t>
                  </w:r>
                </w:p>
              </w:tc>
              <w:tc>
                <w:tcPr>
                  <w:tcW w:w="237" w:type="pct"/>
                  <w:vMerge w:val="continue"/>
                  <w:noWrap w:val="0"/>
                  <w:vAlign w:val="center"/>
                </w:tcPr>
                <w:p w14:paraId="73F647FC">
                  <w:pPr>
                    <w:keepNext w:val="0"/>
                    <w:keepLines w:val="0"/>
                    <w:suppressLineNumbers w:val="0"/>
                    <w:spacing w:before="0" w:beforeAutospacing="0" w:after="0" w:afterAutospacing="0"/>
                    <w:ind w:left="0" w:right="0"/>
                    <w:jc w:val="center"/>
                    <w:rPr>
                      <w:rFonts w:hint="default"/>
                      <w:color w:val="auto"/>
                      <w:sz w:val="21"/>
                      <w:szCs w:val="21"/>
                      <w:lang w:val="en-US"/>
                    </w:rPr>
                  </w:pPr>
                </w:p>
              </w:tc>
              <w:tc>
                <w:tcPr>
                  <w:tcW w:w="297" w:type="pct"/>
                  <w:shd w:val="clear" w:color="auto" w:fill="auto"/>
                  <w:noWrap w:val="0"/>
                  <w:vAlign w:val="center"/>
                </w:tcPr>
                <w:p w14:paraId="42F2776A">
                  <w:pPr>
                    <w:keepNext w:val="0"/>
                    <w:keepLines w:val="0"/>
                    <w:suppressLineNumbers w:val="0"/>
                    <w:autoSpaceDE w:val="0"/>
                    <w:adjustRightInd w:val="0"/>
                    <w:snapToGrid w:val="0"/>
                    <w:spacing w:before="0" w:beforeAutospacing="0" w:after="0" w:afterAutospacing="0"/>
                    <w:ind w:left="0" w:right="0"/>
                    <w:jc w:val="center"/>
                    <w:rPr>
                      <w:rFonts w:hint="eastAsia" w:ascii="Times New Roman" w:hAnsi="Times New Roman" w:eastAsia="宋体" w:cs="Times New Roman"/>
                      <w:bCs/>
                      <w:color w:val="auto"/>
                      <w:kern w:val="2"/>
                      <w:sz w:val="21"/>
                      <w:szCs w:val="21"/>
                      <w:lang w:val="en-US" w:eastAsia="zh-CN" w:bidi="ar-SA"/>
                    </w:rPr>
                  </w:pPr>
                  <w:r>
                    <w:rPr>
                      <w:bCs/>
                      <w:color w:val="auto"/>
                      <w:sz w:val="21"/>
                      <w:szCs w:val="21"/>
                      <w:lang w:bidi="ar"/>
                    </w:rPr>
                    <w:t>20</w:t>
                  </w:r>
                </w:p>
              </w:tc>
              <w:tc>
                <w:tcPr>
                  <w:tcW w:w="178" w:type="pct"/>
                  <w:shd w:val="clear" w:color="auto" w:fill="auto"/>
                  <w:noWrap w:val="0"/>
                  <w:vAlign w:val="center"/>
                </w:tcPr>
                <w:p w14:paraId="1639652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29.1</w:t>
                  </w:r>
                </w:p>
              </w:tc>
              <w:tc>
                <w:tcPr>
                  <w:tcW w:w="195" w:type="pct"/>
                  <w:shd w:val="clear" w:color="auto" w:fill="auto"/>
                  <w:noWrap w:val="0"/>
                  <w:vAlign w:val="center"/>
                </w:tcPr>
                <w:p w14:paraId="366637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28</w:t>
                  </w:r>
                </w:p>
              </w:tc>
              <w:tc>
                <w:tcPr>
                  <w:tcW w:w="196" w:type="pct"/>
                  <w:shd w:val="clear" w:color="auto" w:fill="auto"/>
                  <w:noWrap w:val="0"/>
                  <w:vAlign w:val="center"/>
                </w:tcPr>
                <w:p w14:paraId="58341A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29</w:t>
                  </w:r>
                </w:p>
              </w:tc>
              <w:tc>
                <w:tcPr>
                  <w:tcW w:w="181" w:type="pct"/>
                  <w:shd w:val="clear" w:color="auto" w:fill="auto"/>
                  <w:noWrap w:val="0"/>
                  <w:vAlign w:val="center"/>
                </w:tcPr>
                <w:p w14:paraId="2487BC7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29.3</w:t>
                  </w:r>
                </w:p>
              </w:tc>
              <w:tc>
                <w:tcPr>
                  <w:tcW w:w="224" w:type="pct"/>
                  <w:shd w:val="clear" w:color="auto" w:fill="auto"/>
                  <w:noWrap w:val="0"/>
                  <w:vAlign w:val="center"/>
                </w:tcPr>
                <w:p w14:paraId="31484791">
                  <w:pPr>
                    <w:keepNext w:val="0"/>
                    <w:keepLines w:val="0"/>
                    <w:suppressLineNumbers w:val="0"/>
                    <w:autoSpaceDE w:val="0"/>
                    <w:adjustRightInd w:val="0"/>
                    <w:snapToGrid w:val="0"/>
                    <w:spacing w:before="0" w:beforeAutospacing="0" w:after="0" w:afterAutospacing="0"/>
                    <w:ind w:left="0" w:right="0"/>
                    <w:jc w:val="center"/>
                    <w:rPr>
                      <w:rFonts w:ascii="Times New Roman" w:hAnsi="Times New Roman" w:eastAsia="宋体" w:cs="Times New Roman"/>
                      <w:bCs/>
                      <w:color w:val="auto"/>
                      <w:kern w:val="2"/>
                      <w:sz w:val="21"/>
                      <w:szCs w:val="21"/>
                      <w:lang w:val="en-US" w:eastAsia="zh-CN" w:bidi="ar-SA"/>
                    </w:rPr>
                  </w:pPr>
                  <w:r>
                    <w:rPr>
                      <w:bCs/>
                      <w:color w:val="auto"/>
                      <w:sz w:val="21"/>
                      <w:szCs w:val="21"/>
                      <w:lang w:bidi="ar"/>
                    </w:rPr>
                    <w:t>1m</w:t>
                  </w:r>
                </w:p>
              </w:tc>
            </w:tr>
            <w:tr w14:paraId="6EB9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 w:type="pct"/>
                  <w:noWrap w:val="0"/>
                  <w:vAlign w:val="center"/>
                </w:tcPr>
                <w:p w14:paraId="45881C16">
                  <w:pPr>
                    <w:keepNext w:val="0"/>
                    <w:keepLines w:val="0"/>
                    <w:suppressLineNumbers w:val="0"/>
                    <w:adjustRightInd w:val="0"/>
                    <w:snapToGrid w:val="0"/>
                    <w:spacing w:before="0" w:beforeAutospacing="0" w:after="0" w:afterAutospacing="0"/>
                    <w:ind w:left="0" w:right="0"/>
                    <w:jc w:val="center"/>
                    <w:rPr>
                      <w:rFonts w:hint="default"/>
                      <w:bCs/>
                      <w:color w:val="auto"/>
                      <w:sz w:val="21"/>
                      <w:szCs w:val="21"/>
                      <w:lang w:val="en-US" w:eastAsia="zh-CN" w:bidi="ar"/>
                    </w:rPr>
                  </w:pPr>
                  <w:r>
                    <w:rPr>
                      <w:rFonts w:hint="eastAsia"/>
                      <w:bCs/>
                      <w:color w:val="auto"/>
                      <w:sz w:val="21"/>
                      <w:szCs w:val="21"/>
                      <w:lang w:val="en-US" w:eastAsia="zh-CN" w:bidi="ar"/>
                    </w:rPr>
                    <w:t>10</w:t>
                  </w:r>
                </w:p>
              </w:tc>
              <w:tc>
                <w:tcPr>
                  <w:tcW w:w="138" w:type="pct"/>
                  <w:vMerge w:val="continue"/>
                  <w:noWrap w:val="0"/>
                  <w:vAlign w:val="center"/>
                </w:tcPr>
                <w:p w14:paraId="5DD9A293">
                  <w:pPr>
                    <w:keepNext w:val="0"/>
                    <w:keepLines w:val="0"/>
                    <w:suppressLineNumbers w:val="0"/>
                    <w:spacing w:before="0" w:beforeAutospacing="0" w:after="0" w:afterAutospacing="0"/>
                    <w:ind w:left="0" w:right="0"/>
                    <w:jc w:val="center"/>
                    <w:rPr>
                      <w:rFonts w:hint="eastAsia"/>
                      <w:color w:val="auto"/>
                      <w:sz w:val="21"/>
                      <w:szCs w:val="21"/>
                    </w:rPr>
                  </w:pPr>
                </w:p>
              </w:tc>
              <w:tc>
                <w:tcPr>
                  <w:tcW w:w="361" w:type="pct"/>
                  <w:shd w:val="clear" w:color="auto" w:fill="auto"/>
                  <w:noWrap w:val="0"/>
                  <w:vAlign w:val="center"/>
                </w:tcPr>
                <w:p w14:paraId="0EB88063">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鞋帮面缝纫机</w:t>
                  </w:r>
                </w:p>
              </w:tc>
              <w:tc>
                <w:tcPr>
                  <w:tcW w:w="271" w:type="pct"/>
                  <w:shd w:val="clear" w:color="auto" w:fill="auto"/>
                  <w:noWrap w:val="0"/>
                  <w:vAlign w:val="center"/>
                </w:tcPr>
                <w:p w14:paraId="6C18322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75</w:t>
                  </w:r>
                </w:p>
              </w:tc>
              <w:tc>
                <w:tcPr>
                  <w:tcW w:w="277" w:type="pct"/>
                  <w:vMerge w:val="continue"/>
                  <w:noWrap w:val="0"/>
                  <w:vAlign w:val="center"/>
                </w:tcPr>
                <w:p w14:paraId="70167265">
                  <w:pPr>
                    <w:keepNext w:val="0"/>
                    <w:keepLines w:val="0"/>
                    <w:suppressLineNumbers w:val="0"/>
                    <w:spacing w:before="0" w:beforeAutospacing="0" w:after="0" w:afterAutospacing="0"/>
                    <w:ind w:left="0" w:right="0"/>
                    <w:jc w:val="center"/>
                    <w:rPr>
                      <w:color w:val="auto"/>
                      <w:sz w:val="21"/>
                      <w:szCs w:val="21"/>
                    </w:rPr>
                  </w:pPr>
                </w:p>
              </w:tc>
              <w:tc>
                <w:tcPr>
                  <w:tcW w:w="258" w:type="pct"/>
                  <w:noWrap w:val="0"/>
                  <w:vAlign w:val="center"/>
                </w:tcPr>
                <w:p w14:paraId="12626EC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60</w:t>
                  </w:r>
                </w:p>
              </w:tc>
              <w:tc>
                <w:tcPr>
                  <w:tcW w:w="258" w:type="pct"/>
                  <w:noWrap w:val="0"/>
                  <w:vAlign w:val="center"/>
                </w:tcPr>
                <w:p w14:paraId="0131CBD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199" w:type="pct"/>
                  <w:noWrap w:val="0"/>
                  <w:vAlign w:val="center"/>
                </w:tcPr>
                <w:p w14:paraId="2FA2702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208" w:type="pct"/>
                  <w:noWrap w:val="0"/>
                  <w:vAlign w:val="center"/>
                </w:tcPr>
                <w:p w14:paraId="1201FFC9">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6</w:t>
                  </w:r>
                </w:p>
              </w:tc>
              <w:tc>
                <w:tcPr>
                  <w:tcW w:w="208" w:type="pct"/>
                  <w:shd w:val="clear" w:color="auto" w:fill="auto"/>
                  <w:noWrap w:val="0"/>
                  <w:vAlign w:val="center"/>
                </w:tcPr>
                <w:p w14:paraId="2BFE389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60</w:t>
                  </w:r>
                </w:p>
              </w:tc>
              <w:tc>
                <w:tcPr>
                  <w:tcW w:w="208" w:type="pct"/>
                  <w:shd w:val="clear" w:color="auto" w:fill="auto"/>
                  <w:noWrap w:val="0"/>
                  <w:vAlign w:val="center"/>
                </w:tcPr>
                <w:p w14:paraId="1034D12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214" w:type="pct"/>
                  <w:noWrap w:val="0"/>
                  <w:vAlign w:val="center"/>
                </w:tcPr>
                <w:p w14:paraId="167F6AD5">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10</w:t>
                  </w:r>
                </w:p>
              </w:tc>
              <w:tc>
                <w:tcPr>
                  <w:tcW w:w="171" w:type="pct"/>
                  <w:noWrap w:val="0"/>
                  <w:vAlign w:val="center"/>
                </w:tcPr>
                <w:p w14:paraId="40010E57">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51.3</w:t>
                  </w:r>
                </w:p>
              </w:tc>
              <w:tc>
                <w:tcPr>
                  <w:tcW w:w="197" w:type="pct"/>
                  <w:noWrap w:val="0"/>
                  <w:vAlign w:val="center"/>
                </w:tcPr>
                <w:p w14:paraId="1F18EBF7">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48.2</w:t>
                  </w:r>
                </w:p>
              </w:tc>
              <w:tc>
                <w:tcPr>
                  <w:tcW w:w="162" w:type="pct"/>
                  <w:noWrap w:val="0"/>
                  <w:vAlign w:val="center"/>
                </w:tcPr>
                <w:p w14:paraId="5AC91C5C">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49.2</w:t>
                  </w:r>
                </w:p>
              </w:tc>
              <w:tc>
                <w:tcPr>
                  <w:tcW w:w="181" w:type="pct"/>
                  <w:noWrap w:val="0"/>
                  <w:vAlign w:val="center"/>
                </w:tcPr>
                <w:p w14:paraId="370633C2">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49.6</w:t>
                  </w:r>
                </w:p>
              </w:tc>
              <w:tc>
                <w:tcPr>
                  <w:tcW w:w="237" w:type="pct"/>
                  <w:vMerge w:val="continue"/>
                  <w:noWrap w:val="0"/>
                  <w:vAlign w:val="center"/>
                </w:tcPr>
                <w:p w14:paraId="473DAD75">
                  <w:pPr>
                    <w:keepNext w:val="0"/>
                    <w:keepLines w:val="0"/>
                    <w:suppressLineNumbers w:val="0"/>
                    <w:spacing w:before="0" w:beforeAutospacing="0" w:after="0" w:afterAutospacing="0"/>
                    <w:ind w:left="0" w:right="0"/>
                    <w:jc w:val="center"/>
                    <w:rPr>
                      <w:rFonts w:hint="default"/>
                      <w:color w:val="auto"/>
                      <w:sz w:val="21"/>
                      <w:szCs w:val="21"/>
                      <w:lang w:val="en-US"/>
                    </w:rPr>
                  </w:pPr>
                </w:p>
              </w:tc>
              <w:tc>
                <w:tcPr>
                  <w:tcW w:w="297" w:type="pct"/>
                  <w:shd w:val="clear" w:color="auto" w:fill="auto"/>
                  <w:noWrap w:val="0"/>
                  <w:vAlign w:val="center"/>
                </w:tcPr>
                <w:p w14:paraId="462EE620">
                  <w:pPr>
                    <w:keepNext w:val="0"/>
                    <w:keepLines w:val="0"/>
                    <w:suppressLineNumbers w:val="0"/>
                    <w:autoSpaceDE w:val="0"/>
                    <w:adjustRightInd w:val="0"/>
                    <w:snapToGrid w:val="0"/>
                    <w:spacing w:before="0" w:beforeAutospacing="0" w:after="0" w:afterAutospacing="0"/>
                    <w:ind w:left="0" w:right="0"/>
                    <w:jc w:val="center"/>
                    <w:rPr>
                      <w:rFonts w:hint="eastAsia" w:ascii="Times New Roman" w:hAnsi="Times New Roman" w:eastAsia="宋体" w:cs="Times New Roman"/>
                      <w:bCs/>
                      <w:color w:val="auto"/>
                      <w:kern w:val="2"/>
                      <w:sz w:val="21"/>
                      <w:szCs w:val="21"/>
                      <w:lang w:val="en-US" w:eastAsia="zh-CN" w:bidi="ar"/>
                    </w:rPr>
                  </w:pPr>
                  <w:r>
                    <w:rPr>
                      <w:rFonts w:hint="eastAsia"/>
                      <w:bCs/>
                      <w:color w:val="auto"/>
                      <w:sz w:val="21"/>
                      <w:szCs w:val="21"/>
                      <w:lang w:val="en-US" w:eastAsia="zh-CN" w:bidi="ar"/>
                    </w:rPr>
                    <w:t>20</w:t>
                  </w:r>
                </w:p>
              </w:tc>
              <w:tc>
                <w:tcPr>
                  <w:tcW w:w="178" w:type="pct"/>
                  <w:shd w:val="clear" w:color="auto" w:fill="auto"/>
                  <w:noWrap w:val="0"/>
                  <w:vAlign w:val="center"/>
                </w:tcPr>
                <w:p w14:paraId="447937B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36.1</w:t>
                  </w:r>
                </w:p>
              </w:tc>
              <w:tc>
                <w:tcPr>
                  <w:tcW w:w="195" w:type="pct"/>
                  <w:shd w:val="clear" w:color="auto" w:fill="auto"/>
                  <w:noWrap w:val="0"/>
                  <w:vAlign w:val="center"/>
                </w:tcPr>
                <w:p w14:paraId="7EF82F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33</w:t>
                  </w:r>
                </w:p>
              </w:tc>
              <w:tc>
                <w:tcPr>
                  <w:tcW w:w="196" w:type="pct"/>
                  <w:shd w:val="clear" w:color="auto" w:fill="auto"/>
                  <w:noWrap w:val="0"/>
                  <w:vAlign w:val="center"/>
                </w:tcPr>
                <w:p w14:paraId="102EDC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34</w:t>
                  </w:r>
                </w:p>
              </w:tc>
              <w:tc>
                <w:tcPr>
                  <w:tcW w:w="181" w:type="pct"/>
                  <w:shd w:val="clear" w:color="auto" w:fill="auto"/>
                  <w:noWrap w:val="0"/>
                  <w:vAlign w:val="center"/>
                </w:tcPr>
                <w:p w14:paraId="64CA11B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34.4</w:t>
                  </w:r>
                </w:p>
              </w:tc>
              <w:tc>
                <w:tcPr>
                  <w:tcW w:w="224" w:type="pct"/>
                  <w:shd w:val="clear" w:color="auto" w:fill="auto"/>
                  <w:noWrap w:val="0"/>
                  <w:vAlign w:val="center"/>
                </w:tcPr>
                <w:p w14:paraId="3F5C7767">
                  <w:pPr>
                    <w:keepNext w:val="0"/>
                    <w:keepLines w:val="0"/>
                    <w:suppressLineNumbers w:val="0"/>
                    <w:autoSpaceDE w:val="0"/>
                    <w:adjustRightInd w:val="0"/>
                    <w:snapToGrid w:val="0"/>
                    <w:spacing w:before="0" w:beforeAutospacing="0" w:after="0" w:afterAutospacing="0"/>
                    <w:ind w:left="0" w:right="0"/>
                    <w:jc w:val="center"/>
                    <w:rPr>
                      <w:rFonts w:ascii="Times New Roman" w:hAnsi="Times New Roman" w:eastAsia="宋体" w:cs="Times New Roman"/>
                      <w:bCs/>
                      <w:color w:val="auto"/>
                      <w:kern w:val="2"/>
                      <w:sz w:val="21"/>
                      <w:szCs w:val="21"/>
                      <w:lang w:val="en-US" w:eastAsia="zh-CN" w:bidi="ar"/>
                    </w:rPr>
                  </w:pPr>
                  <w:r>
                    <w:rPr>
                      <w:bCs/>
                      <w:color w:val="auto"/>
                      <w:sz w:val="21"/>
                      <w:szCs w:val="21"/>
                      <w:lang w:bidi="ar"/>
                    </w:rPr>
                    <w:t>1m</w:t>
                  </w:r>
                </w:p>
              </w:tc>
            </w:tr>
            <w:tr w14:paraId="12A2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 w:type="pct"/>
                  <w:noWrap w:val="0"/>
                  <w:vAlign w:val="center"/>
                </w:tcPr>
                <w:p w14:paraId="210DFC66">
                  <w:pPr>
                    <w:keepNext w:val="0"/>
                    <w:keepLines w:val="0"/>
                    <w:suppressLineNumbers w:val="0"/>
                    <w:adjustRightInd w:val="0"/>
                    <w:snapToGrid w:val="0"/>
                    <w:spacing w:before="0" w:beforeAutospacing="0" w:after="0" w:afterAutospacing="0"/>
                    <w:ind w:left="0" w:right="0"/>
                    <w:jc w:val="center"/>
                    <w:rPr>
                      <w:rFonts w:hint="default"/>
                      <w:bCs/>
                      <w:color w:val="auto"/>
                      <w:sz w:val="21"/>
                      <w:szCs w:val="21"/>
                      <w:lang w:val="en-US" w:eastAsia="zh-CN" w:bidi="ar"/>
                    </w:rPr>
                  </w:pPr>
                  <w:r>
                    <w:rPr>
                      <w:rFonts w:hint="eastAsia"/>
                      <w:bCs/>
                      <w:color w:val="auto"/>
                      <w:sz w:val="21"/>
                      <w:szCs w:val="21"/>
                      <w:lang w:val="en-US" w:eastAsia="zh-CN" w:bidi="ar"/>
                    </w:rPr>
                    <w:t>11</w:t>
                  </w:r>
                </w:p>
              </w:tc>
              <w:tc>
                <w:tcPr>
                  <w:tcW w:w="138" w:type="pct"/>
                  <w:vMerge w:val="continue"/>
                  <w:noWrap w:val="0"/>
                  <w:vAlign w:val="center"/>
                </w:tcPr>
                <w:p w14:paraId="180446ED">
                  <w:pPr>
                    <w:keepNext w:val="0"/>
                    <w:keepLines w:val="0"/>
                    <w:suppressLineNumbers w:val="0"/>
                    <w:spacing w:before="0" w:beforeAutospacing="0" w:after="0" w:afterAutospacing="0"/>
                    <w:ind w:left="0" w:right="0"/>
                    <w:jc w:val="center"/>
                    <w:rPr>
                      <w:rFonts w:hint="eastAsia"/>
                      <w:color w:val="auto"/>
                      <w:sz w:val="21"/>
                      <w:szCs w:val="21"/>
                    </w:rPr>
                  </w:pPr>
                </w:p>
              </w:tc>
              <w:tc>
                <w:tcPr>
                  <w:tcW w:w="361" w:type="pct"/>
                  <w:shd w:val="clear" w:color="auto" w:fill="auto"/>
                  <w:noWrap w:val="0"/>
                  <w:vAlign w:val="center"/>
                </w:tcPr>
                <w:p w14:paraId="68FC9FA2">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切割机</w:t>
                  </w:r>
                </w:p>
              </w:tc>
              <w:tc>
                <w:tcPr>
                  <w:tcW w:w="271" w:type="pct"/>
                  <w:shd w:val="clear" w:color="auto" w:fill="auto"/>
                  <w:noWrap w:val="0"/>
                  <w:vAlign w:val="center"/>
                </w:tcPr>
                <w:p w14:paraId="596ED752">
                  <w:pPr>
                    <w:keepNext w:val="0"/>
                    <w:keepLines w:val="0"/>
                    <w:suppressLineNumbers w:val="0"/>
                    <w:spacing w:before="0" w:beforeAutospacing="0" w:after="0" w:afterAutospacing="0" w:line="240" w:lineRule="auto"/>
                    <w:ind w:left="0" w:leftChars="0" w:right="0" w:rightChars="0"/>
                    <w:jc w:val="center"/>
                    <w:rPr>
                      <w:rFonts w:hint="default"/>
                      <w:color w:val="auto"/>
                      <w:sz w:val="21"/>
                      <w:szCs w:val="21"/>
                      <w:lang w:val="en-US" w:eastAsia="zh-CN"/>
                    </w:rPr>
                  </w:pPr>
                  <w:r>
                    <w:rPr>
                      <w:rFonts w:hint="eastAsia"/>
                      <w:color w:val="auto"/>
                      <w:sz w:val="21"/>
                      <w:szCs w:val="21"/>
                      <w:lang w:val="en-US" w:eastAsia="zh-CN"/>
                    </w:rPr>
                    <w:t>75</w:t>
                  </w:r>
                </w:p>
              </w:tc>
              <w:tc>
                <w:tcPr>
                  <w:tcW w:w="277" w:type="pct"/>
                  <w:vMerge w:val="continue"/>
                  <w:noWrap w:val="0"/>
                  <w:vAlign w:val="center"/>
                </w:tcPr>
                <w:p w14:paraId="0D87D517">
                  <w:pPr>
                    <w:keepNext w:val="0"/>
                    <w:keepLines w:val="0"/>
                    <w:suppressLineNumbers w:val="0"/>
                    <w:spacing w:before="0" w:beforeAutospacing="0" w:after="0" w:afterAutospacing="0"/>
                    <w:ind w:left="0" w:right="0"/>
                    <w:jc w:val="center"/>
                    <w:rPr>
                      <w:color w:val="auto"/>
                      <w:sz w:val="21"/>
                      <w:szCs w:val="21"/>
                    </w:rPr>
                  </w:pPr>
                </w:p>
              </w:tc>
              <w:tc>
                <w:tcPr>
                  <w:tcW w:w="258" w:type="pct"/>
                  <w:noWrap w:val="0"/>
                  <w:vAlign w:val="center"/>
                </w:tcPr>
                <w:p w14:paraId="04C04F5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58" w:type="pct"/>
                  <w:noWrap w:val="0"/>
                  <w:vAlign w:val="center"/>
                </w:tcPr>
                <w:p w14:paraId="622CE0A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199" w:type="pct"/>
                  <w:noWrap w:val="0"/>
                  <w:vAlign w:val="center"/>
                </w:tcPr>
                <w:p w14:paraId="0236D01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208" w:type="pct"/>
                  <w:noWrap w:val="0"/>
                  <w:vAlign w:val="center"/>
                </w:tcPr>
                <w:p w14:paraId="0F80CBEC">
                  <w:pPr>
                    <w:keepNext w:val="0"/>
                    <w:keepLines w:val="0"/>
                    <w:suppressLineNumbers w:val="0"/>
                    <w:spacing w:before="0" w:beforeAutospacing="0" w:after="0" w:afterAutospacing="0" w:line="240" w:lineRule="auto"/>
                    <w:ind w:left="0" w:leftChars="0" w:right="0" w:rightChars="0"/>
                    <w:jc w:val="center"/>
                    <w:rPr>
                      <w:rFonts w:hint="default" w:eastAsia="宋体"/>
                      <w:bCs/>
                      <w:color w:val="auto"/>
                      <w:sz w:val="21"/>
                      <w:szCs w:val="21"/>
                      <w:lang w:val="en-US" w:eastAsia="zh-CN"/>
                    </w:rPr>
                  </w:pPr>
                  <w:r>
                    <w:rPr>
                      <w:rFonts w:hint="eastAsia"/>
                      <w:bCs/>
                      <w:color w:val="auto"/>
                      <w:sz w:val="21"/>
                      <w:szCs w:val="21"/>
                      <w:lang w:val="en-US" w:eastAsia="zh-CN"/>
                    </w:rPr>
                    <w:t>21</w:t>
                  </w:r>
                </w:p>
              </w:tc>
              <w:tc>
                <w:tcPr>
                  <w:tcW w:w="208" w:type="pct"/>
                  <w:shd w:val="clear" w:color="auto" w:fill="auto"/>
                  <w:noWrap w:val="0"/>
                  <w:vAlign w:val="center"/>
                </w:tcPr>
                <w:p w14:paraId="7A4BC25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8" w:type="pct"/>
                  <w:shd w:val="clear" w:color="auto" w:fill="auto"/>
                  <w:noWrap w:val="0"/>
                  <w:vAlign w:val="center"/>
                </w:tcPr>
                <w:p w14:paraId="3F8CF6F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214" w:type="pct"/>
                  <w:noWrap w:val="0"/>
                  <w:vAlign w:val="center"/>
                </w:tcPr>
                <w:p w14:paraId="2D738925">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10</w:t>
                  </w:r>
                </w:p>
              </w:tc>
              <w:tc>
                <w:tcPr>
                  <w:tcW w:w="171" w:type="pct"/>
                  <w:noWrap w:val="0"/>
                  <w:vAlign w:val="center"/>
                </w:tcPr>
                <w:p w14:paraId="7DB5839B">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48.5</w:t>
                  </w:r>
                </w:p>
              </w:tc>
              <w:tc>
                <w:tcPr>
                  <w:tcW w:w="197" w:type="pct"/>
                  <w:noWrap w:val="0"/>
                  <w:vAlign w:val="center"/>
                </w:tcPr>
                <w:p w14:paraId="61FF83BD">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48.2</w:t>
                  </w:r>
                </w:p>
              </w:tc>
              <w:tc>
                <w:tcPr>
                  <w:tcW w:w="162" w:type="pct"/>
                  <w:noWrap w:val="0"/>
                  <w:vAlign w:val="center"/>
                </w:tcPr>
                <w:p w14:paraId="26D91EBF">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49.2</w:t>
                  </w:r>
                </w:p>
              </w:tc>
              <w:tc>
                <w:tcPr>
                  <w:tcW w:w="181" w:type="pct"/>
                  <w:noWrap w:val="0"/>
                  <w:vAlign w:val="center"/>
                </w:tcPr>
                <w:p w14:paraId="73420389">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49.6</w:t>
                  </w:r>
                </w:p>
              </w:tc>
              <w:tc>
                <w:tcPr>
                  <w:tcW w:w="237" w:type="pct"/>
                  <w:vMerge w:val="continue"/>
                  <w:noWrap w:val="0"/>
                  <w:vAlign w:val="center"/>
                </w:tcPr>
                <w:p w14:paraId="4B2DCF2F">
                  <w:pPr>
                    <w:keepNext w:val="0"/>
                    <w:keepLines w:val="0"/>
                    <w:suppressLineNumbers w:val="0"/>
                    <w:spacing w:before="0" w:beforeAutospacing="0" w:after="0" w:afterAutospacing="0"/>
                    <w:ind w:left="0" w:right="0"/>
                    <w:jc w:val="center"/>
                    <w:rPr>
                      <w:rFonts w:hint="default"/>
                      <w:color w:val="auto"/>
                      <w:sz w:val="21"/>
                      <w:szCs w:val="21"/>
                      <w:lang w:val="en-US"/>
                    </w:rPr>
                  </w:pPr>
                </w:p>
              </w:tc>
              <w:tc>
                <w:tcPr>
                  <w:tcW w:w="297" w:type="pct"/>
                  <w:shd w:val="clear" w:color="auto" w:fill="auto"/>
                  <w:noWrap w:val="0"/>
                  <w:vAlign w:val="center"/>
                </w:tcPr>
                <w:p w14:paraId="5E2C8204">
                  <w:pPr>
                    <w:keepNext w:val="0"/>
                    <w:keepLines w:val="0"/>
                    <w:suppressLineNumbers w:val="0"/>
                    <w:autoSpaceDE w:val="0"/>
                    <w:adjustRightInd w:val="0"/>
                    <w:snapToGrid w:val="0"/>
                    <w:spacing w:before="0" w:beforeAutospacing="0" w:after="0" w:afterAutospacing="0"/>
                    <w:ind w:left="0" w:right="0"/>
                    <w:jc w:val="center"/>
                    <w:rPr>
                      <w:rFonts w:hint="eastAsia" w:ascii="Times New Roman" w:hAnsi="Times New Roman" w:eastAsia="宋体" w:cs="Times New Roman"/>
                      <w:bCs/>
                      <w:color w:val="auto"/>
                      <w:kern w:val="2"/>
                      <w:sz w:val="21"/>
                      <w:szCs w:val="21"/>
                      <w:lang w:val="en-US" w:eastAsia="zh-CN" w:bidi="ar"/>
                    </w:rPr>
                  </w:pPr>
                  <w:r>
                    <w:rPr>
                      <w:rFonts w:hint="eastAsia"/>
                      <w:bCs/>
                      <w:color w:val="auto"/>
                      <w:sz w:val="21"/>
                      <w:szCs w:val="21"/>
                      <w:lang w:val="en-US" w:eastAsia="zh-CN" w:bidi="ar"/>
                    </w:rPr>
                    <w:t>20</w:t>
                  </w:r>
                </w:p>
              </w:tc>
              <w:tc>
                <w:tcPr>
                  <w:tcW w:w="178" w:type="pct"/>
                  <w:shd w:val="clear" w:color="auto" w:fill="auto"/>
                  <w:noWrap w:val="0"/>
                  <w:vAlign w:val="center"/>
                </w:tcPr>
                <w:p w14:paraId="6C417B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33.3</w:t>
                  </w:r>
                </w:p>
              </w:tc>
              <w:tc>
                <w:tcPr>
                  <w:tcW w:w="195" w:type="pct"/>
                  <w:shd w:val="clear" w:color="auto" w:fill="auto"/>
                  <w:noWrap w:val="0"/>
                  <w:vAlign w:val="center"/>
                </w:tcPr>
                <w:p w14:paraId="187E8B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33</w:t>
                  </w:r>
                </w:p>
              </w:tc>
              <w:tc>
                <w:tcPr>
                  <w:tcW w:w="196" w:type="pct"/>
                  <w:shd w:val="clear" w:color="auto" w:fill="auto"/>
                  <w:noWrap w:val="0"/>
                  <w:vAlign w:val="center"/>
                </w:tcPr>
                <w:p w14:paraId="569C2B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34</w:t>
                  </w:r>
                </w:p>
              </w:tc>
              <w:tc>
                <w:tcPr>
                  <w:tcW w:w="181" w:type="pct"/>
                  <w:shd w:val="clear" w:color="auto" w:fill="auto"/>
                  <w:noWrap w:val="0"/>
                  <w:vAlign w:val="center"/>
                </w:tcPr>
                <w:p w14:paraId="3062E1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34.3</w:t>
                  </w:r>
                </w:p>
              </w:tc>
              <w:tc>
                <w:tcPr>
                  <w:tcW w:w="224" w:type="pct"/>
                  <w:shd w:val="clear" w:color="auto" w:fill="auto"/>
                  <w:noWrap w:val="0"/>
                  <w:vAlign w:val="center"/>
                </w:tcPr>
                <w:p w14:paraId="36992FDC">
                  <w:pPr>
                    <w:keepNext w:val="0"/>
                    <w:keepLines w:val="0"/>
                    <w:suppressLineNumbers w:val="0"/>
                    <w:autoSpaceDE w:val="0"/>
                    <w:adjustRightInd w:val="0"/>
                    <w:snapToGrid w:val="0"/>
                    <w:spacing w:before="0" w:beforeAutospacing="0" w:after="0" w:afterAutospacing="0"/>
                    <w:ind w:left="0" w:right="0"/>
                    <w:jc w:val="center"/>
                    <w:rPr>
                      <w:rFonts w:ascii="Times New Roman" w:hAnsi="Times New Roman" w:eastAsia="宋体" w:cs="Times New Roman"/>
                      <w:bCs/>
                      <w:color w:val="auto"/>
                      <w:kern w:val="2"/>
                      <w:sz w:val="21"/>
                      <w:szCs w:val="21"/>
                      <w:lang w:val="en-US" w:eastAsia="zh-CN" w:bidi="ar-SA"/>
                    </w:rPr>
                  </w:pPr>
                  <w:r>
                    <w:rPr>
                      <w:bCs/>
                      <w:color w:val="auto"/>
                      <w:sz w:val="21"/>
                      <w:szCs w:val="21"/>
                      <w:lang w:bidi="ar"/>
                    </w:rPr>
                    <w:t>1m</w:t>
                  </w:r>
                </w:p>
              </w:tc>
            </w:tr>
            <w:tr w14:paraId="1400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75" w:type="pct"/>
                  <w:shd w:val="clear" w:color="auto" w:fill="auto"/>
                  <w:noWrap w:val="0"/>
                  <w:vAlign w:val="center"/>
                </w:tcPr>
                <w:p w14:paraId="01865C8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
                    </w:rPr>
                  </w:pPr>
                  <w:r>
                    <w:rPr>
                      <w:rFonts w:hint="eastAsia"/>
                      <w:bCs/>
                      <w:color w:val="auto"/>
                      <w:sz w:val="21"/>
                      <w:szCs w:val="21"/>
                      <w:lang w:val="en-US" w:eastAsia="zh-CN" w:bidi="ar"/>
                    </w:rPr>
                    <w:t>12</w:t>
                  </w:r>
                </w:p>
              </w:tc>
              <w:tc>
                <w:tcPr>
                  <w:tcW w:w="138" w:type="pct"/>
                  <w:vMerge w:val="continue"/>
                  <w:noWrap w:val="0"/>
                  <w:vAlign w:val="center"/>
                </w:tcPr>
                <w:p w14:paraId="3FB3D10D">
                  <w:pPr>
                    <w:keepNext w:val="0"/>
                    <w:keepLines w:val="0"/>
                    <w:suppressLineNumbers w:val="0"/>
                    <w:spacing w:before="0" w:beforeAutospacing="0" w:after="0" w:afterAutospacing="0"/>
                    <w:ind w:left="0" w:right="0"/>
                    <w:jc w:val="center"/>
                    <w:rPr>
                      <w:rFonts w:hint="eastAsia"/>
                      <w:color w:val="auto"/>
                      <w:sz w:val="21"/>
                      <w:szCs w:val="21"/>
                    </w:rPr>
                  </w:pPr>
                </w:p>
              </w:tc>
              <w:tc>
                <w:tcPr>
                  <w:tcW w:w="361" w:type="pct"/>
                  <w:shd w:val="clear" w:color="auto" w:fill="auto"/>
                  <w:noWrap w:val="0"/>
                  <w:vAlign w:val="center"/>
                </w:tcPr>
                <w:p w14:paraId="2C30AAC6">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服装缝纫机</w:t>
                  </w:r>
                </w:p>
              </w:tc>
              <w:tc>
                <w:tcPr>
                  <w:tcW w:w="271" w:type="pct"/>
                  <w:shd w:val="clear" w:color="auto" w:fill="auto"/>
                  <w:noWrap w:val="0"/>
                  <w:vAlign w:val="center"/>
                </w:tcPr>
                <w:p w14:paraId="11D7B053">
                  <w:pPr>
                    <w:keepNext w:val="0"/>
                    <w:keepLines w:val="0"/>
                    <w:suppressLineNumbers w:val="0"/>
                    <w:spacing w:before="0" w:beforeAutospacing="0" w:after="0" w:afterAutospacing="0" w:line="240" w:lineRule="auto"/>
                    <w:ind w:left="0" w:leftChars="0" w:right="0" w:rightChars="0"/>
                    <w:jc w:val="center"/>
                    <w:rPr>
                      <w:rFonts w:hint="default"/>
                      <w:color w:val="auto"/>
                      <w:sz w:val="21"/>
                      <w:szCs w:val="21"/>
                      <w:lang w:val="en-US" w:eastAsia="zh-CN"/>
                    </w:rPr>
                  </w:pPr>
                  <w:r>
                    <w:rPr>
                      <w:rFonts w:hint="eastAsia"/>
                      <w:color w:val="auto"/>
                      <w:sz w:val="21"/>
                      <w:szCs w:val="21"/>
                      <w:lang w:val="en-US" w:eastAsia="zh-CN"/>
                    </w:rPr>
                    <w:t>75</w:t>
                  </w:r>
                </w:p>
              </w:tc>
              <w:tc>
                <w:tcPr>
                  <w:tcW w:w="277" w:type="pct"/>
                  <w:vMerge w:val="continue"/>
                  <w:noWrap w:val="0"/>
                  <w:vAlign w:val="center"/>
                </w:tcPr>
                <w:p w14:paraId="63EF495F">
                  <w:pPr>
                    <w:keepNext w:val="0"/>
                    <w:keepLines w:val="0"/>
                    <w:suppressLineNumbers w:val="0"/>
                    <w:spacing w:before="0" w:beforeAutospacing="0" w:after="0" w:afterAutospacing="0"/>
                    <w:ind w:left="0" w:right="0"/>
                    <w:jc w:val="center"/>
                    <w:rPr>
                      <w:color w:val="auto"/>
                      <w:sz w:val="21"/>
                      <w:szCs w:val="21"/>
                    </w:rPr>
                  </w:pPr>
                </w:p>
              </w:tc>
              <w:tc>
                <w:tcPr>
                  <w:tcW w:w="258" w:type="pct"/>
                  <w:noWrap w:val="0"/>
                  <w:vAlign w:val="center"/>
                </w:tcPr>
                <w:p w14:paraId="77981A5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258" w:type="pct"/>
                  <w:noWrap w:val="0"/>
                  <w:vAlign w:val="center"/>
                </w:tcPr>
                <w:p w14:paraId="2ED5D41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199" w:type="pct"/>
                  <w:noWrap w:val="0"/>
                  <w:vAlign w:val="center"/>
                </w:tcPr>
                <w:p w14:paraId="12F55FB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208" w:type="pct"/>
                  <w:noWrap w:val="0"/>
                  <w:vAlign w:val="center"/>
                </w:tcPr>
                <w:p w14:paraId="09918F6D">
                  <w:pPr>
                    <w:keepNext w:val="0"/>
                    <w:keepLines w:val="0"/>
                    <w:suppressLineNumbers w:val="0"/>
                    <w:spacing w:before="0" w:beforeAutospacing="0" w:after="0" w:afterAutospacing="0" w:line="240" w:lineRule="auto"/>
                    <w:ind w:left="0" w:leftChars="0" w:right="0" w:rightChars="0"/>
                    <w:jc w:val="center"/>
                    <w:rPr>
                      <w:rFonts w:hint="default" w:eastAsia="宋体"/>
                      <w:bCs/>
                      <w:color w:val="auto"/>
                      <w:sz w:val="21"/>
                      <w:szCs w:val="21"/>
                      <w:lang w:val="en-US" w:eastAsia="zh-CN"/>
                    </w:rPr>
                  </w:pPr>
                  <w:r>
                    <w:rPr>
                      <w:rFonts w:hint="eastAsia"/>
                      <w:bCs/>
                      <w:color w:val="auto"/>
                      <w:sz w:val="21"/>
                      <w:szCs w:val="21"/>
                      <w:lang w:val="en-US" w:eastAsia="zh-CN"/>
                    </w:rPr>
                    <w:t>46</w:t>
                  </w:r>
                </w:p>
              </w:tc>
              <w:tc>
                <w:tcPr>
                  <w:tcW w:w="208" w:type="pct"/>
                  <w:shd w:val="clear" w:color="auto" w:fill="auto"/>
                  <w:noWrap w:val="0"/>
                  <w:vAlign w:val="center"/>
                </w:tcPr>
                <w:p w14:paraId="76DA25E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208" w:type="pct"/>
                  <w:shd w:val="clear" w:color="auto" w:fill="auto"/>
                  <w:noWrap w:val="0"/>
                  <w:vAlign w:val="center"/>
                </w:tcPr>
                <w:p w14:paraId="79EFD70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214" w:type="pct"/>
                  <w:noWrap w:val="0"/>
                  <w:vAlign w:val="center"/>
                </w:tcPr>
                <w:p w14:paraId="55CE43BA">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10</w:t>
                  </w:r>
                </w:p>
              </w:tc>
              <w:tc>
                <w:tcPr>
                  <w:tcW w:w="171" w:type="pct"/>
                  <w:shd w:val="clear" w:color="auto" w:fill="auto"/>
                  <w:noWrap w:val="0"/>
                  <w:vAlign w:val="center"/>
                </w:tcPr>
                <w:p w14:paraId="12FBB5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48.2</w:t>
                  </w:r>
                </w:p>
              </w:tc>
              <w:tc>
                <w:tcPr>
                  <w:tcW w:w="197" w:type="pct"/>
                  <w:shd w:val="clear" w:color="auto" w:fill="auto"/>
                  <w:noWrap w:val="0"/>
                  <w:vAlign w:val="center"/>
                </w:tcPr>
                <w:p w14:paraId="2DF381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48.5</w:t>
                  </w:r>
                </w:p>
              </w:tc>
              <w:tc>
                <w:tcPr>
                  <w:tcW w:w="162" w:type="pct"/>
                  <w:noWrap w:val="0"/>
                  <w:vAlign w:val="center"/>
                </w:tcPr>
                <w:p w14:paraId="219BBF8F">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49.2</w:t>
                  </w:r>
                </w:p>
              </w:tc>
              <w:tc>
                <w:tcPr>
                  <w:tcW w:w="181" w:type="pct"/>
                  <w:noWrap w:val="0"/>
                  <w:vAlign w:val="center"/>
                </w:tcPr>
                <w:p w14:paraId="428F80DA">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49.6</w:t>
                  </w:r>
                </w:p>
              </w:tc>
              <w:tc>
                <w:tcPr>
                  <w:tcW w:w="237" w:type="pct"/>
                  <w:vMerge w:val="continue"/>
                  <w:noWrap w:val="0"/>
                  <w:vAlign w:val="center"/>
                </w:tcPr>
                <w:p w14:paraId="681D0C09">
                  <w:pPr>
                    <w:keepNext w:val="0"/>
                    <w:keepLines w:val="0"/>
                    <w:suppressLineNumbers w:val="0"/>
                    <w:spacing w:before="0" w:beforeAutospacing="0" w:after="0" w:afterAutospacing="0"/>
                    <w:ind w:left="0" w:right="0"/>
                    <w:jc w:val="center"/>
                    <w:rPr>
                      <w:rFonts w:hint="default"/>
                      <w:color w:val="auto"/>
                      <w:sz w:val="21"/>
                      <w:szCs w:val="21"/>
                      <w:lang w:val="en-US"/>
                    </w:rPr>
                  </w:pPr>
                </w:p>
              </w:tc>
              <w:tc>
                <w:tcPr>
                  <w:tcW w:w="297" w:type="pct"/>
                  <w:shd w:val="clear" w:color="auto" w:fill="auto"/>
                  <w:noWrap w:val="0"/>
                  <w:vAlign w:val="center"/>
                </w:tcPr>
                <w:p w14:paraId="69D1A874">
                  <w:pPr>
                    <w:keepNext w:val="0"/>
                    <w:keepLines w:val="0"/>
                    <w:suppressLineNumbers w:val="0"/>
                    <w:autoSpaceDE w:val="0"/>
                    <w:adjustRightInd w:val="0"/>
                    <w:snapToGrid w:val="0"/>
                    <w:spacing w:before="0" w:beforeAutospacing="0" w:after="0" w:afterAutospacing="0"/>
                    <w:ind w:left="0" w:right="0"/>
                    <w:jc w:val="center"/>
                    <w:rPr>
                      <w:rFonts w:hint="eastAsia" w:ascii="Times New Roman" w:hAnsi="Times New Roman" w:eastAsia="宋体" w:cs="Times New Roman"/>
                      <w:bCs/>
                      <w:color w:val="auto"/>
                      <w:kern w:val="2"/>
                      <w:sz w:val="21"/>
                      <w:szCs w:val="21"/>
                      <w:lang w:val="en-US" w:eastAsia="zh-CN" w:bidi="ar"/>
                    </w:rPr>
                  </w:pPr>
                  <w:r>
                    <w:rPr>
                      <w:rFonts w:hint="eastAsia"/>
                      <w:bCs/>
                      <w:color w:val="auto"/>
                      <w:sz w:val="21"/>
                      <w:szCs w:val="21"/>
                      <w:lang w:val="en-US" w:eastAsia="zh-CN" w:bidi="ar"/>
                    </w:rPr>
                    <w:t>20</w:t>
                  </w:r>
                </w:p>
              </w:tc>
              <w:tc>
                <w:tcPr>
                  <w:tcW w:w="178" w:type="pct"/>
                  <w:shd w:val="clear" w:color="auto" w:fill="auto"/>
                  <w:noWrap w:val="0"/>
                  <w:vAlign w:val="center"/>
                </w:tcPr>
                <w:p w14:paraId="262AF9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33</w:t>
                  </w:r>
                </w:p>
              </w:tc>
              <w:tc>
                <w:tcPr>
                  <w:tcW w:w="195" w:type="pct"/>
                  <w:shd w:val="clear" w:color="auto" w:fill="auto"/>
                  <w:noWrap w:val="0"/>
                  <w:vAlign w:val="center"/>
                </w:tcPr>
                <w:p w14:paraId="41F99E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33.3</w:t>
                  </w:r>
                </w:p>
              </w:tc>
              <w:tc>
                <w:tcPr>
                  <w:tcW w:w="196" w:type="pct"/>
                  <w:shd w:val="clear" w:color="auto" w:fill="auto"/>
                  <w:noWrap w:val="0"/>
                  <w:vAlign w:val="center"/>
                </w:tcPr>
                <w:p w14:paraId="7D6569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34</w:t>
                  </w:r>
                </w:p>
              </w:tc>
              <w:tc>
                <w:tcPr>
                  <w:tcW w:w="181" w:type="pct"/>
                  <w:shd w:val="clear" w:color="auto" w:fill="auto"/>
                  <w:noWrap w:val="0"/>
                  <w:vAlign w:val="center"/>
                </w:tcPr>
                <w:p w14:paraId="0647F2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34.3</w:t>
                  </w:r>
                </w:p>
              </w:tc>
              <w:tc>
                <w:tcPr>
                  <w:tcW w:w="224" w:type="pct"/>
                  <w:shd w:val="clear" w:color="auto" w:fill="auto"/>
                  <w:noWrap w:val="0"/>
                  <w:vAlign w:val="center"/>
                </w:tcPr>
                <w:p w14:paraId="6D722650">
                  <w:pPr>
                    <w:keepNext w:val="0"/>
                    <w:keepLines w:val="0"/>
                    <w:suppressLineNumbers w:val="0"/>
                    <w:autoSpaceDE w:val="0"/>
                    <w:adjustRightInd w:val="0"/>
                    <w:snapToGrid w:val="0"/>
                    <w:spacing w:before="0" w:beforeAutospacing="0" w:after="0" w:afterAutospacing="0"/>
                    <w:ind w:left="0" w:right="0"/>
                    <w:jc w:val="center"/>
                    <w:rPr>
                      <w:rFonts w:ascii="Times New Roman" w:hAnsi="Times New Roman" w:eastAsia="宋体" w:cs="Times New Roman"/>
                      <w:bCs/>
                      <w:color w:val="auto"/>
                      <w:kern w:val="2"/>
                      <w:sz w:val="21"/>
                      <w:szCs w:val="21"/>
                      <w:lang w:val="en-US" w:eastAsia="zh-CN" w:bidi="ar-SA"/>
                    </w:rPr>
                  </w:pPr>
                  <w:r>
                    <w:rPr>
                      <w:bCs/>
                      <w:color w:val="auto"/>
                      <w:sz w:val="21"/>
                      <w:szCs w:val="21"/>
                      <w:lang w:bidi="ar"/>
                    </w:rPr>
                    <w:t>1m</w:t>
                  </w:r>
                </w:p>
              </w:tc>
            </w:tr>
            <w:tr w14:paraId="6417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 w:type="pct"/>
                  <w:shd w:val="clear" w:color="auto" w:fill="auto"/>
                  <w:noWrap w:val="0"/>
                  <w:vAlign w:val="center"/>
                </w:tcPr>
                <w:p w14:paraId="1F7C74A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
                    </w:rPr>
                  </w:pPr>
                  <w:r>
                    <w:rPr>
                      <w:rFonts w:hint="eastAsia"/>
                      <w:bCs/>
                      <w:color w:val="auto"/>
                      <w:sz w:val="21"/>
                      <w:szCs w:val="21"/>
                      <w:lang w:val="en-US" w:eastAsia="zh-CN" w:bidi="ar"/>
                    </w:rPr>
                    <w:t>13</w:t>
                  </w:r>
                </w:p>
              </w:tc>
              <w:tc>
                <w:tcPr>
                  <w:tcW w:w="138" w:type="pct"/>
                  <w:vMerge w:val="continue"/>
                  <w:noWrap w:val="0"/>
                  <w:vAlign w:val="center"/>
                </w:tcPr>
                <w:p w14:paraId="321ACD7B">
                  <w:pPr>
                    <w:keepNext w:val="0"/>
                    <w:keepLines w:val="0"/>
                    <w:suppressLineNumbers w:val="0"/>
                    <w:spacing w:before="0" w:beforeAutospacing="0" w:after="0" w:afterAutospacing="0"/>
                    <w:ind w:left="0" w:right="0"/>
                    <w:jc w:val="center"/>
                    <w:rPr>
                      <w:rFonts w:hint="eastAsia"/>
                      <w:color w:val="auto"/>
                      <w:sz w:val="21"/>
                      <w:szCs w:val="21"/>
                    </w:rPr>
                  </w:pPr>
                </w:p>
              </w:tc>
              <w:tc>
                <w:tcPr>
                  <w:tcW w:w="361" w:type="pct"/>
                  <w:shd w:val="clear" w:color="auto" w:fill="auto"/>
                  <w:noWrap w:val="0"/>
                  <w:vAlign w:val="center"/>
                </w:tcPr>
                <w:p w14:paraId="6206742C">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锁边机</w:t>
                  </w:r>
                </w:p>
              </w:tc>
              <w:tc>
                <w:tcPr>
                  <w:tcW w:w="271" w:type="pct"/>
                  <w:shd w:val="clear" w:color="auto" w:fill="auto"/>
                  <w:noWrap w:val="0"/>
                  <w:vAlign w:val="center"/>
                </w:tcPr>
                <w:p w14:paraId="4B271E75">
                  <w:pPr>
                    <w:keepNext w:val="0"/>
                    <w:keepLines w:val="0"/>
                    <w:suppressLineNumbers w:val="0"/>
                    <w:spacing w:before="0" w:beforeAutospacing="0" w:after="0" w:afterAutospacing="0" w:line="240" w:lineRule="auto"/>
                    <w:ind w:left="0" w:leftChars="0" w:right="0" w:rightChars="0"/>
                    <w:jc w:val="center"/>
                    <w:rPr>
                      <w:rFonts w:hint="default"/>
                      <w:color w:val="auto"/>
                      <w:sz w:val="21"/>
                      <w:szCs w:val="21"/>
                      <w:lang w:val="en-US" w:eastAsia="zh-CN"/>
                    </w:rPr>
                  </w:pPr>
                  <w:r>
                    <w:rPr>
                      <w:rFonts w:hint="eastAsia"/>
                      <w:color w:val="auto"/>
                      <w:sz w:val="21"/>
                      <w:szCs w:val="21"/>
                      <w:lang w:val="en-US" w:eastAsia="zh-CN"/>
                    </w:rPr>
                    <w:t>70</w:t>
                  </w:r>
                </w:p>
              </w:tc>
              <w:tc>
                <w:tcPr>
                  <w:tcW w:w="277" w:type="pct"/>
                  <w:vMerge w:val="continue"/>
                  <w:noWrap w:val="0"/>
                  <w:vAlign w:val="center"/>
                </w:tcPr>
                <w:p w14:paraId="0191AD42">
                  <w:pPr>
                    <w:keepNext w:val="0"/>
                    <w:keepLines w:val="0"/>
                    <w:suppressLineNumbers w:val="0"/>
                    <w:spacing w:before="0" w:beforeAutospacing="0" w:after="0" w:afterAutospacing="0"/>
                    <w:ind w:left="0" w:right="0"/>
                    <w:jc w:val="center"/>
                    <w:rPr>
                      <w:color w:val="auto"/>
                      <w:sz w:val="21"/>
                      <w:szCs w:val="21"/>
                    </w:rPr>
                  </w:pPr>
                </w:p>
              </w:tc>
              <w:tc>
                <w:tcPr>
                  <w:tcW w:w="258" w:type="pct"/>
                  <w:noWrap w:val="0"/>
                  <w:vAlign w:val="center"/>
                </w:tcPr>
                <w:p w14:paraId="767BD2A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258" w:type="pct"/>
                  <w:noWrap w:val="0"/>
                  <w:vAlign w:val="center"/>
                </w:tcPr>
                <w:p w14:paraId="1BF3F87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199" w:type="pct"/>
                  <w:noWrap w:val="0"/>
                  <w:vAlign w:val="center"/>
                </w:tcPr>
                <w:p w14:paraId="1939227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208" w:type="pct"/>
                  <w:noWrap w:val="0"/>
                  <w:vAlign w:val="center"/>
                </w:tcPr>
                <w:p w14:paraId="294D8658">
                  <w:pPr>
                    <w:keepNext w:val="0"/>
                    <w:keepLines w:val="0"/>
                    <w:suppressLineNumbers w:val="0"/>
                    <w:spacing w:before="0" w:beforeAutospacing="0" w:after="0" w:afterAutospacing="0" w:line="240" w:lineRule="auto"/>
                    <w:ind w:left="0" w:leftChars="0" w:right="0" w:rightChars="0"/>
                    <w:jc w:val="center"/>
                    <w:rPr>
                      <w:rFonts w:hint="default" w:eastAsia="宋体"/>
                      <w:bCs/>
                      <w:color w:val="auto"/>
                      <w:sz w:val="21"/>
                      <w:szCs w:val="21"/>
                      <w:lang w:val="en-US" w:eastAsia="zh-CN"/>
                    </w:rPr>
                  </w:pPr>
                  <w:r>
                    <w:rPr>
                      <w:rFonts w:hint="eastAsia"/>
                      <w:bCs/>
                      <w:color w:val="auto"/>
                      <w:sz w:val="21"/>
                      <w:szCs w:val="21"/>
                      <w:lang w:val="en-US" w:eastAsia="zh-CN"/>
                    </w:rPr>
                    <w:t>41</w:t>
                  </w:r>
                </w:p>
              </w:tc>
              <w:tc>
                <w:tcPr>
                  <w:tcW w:w="208" w:type="pct"/>
                  <w:shd w:val="clear" w:color="auto" w:fill="auto"/>
                  <w:noWrap w:val="0"/>
                  <w:vAlign w:val="center"/>
                </w:tcPr>
                <w:p w14:paraId="221F668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208" w:type="pct"/>
                  <w:shd w:val="clear" w:color="auto" w:fill="auto"/>
                  <w:noWrap w:val="0"/>
                  <w:vAlign w:val="center"/>
                </w:tcPr>
                <w:p w14:paraId="3410F52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214" w:type="pct"/>
                  <w:noWrap w:val="0"/>
                  <w:vAlign w:val="center"/>
                </w:tcPr>
                <w:p w14:paraId="677FFB3E">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10</w:t>
                  </w:r>
                </w:p>
              </w:tc>
              <w:tc>
                <w:tcPr>
                  <w:tcW w:w="171" w:type="pct"/>
                  <w:shd w:val="clear" w:color="auto" w:fill="auto"/>
                  <w:noWrap w:val="0"/>
                  <w:vAlign w:val="center"/>
                </w:tcPr>
                <w:p w14:paraId="44C310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43.2</w:t>
                  </w:r>
                </w:p>
              </w:tc>
              <w:tc>
                <w:tcPr>
                  <w:tcW w:w="197" w:type="pct"/>
                  <w:shd w:val="clear" w:color="auto" w:fill="auto"/>
                  <w:noWrap w:val="0"/>
                  <w:vAlign w:val="center"/>
                </w:tcPr>
                <w:p w14:paraId="763E06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43.4</w:t>
                  </w:r>
                </w:p>
              </w:tc>
              <w:tc>
                <w:tcPr>
                  <w:tcW w:w="162" w:type="pct"/>
                  <w:noWrap w:val="0"/>
                  <w:vAlign w:val="center"/>
                </w:tcPr>
                <w:p w14:paraId="043B7DD0">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44.2</w:t>
                  </w:r>
                </w:p>
              </w:tc>
              <w:tc>
                <w:tcPr>
                  <w:tcW w:w="181" w:type="pct"/>
                  <w:noWrap w:val="0"/>
                  <w:vAlign w:val="center"/>
                </w:tcPr>
                <w:p w14:paraId="495230BA">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44.6</w:t>
                  </w:r>
                </w:p>
              </w:tc>
              <w:tc>
                <w:tcPr>
                  <w:tcW w:w="237" w:type="pct"/>
                  <w:vMerge w:val="continue"/>
                  <w:noWrap w:val="0"/>
                  <w:vAlign w:val="center"/>
                </w:tcPr>
                <w:p w14:paraId="314EA919">
                  <w:pPr>
                    <w:keepNext w:val="0"/>
                    <w:keepLines w:val="0"/>
                    <w:suppressLineNumbers w:val="0"/>
                    <w:spacing w:before="0" w:beforeAutospacing="0" w:after="0" w:afterAutospacing="0"/>
                    <w:ind w:left="0" w:right="0"/>
                    <w:jc w:val="center"/>
                    <w:rPr>
                      <w:rFonts w:hint="default"/>
                      <w:color w:val="auto"/>
                      <w:sz w:val="21"/>
                      <w:szCs w:val="21"/>
                      <w:lang w:val="en-US"/>
                    </w:rPr>
                  </w:pPr>
                </w:p>
              </w:tc>
              <w:tc>
                <w:tcPr>
                  <w:tcW w:w="297" w:type="pct"/>
                  <w:shd w:val="clear" w:color="auto" w:fill="auto"/>
                  <w:noWrap w:val="0"/>
                  <w:vAlign w:val="center"/>
                </w:tcPr>
                <w:p w14:paraId="09092670">
                  <w:pPr>
                    <w:keepNext w:val="0"/>
                    <w:keepLines w:val="0"/>
                    <w:suppressLineNumbers w:val="0"/>
                    <w:autoSpaceDE w:val="0"/>
                    <w:adjustRightInd w:val="0"/>
                    <w:snapToGrid w:val="0"/>
                    <w:spacing w:before="0" w:beforeAutospacing="0" w:after="0" w:afterAutospacing="0"/>
                    <w:ind w:left="0" w:right="0"/>
                    <w:jc w:val="center"/>
                    <w:rPr>
                      <w:rFonts w:hint="eastAsia" w:ascii="Times New Roman" w:hAnsi="Times New Roman" w:eastAsia="宋体" w:cs="Times New Roman"/>
                      <w:bCs/>
                      <w:color w:val="auto"/>
                      <w:kern w:val="2"/>
                      <w:sz w:val="21"/>
                      <w:szCs w:val="21"/>
                      <w:lang w:val="en-US" w:eastAsia="zh-CN" w:bidi="ar"/>
                    </w:rPr>
                  </w:pPr>
                  <w:r>
                    <w:rPr>
                      <w:rFonts w:hint="eastAsia"/>
                      <w:bCs/>
                      <w:color w:val="auto"/>
                      <w:sz w:val="21"/>
                      <w:szCs w:val="21"/>
                      <w:lang w:val="en-US" w:eastAsia="zh-CN" w:bidi="ar"/>
                    </w:rPr>
                    <w:t>20</w:t>
                  </w:r>
                </w:p>
              </w:tc>
              <w:tc>
                <w:tcPr>
                  <w:tcW w:w="178" w:type="pct"/>
                  <w:shd w:val="clear" w:color="auto" w:fill="auto"/>
                  <w:noWrap w:val="0"/>
                  <w:vAlign w:val="center"/>
                </w:tcPr>
                <w:p w14:paraId="184E13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28</w:t>
                  </w:r>
                </w:p>
              </w:tc>
              <w:tc>
                <w:tcPr>
                  <w:tcW w:w="195" w:type="pct"/>
                  <w:shd w:val="clear" w:color="auto" w:fill="auto"/>
                  <w:noWrap w:val="0"/>
                  <w:vAlign w:val="center"/>
                </w:tcPr>
                <w:p w14:paraId="2B54B5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28.2</w:t>
                  </w:r>
                </w:p>
              </w:tc>
              <w:tc>
                <w:tcPr>
                  <w:tcW w:w="196" w:type="pct"/>
                  <w:shd w:val="clear" w:color="auto" w:fill="auto"/>
                  <w:noWrap w:val="0"/>
                  <w:vAlign w:val="center"/>
                </w:tcPr>
                <w:p w14:paraId="012D24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29</w:t>
                  </w:r>
                </w:p>
              </w:tc>
              <w:tc>
                <w:tcPr>
                  <w:tcW w:w="181" w:type="pct"/>
                  <w:shd w:val="clear" w:color="auto" w:fill="auto"/>
                  <w:noWrap w:val="0"/>
                  <w:vAlign w:val="center"/>
                </w:tcPr>
                <w:p w14:paraId="238640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29.3</w:t>
                  </w:r>
                </w:p>
              </w:tc>
              <w:tc>
                <w:tcPr>
                  <w:tcW w:w="224" w:type="pct"/>
                  <w:shd w:val="clear" w:color="auto" w:fill="auto"/>
                  <w:noWrap w:val="0"/>
                  <w:vAlign w:val="center"/>
                </w:tcPr>
                <w:p w14:paraId="2A222F42">
                  <w:pPr>
                    <w:keepNext w:val="0"/>
                    <w:keepLines w:val="0"/>
                    <w:suppressLineNumbers w:val="0"/>
                    <w:autoSpaceDE w:val="0"/>
                    <w:adjustRightInd w:val="0"/>
                    <w:snapToGrid w:val="0"/>
                    <w:spacing w:before="0" w:beforeAutospacing="0" w:after="0" w:afterAutospacing="0"/>
                    <w:ind w:left="0" w:right="0"/>
                    <w:jc w:val="center"/>
                    <w:rPr>
                      <w:rFonts w:ascii="Times New Roman" w:hAnsi="Times New Roman" w:eastAsia="宋体" w:cs="Times New Roman"/>
                      <w:bCs/>
                      <w:color w:val="auto"/>
                      <w:kern w:val="2"/>
                      <w:sz w:val="21"/>
                      <w:szCs w:val="21"/>
                      <w:lang w:val="en-US" w:eastAsia="zh-CN" w:bidi="ar"/>
                    </w:rPr>
                  </w:pPr>
                  <w:r>
                    <w:rPr>
                      <w:bCs/>
                      <w:color w:val="auto"/>
                      <w:sz w:val="21"/>
                      <w:szCs w:val="21"/>
                      <w:lang w:bidi="ar"/>
                    </w:rPr>
                    <w:t>1m</w:t>
                  </w:r>
                </w:p>
              </w:tc>
            </w:tr>
            <w:tr w14:paraId="7A1E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658A9A8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
                    </w:rPr>
                  </w:pPr>
                  <w:r>
                    <w:rPr>
                      <w:rFonts w:hint="eastAsia"/>
                      <w:bCs/>
                      <w:color w:val="auto"/>
                      <w:sz w:val="21"/>
                      <w:szCs w:val="21"/>
                      <w:lang w:val="en-US" w:eastAsia="zh-CN" w:bidi="ar"/>
                    </w:rPr>
                    <w:t>14</w:t>
                  </w:r>
                </w:p>
              </w:tc>
              <w:tc>
                <w:tcPr>
                  <w:tcW w:w="138" w:type="pct"/>
                  <w:vMerge w:val="continue"/>
                  <w:vAlign w:val="center"/>
                </w:tcPr>
                <w:p w14:paraId="01494881">
                  <w:pPr>
                    <w:keepNext w:val="0"/>
                    <w:keepLines w:val="0"/>
                    <w:suppressLineNumbers w:val="0"/>
                    <w:spacing w:before="0" w:beforeAutospacing="0" w:after="0" w:afterAutospacing="0"/>
                    <w:ind w:left="0" w:right="0"/>
                    <w:jc w:val="center"/>
                    <w:rPr>
                      <w:rFonts w:hint="eastAsia"/>
                      <w:color w:val="auto"/>
                      <w:sz w:val="21"/>
                      <w:szCs w:val="21"/>
                    </w:rPr>
                  </w:pPr>
                </w:p>
              </w:tc>
              <w:tc>
                <w:tcPr>
                  <w:tcW w:w="0" w:type="auto"/>
                  <w:shd w:val="clear" w:color="auto" w:fill="auto"/>
                  <w:vAlign w:val="center"/>
                </w:tcPr>
                <w:p w14:paraId="4BDDF4B9">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充绒机</w:t>
                  </w:r>
                </w:p>
              </w:tc>
              <w:tc>
                <w:tcPr>
                  <w:tcW w:w="0" w:type="auto"/>
                  <w:vAlign w:val="center"/>
                </w:tcPr>
                <w:p w14:paraId="4983B456">
                  <w:pPr>
                    <w:keepNext w:val="0"/>
                    <w:keepLines w:val="0"/>
                    <w:suppressLineNumbers w:val="0"/>
                    <w:spacing w:before="0" w:beforeAutospacing="0" w:after="0" w:afterAutospacing="0" w:line="240" w:lineRule="auto"/>
                    <w:ind w:left="0" w:leftChars="0" w:right="0" w:rightChars="0"/>
                    <w:jc w:val="center"/>
                    <w:rPr>
                      <w:rFonts w:hint="default"/>
                      <w:color w:val="auto"/>
                      <w:sz w:val="21"/>
                      <w:szCs w:val="21"/>
                      <w:lang w:val="en-US" w:eastAsia="zh-CN"/>
                    </w:rPr>
                  </w:pPr>
                  <w:r>
                    <w:rPr>
                      <w:rFonts w:hint="eastAsia"/>
                      <w:color w:val="auto"/>
                      <w:sz w:val="21"/>
                      <w:szCs w:val="21"/>
                      <w:lang w:val="en-US" w:eastAsia="zh-CN"/>
                    </w:rPr>
                    <w:t>80</w:t>
                  </w:r>
                </w:p>
              </w:tc>
              <w:tc>
                <w:tcPr>
                  <w:tcW w:w="277" w:type="pct"/>
                  <w:vMerge w:val="continue"/>
                  <w:vAlign w:val="center"/>
                </w:tcPr>
                <w:p w14:paraId="7E79A619">
                  <w:pPr>
                    <w:keepNext w:val="0"/>
                    <w:keepLines w:val="0"/>
                    <w:suppressLineNumbers w:val="0"/>
                    <w:spacing w:before="0" w:beforeAutospacing="0" w:after="0" w:afterAutospacing="0"/>
                    <w:ind w:left="0" w:right="0"/>
                    <w:jc w:val="center"/>
                    <w:rPr>
                      <w:color w:val="auto"/>
                      <w:sz w:val="21"/>
                      <w:szCs w:val="21"/>
                    </w:rPr>
                  </w:pPr>
                </w:p>
              </w:tc>
              <w:tc>
                <w:tcPr>
                  <w:tcW w:w="0" w:type="auto"/>
                  <w:vAlign w:val="center"/>
                </w:tcPr>
                <w:p w14:paraId="29A7CFD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0" w:type="auto"/>
                  <w:vAlign w:val="center"/>
                </w:tcPr>
                <w:p w14:paraId="712C187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0" w:type="auto"/>
                  <w:vAlign w:val="center"/>
                </w:tcPr>
                <w:p w14:paraId="390DF9F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0" w:type="auto"/>
                  <w:vAlign w:val="center"/>
                </w:tcPr>
                <w:p w14:paraId="6D3531F8">
                  <w:pPr>
                    <w:keepNext w:val="0"/>
                    <w:keepLines w:val="0"/>
                    <w:suppressLineNumbers w:val="0"/>
                    <w:spacing w:before="0" w:beforeAutospacing="0" w:after="0" w:afterAutospacing="0" w:line="240" w:lineRule="auto"/>
                    <w:ind w:left="0" w:leftChars="0" w:right="0" w:rightChars="0"/>
                    <w:jc w:val="center"/>
                    <w:rPr>
                      <w:rFonts w:hint="default" w:eastAsia="宋体"/>
                      <w:bCs/>
                      <w:color w:val="auto"/>
                      <w:sz w:val="21"/>
                      <w:szCs w:val="21"/>
                      <w:lang w:val="en-US" w:eastAsia="zh-CN"/>
                    </w:rPr>
                  </w:pPr>
                  <w:r>
                    <w:rPr>
                      <w:rFonts w:hint="eastAsia"/>
                      <w:bCs/>
                      <w:color w:val="auto"/>
                      <w:sz w:val="21"/>
                      <w:szCs w:val="21"/>
                      <w:lang w:val="en-US" w:eastAsia="zh-CN"/>
                    </w:rPr>
                    <w:t>56</w:t>
                  </w:r>
                </w:p>
              </w:tc>
              <w:tc>
                <w:tcPr>
                  <w:tcW w:w="0" w:type="auto"/>
                  <w:shd w:val="clear" w:color="auto" w:fill="auto"/>
                  <w:vAlign w:val="center"/>
                </w:tcPr>
                <w:p w14:paraId="701AE9E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0" w:type="auto"/>
                  <w:shd w:val="clear" w:color="auto" w:fill="auto"/>
                  <w:vAlign w:val="center"/>
                </w:tcPr>
                <w:p w14:paraId="7DA6A2A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0" w:type="auto"/>
                  <w:vAlign w:val="center"/>
                </w:tcPr>
                <w:p w14:paraId="45A9C902">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2</w:t>
                  </w:r>
                </w:p>
              </w:tc>
              <w:tc>
                <w:tcPr>
                  <w:tcW w:w="171" w:type="pct"/>
                  <w:vAlign w:val="center"/>
                </w:tcPr>
                <w:p w14:paraId="1F1A3E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53.2</w:t>
                  </w:r>
                </w:p>
              </w:tc>
              <w:tc>
                <w:tcPr>
                  <w:tcW w:w="197" w:type="pct"/>
                  <w:vAlign w:val="center"/>
                </w:tcPr>
                <w:p w14:paraId="49A39B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54.6</w:t>
                  </w:r>
                </w:p>
              </w:tc>
              <w:tc>
                <w:tcPr>
                  <w:tcW w:w="162" w:type="pct"/>
                  <w:vAlign w:val="center"/>
                </w:tcPr>
                <w:p w14:paraId="1CA1D75D">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53.5</w:t>
                  </w:r>
                </w:p>
              </w:tc>
              <w:tc>
                <w:tcPr>
                  <w:tcW w:w="181" w:type="pct"/>
                  <w:vAlign w:val="center"/>
                </w:tcPr>
                <w:p w14:paraId="03A17A8E">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63.4</w:t>
                  </w:r>
                </w:p>
              </w:tc>
              <w:tc>
                <w:tcPr>
                  <w:tcW w:w="237" w:type="pct"/>
                  <w:vMerge w:val="continue"/>
                  <w:vAlign w:val="center"/>
                </w:tcPr>
                <w:p w14:paraId="0ECD9BA7">
                  <w:pPr>
                    <w:keepNext w:val="0"/>
                    <w:keepLines w:val="0"/>
                    <w:suppressLineNumbers w:val="0"/>
                    <w:spacing w:before="0" w:beforeAutospacing="0" w:after="0" w:afterAutospacing="0"/>
                    <w:ind w:left="0" w:right="0"/>
                    <w:jc w:val="center"/>
                    <w:rPr>
                      <w:rFonts w:hint="default"/>
                      <w:color w:val="auto"/>
                      <w:sz w:val="21"/>
                      <w:szCs w:val="21"/>
                      <w:lang w:val="en-US"/>
                    </w:rPr>
                  </w:pPr>
                </w:p>
              </w:tc>
              <w:tc>
                <w:tcPr>
                  <w:tcW w:w="297" w:type="pct"/>
                  <w:vAlign w:val="center"/>
                </w:tcPr>
                <w:p w14:paraId="14DB37E8">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r>
                    <w:rPr>
                      <w:rFonts w:hint="eastAsia" w:cs="Times New Roman"/>
                      <w:bCs/>
                      <w:color w:val="auto"/>
                      <w:kern w:val="2"/>
                      <w:sz w:val="21"/>
                      <w:szCs w:val="21"/>
                      <w:lang w:val="en-US" w:eastAsia="zh-CN" w:bidi="ar"/>
                    </w:rPr>
                    <w:t>20</w:t>
                  </w:r>
                </w:p>
              </w:tc>
              <w:tc>
                <w:tcPr>
                  <w:tcW w:w="178" w:type="pct"/>
                  <w:vAlign w:val="center"/>
                </w:tcPr>
                <w:p w14:paraId="2ADE17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38</w:t>
                  </w:r>
                </w:p>
              </w:tc>
              <w:tc>
                <w:tcPr>
                  <w:tcW w:w="195" w:type="pct"/>
                  <w:vAlign w:val="center"/>
                </w:tcPr>
                <w:p w14:paraId="6C6D4B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39.3</w:t>
                  </w:r>
                </w:p>
              </w:tc>
              <w:tc>
                <w:tcPr>
                  <w:tcW w:w="196" w:type="pct"/>
                  <w:vAlign w:val="center"/>
                </w:tcPr>
                <w:p w14:paraId="50AB33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38.3</w:t>
                  </w:r>
                </w:p>
              </w:tc>
              <w:tc>
                <w:tcPr>
                  <w:tcW w:w="0" w:type="auto"/>
                  <w:vAlign w:val="center"/>
                </w:tcPr>
                <w:p w14:paraId="57F449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48.2</w:t>
                  </w:r>
                </w:p>
              </w:tc>
              <w:tc>
                <w:tcPr>
                  <w:tcW w:w="0" w:type="auto"/>
                  <w:shd w:val="clear" w:color="auto" w:fill="auto"/>
                  <w:vAlign w:val="center"/>
                </w:tcPr>
                <w:p w14:paraId="71436A0D">
                  <w:pPr>
                    <w:keepNext w:val="0"/>
                    <w:keepLines w:val="0"/>
                    <w:suppressLineNumbers w:val="0"/>
                    <w:autoSpaceDE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2"/>
                      <w:sz w:val="21"/>
                      <w:szCs w:val="21"/>
                      <w:lang w:val="en-US" w:eastAsia="zh-CN" w:bidi="ar-SA"/>
                    </w:rPr>
                  </w:pPr>
                  <w:r>
                    <w:rPr>
                      <w:bCs/>
                      <w:color w:val="auto"/>
                      <w:sz w:val="21"/>
                      <w:szCs w:val="21"/>
                      <w:lang w:bidi="ar"/>
                    </w:rPr>
                    <w:t>1m</w:t>
                  </w:r>
                </w:p>
              </w:tc>
            </w:tr>
            <w:tr w14:paraId="7FCB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72F249E0">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 w:val="21"/>
                      <w:szCs w:val="21"/>
                      <w:lang w:val="en-US" w:eastAsia="zh-CN" w:bidi="ar"/>
                    </w:rPr>
                  </w:pPr>
                  <w:r>
                    <w:rPr>
                      <w:rFonts w:hint="eastAsia"/>
                      <w:bCs/>
                      <w:color w:val="auto"/>
                      <w:sz w:val="21"/>
                      <w:szCs w:val="21"/>
                      <w:lang w:val="en-US" w:eastAsia="zh-CN" w:bidi="ar"/>
                    </w:rPr>
                    <w:t>15</w:t>
                  </w:r>
                </w:p>
              </w:tc>
              <w:tc>
                <w:tcPr>
                  <w:tcW w:w="138" w:type="pct"/>
                  <w:vMerge w:val="continue"/>
                  <w:vAlign w:val="center"/>
                </w:tcPr>
                <w:p w14:paraId="331A992E">
                  <w:pPr>
                    <w:keepNext w:val="0"/>
                    <w:keepLines w:val="0"/>
                    <w:suppressLineNumbers w:val="0"/>
                    <w:spacing w:before="0" w:beforeAutospacing="0" w:after="0" w:afterAutospacing="0"/>
                    <w:ind w:left="0" w:right="0"/>
                    <w:jc w:val="center"/>
                    <w:rPr>
                      <w:rFonts w:hint="eastAsia"/>
                      <w:color w:val="auto"/>
                      <w:sz w:val="21"/>
                      <w:szCs w:val="21"/>
                    </w:rPr>
                  </w:pPr>
                </w:p>
              </w:tc>
              <w:tc>
                <w:tcPr>
                  <w:tcW w:w="0" w:type="auto"/>
                  <w:shd w:val="clear" w:color="auto" w:fill="auto"/>
                  <w:vAlign w:val="center"/>
                </w:tcPr>
                <w:p w14:paraId="279BF6BF">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充绒机</w:t>
                  </w:r>
                </w:p>
              </w:tc>
              <w:tc>
                <w:tcPr>
                  <w:tcW w:w="0" w:type="auto"/>
                  <w:shd w:val="clear"/>
                  <w:vAlign w:val="center"/>
                </w:tcPr>
                <w:p w14:paraId="3BA49F95">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80</w:t>
                  </w:r>
                </w:p>
              </w:tc>
              <w:tc>
                <w:tcPr>
                  <w:tcW w:w="277" w:type="pct"/>
                  <w:vMerge w:val="continue"/>
                  <w:shd w:val="clear"/>
                  <w:vAlign w:val="center"/>
                </w:tcPr>
                <w:p w14:paraId="4928620A">
                  <w:pPr>
                    <w:keepNext w:val="0"/>
                    <w:keepLines w:val="0"/>
                    <w:suppressLineNumbers w:val="0"/>
                    <w:spacing w:before="0" w:beforeAutospacing="0" w:after="0" w:afterAutospacing="0"/>
                    <w:ind w:left="0" w:leftChars="0" w:right="0" w:rightChars="0"/>
                    <w:jc w:val="center"/>
                    <w:rPr>
                      <w:rFonts w:ascii="Times New Roman" w:hAnsi="Times New Roman" w:eastAsia="宋体" w:cs="Times New Roman"/>
                      <w:color w:val="auto"/>
                      <w:kern w:val="2"/>
                      <w:sz w:val="21"/>
                      <w:szCs w:val="21"/>
                      <w:lang w:val="en-US" w:eastAsia="zh-CN" w:bidi="ar-SA"/>
                    </w:rPr>
                  </w:pPr>
                </w:p>
              </w:tc>
              <w:tc>
                <w:tcPr>
                  <w:tcW w:w="0" w:type="auto"/>
                  <w:shd w:val="clear"/>
                  <w:vAlign w:val="center"/>
                </w:tcPr>
                <w:p w14:paraId="0B06FEA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0" w:type="auto"/>
                  <w:shd w:val="clear"/>
                  <w:vAlign w:val="center"/>
                </w:tcPr>
                <w:p w14:paraId="66F2DBC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0" w:type="auto"/>
                  <w:shd w:val="clear"/>
                  <w:vAlign w:val="center"/>
                </w:tcPr>
                <w:p w14:paraId="18F2706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0" w:type="auto"/>
                  <w:shd w:val="clear"/>
                  <w:vAlign w:val="center"/>
                </w:tcPr>
                <w:p w14:paraId="39BEF88E">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54</w:t>
                  </w:r>
                </w:p>
              </w:tc>
              <w:tc>
                <w:tcPr>
                  <w:tcW w:w="0" w:type="auto"/>
                  <w:shd w:val="clear" w:color="auto" w:fill="auto"/>
                  <w:vAlign w:val="center"/>
                </w:tcPr>
                <w:p w14:paraId="6A2FD0BE">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0" w:type="auto"/>
                  <w:shd w:val="clear" w:color="auto" w:fill="auto"/>
                  <w:vAlign w:val="center"/>
                </w:tcPr>
                <w:p w14:paraId="6A96D78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0" w:type="auto"/>
                  <w:shd w:val="clear"/>
                  <w:vAlign w:val="center"/>
                </w:tcPr>
                <w:p w14:paraId="21A1F60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2</w:t>
                  </w:r>
                </w:p>
              </w:tc>
              <w:tc>
                <w:tcPr>
                  <w:tcW w:w="171" w:type="pct"/>
                  <w:shd w:val="clear"/>
                  <w:vAlign w:val="center"/>
                </w:tcPr>
                <w:p w14:paraId="7A3C9E8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53.1</w:t>
                  </w:r>
                </w:p>
              </w:tc>
              <w:tc>
                <w:tcPr>
                  <w:tcW w:w="197" w:type="pct"/>
                  <w:shd w:val="clear"/>
                  <w:vAlign w:val="center"/>
                </w:tcPr>
                <w:p w14:paraId="00377C4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54.4</w:t>
                  </w:r>
                </w:p>
              </w:tc>
              <w:tc>
                <w:tcPr>
                  <w:tcW w:w="162" w:type="pct"/>
                  <w:shd w:val="clear"/>
                  <w:vAlign w:val="center"/>
                </w:tcPr>
                <w:p w14:paraId="09621179">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53.5</w:t>
                  </w:r>
                </w:p>
              </w:tc>
              <w:tc>
                <w:tcPr>
                  <w:tcW w:w="181" w:type="pct"/>
                  <w:shd w:val="clear"/>
                  <w:vAlign w:val="center"/>
                </w:tcPr>
                <w:p w14:paraId="144ACC4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63.4</w:t>
                  </w:r>
                </w:p>
              </w:tc>
              <w:tc>
                <w:tcPr>
                  <w:tcW w:w="237" w:type="pct"/>
                  <w:vMerge w:val="continue"/>
                  <w:vAlign w:val="center"/>
                </w:tcPr>
                <w:p w14:paraId="6D3DB8C8">
                  <w:pPr>
                    <w:keepNext w:val="0"/>
                    <w:keepLines w:val="0"/>
                    <w:suppressLineNumbers w:val="0"/>
                    <w:spacing w:before="0" w:beforeAutospacing="0" w:after="0" w:afterAutospacing="0"/>
                    <w:ind w:left="0" w:right="0"/>
                    <w:jc w:val="center"/>
                    <w:rPr>
                      <w:rFonts w:hint="default"/>
                      <w:color w:val="auto"/>
                      <w:sz w:val="21"/>
                      <w:szCs w:val="21"/>
                      <w:lang w:val="en-US"/>
                    </w:rPr>
                  </w:pPr>
                </w:p>
              </w:tc>
              <w:tc>
                <w:tcPr>
                  <w:tcW w:w="297" w:type="pct"/>
                  <w:shd w:val="clear"/>
                  <w:vAlign w:val="center"/>
                </w:tcPr>
                <w:p w14:paraId="6784395A">
                  <w:pPr>
                    <w:keepNext w:val="0"/>
                    <w:keepLines w:val="0"/>
                    <w:suppressLineNumbers w:val="0"/>
                    <w:autoSpaceDE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
                    </w:rPr>
                  </w:pPr>
                  <w:r>
                    <w:rPr>
                      <w:rFonts w:hint="eastAsia" w:cs="Times New Roman"/>
                      <w:bCs/>
                      <w:color w:val="auto"/>
                      <w:kern w:val="2"/>
                      <w:sz w:val="21"/>
                      <w:szCs w:val="21"/>
                      <w:lang w:val="en-US" w:eastAsia="zh-CN" w:bidi="ar"/>
                    </w:rPr>
                    <w:t>20</w:t>
                  </w:r>
                </w:p>
              </w:tc>
              <w:tc>
                <w:tcPr>
                  <w:tcW w:w="178" w:type="pct"/>
                  <w:shd w:val="clear"/>
                  <w:vAlign w:val="center"/>
                </w:tcPr>
                <w:p w14:paraId="4431383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37.9</w:t>
                  </w:r>
                </w:p>
              </w:tc>
              <w:tc>
                <w:tcPr>
                  <w:tcW w:w="195" w:type="pct"/>
                  <w:shd w:val="clear"/>
                  <w:vAlign w:val="center"/>
                </w:tcPr>
                <w:p w14:paraId="0E111C0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39.2</w:t>
                  </w:r>
                  <w:bookmarkStart w:id="21" w:name="_GoBack"/>
                  <w:bookmarkEnd w:id="21"/>
                </w:p>
              </w:tc>
              <w:tc>
                <w:tcPr>
                  <w:tcW w:w="196" w:type="pct"/>
                  <w:shd w:val="clear"/>
                  <w:vAlign w:val="center"/>
                </w:tcPr>
                <w:p w14:paraId="41835F1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38.3</w:t>
                  </w:r>
                </w:p>
              </w:tc>
              <w:tc>
                <w:tcPr>
                  <w:tcW w:w="0" w:type="auto"/>
                  <w:shd w:val="clear"/>
                  <w:vAlign w:val="center"/>
                </w:tcPr>
                <w:p w14:paraId="4C80B5E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48.2</w:t>
                  </w:r>
                </w:p>
              </w:tc>
              <w:tc>
                <w:tcPr>
                  <w:tcW w:w="0" w:type="auto"/>
                  <w:shd w:val="clear" w:color="auto" w:fill="auto"/>
                  <w:vAlign w:val="center"/>
                </w:tcPr>
                <w:p w14:paraId="2E048990">
                  <w:pPr>
                    <w:keepNext w:val="0"/>
                    <w:keepLines w:val="0"/>
                    <w:suppressLineNumbers w:val="0"/>
                    <w:autoSpaceDE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2"/>
                      <w:sz w:val="21"/>
                      <w:szCs w:val="21"/>
                      <w:lang w:val="en-US" w:eastAsia="zh-CN" w:bidi="ar-SA"/>
                    </w:rPr>
                  </w:pPr>
                  <w:r>
                    <w:rPr>
                      <w:bCs/>
                      <w:color w:val="auto"/>
                      <w:sz w:val="21"/>
                      <w:szCs w:val="21"/>
                      <w:lang w:bidi="ar"/>
                    </w:rPr>
                    <w:t>1m</w:t>
                  </w:r>
                </w:p>
              </w:tc>
            </w:tr>
            <w:tr w14:paraId="4065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0AD795F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
                    </w:rPr>
                  </w:pPr>
                  <w:r>
                    <w:rPr>
                      <w:rFonts w:hint="eastAsia"/>
                      <w:bCs/>
                      <w:color w:val="auto"/>
                      <w:sz w:val="21"/>
                      <w:szCs w:val="21"/>
                      <w:lang w:val="en-US" w:eastAsia="zh-CN" w:bidi="ar"/>
                    </w:rPr>
                    <w:t>16</w:t>
                  </w:r>
                </w:p>
              </w:tc>
              <w:tc>
                <w:tcPr>
                  <w:tcW w:w="138" w:type="pct"/>
                  <w:vMerge w:val="continue"/>
                  <w:vAlign w:val="center"/>
                </w:tcPr>
                <w:p w14:paraId="1D4DBC25">
                  <w:pPr>
                    <w:keepNext w:val="0"/>
                    <w:keepLines w:val="0"/>
                    <w:suppressLineNumbers w:val="0"/>
                    <w:spacing w:before="0" w:beforeAutospacing="0" w:after="0" w:afterAutospacing="0"/>
                    <w:ind w:left="0" w:right="0"/>
                    <w:jc w:val="center"/>
                    <w:rPr>
                      <w:rFonts w:hint="eastAsia"/>
                      <w:color w:val="auto"/>
                      <w:sz w:val="21"/>
                      <w:szCs w:val="21"/>
                    </w:rPr>
                  </w:pPr>
                </w:p>
              </w:tc>
              <w:tc>
                <w:tcPr>
                  <w:tcW w:w="0" w:type="auto"/>
                  <w:shd w:val="clear" w:color="auto" w:fill="auto"/>
                  <w:vAlign w:val="center"/>
                </w:tcPr>
                <w:p w14:paraId="3002DD89">
                  <w:pPr>
                    <w:pStyle w:val="35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钉扣机</w:t>
                  </w:r>
                </w:p>
              </w:tc>
              <w:tc>
                <w:tcPr>
                  <w:tcW w:w="0" w:type="auto"/>
                  <w:vAlign w:val="center"/>
                </w:tcPr>
                <w:p w14:paraId="7CB46078">
                  <w:pPr>
                    <w:keepNext w:val="0"/>
                    <w:keepLines w:val="0"/>
                    <w:suppressLineNumbers w:val="0"/>
                    <w:spacing w:before="0" w:beforeAutospacing="0" w:after="0" w:afterAutospacing="0" w:line="240" w:lineRule="auto"/>
                    <w:ind w:left="0" w:leftChars="0" w:right="0" w:rightChars="0"/>
                    <w:jc w:val="center"/>
                    <w:rPr>
                      <w:rFonts w:hint="default"/>
                      <w:color w:val="auto"/>
                      <w:sz w:val="21"/>
                      <w:szCs w:val="21"/>
                      <w:lang w:val="en-US" w:eastAsia="zh-CN"/>
                    </w:rPr>
                  </w:pPr>
                  <w:r>
                    <w:rPr>
                      <w:rFonts w:hint="eastAsia"/>
                      <w:color w:val="auto"/>
                      <w:sz w:val="21"/>
                      <w:szCs w:val="21"/>
                      <w:lang w:val="en-US" w:eastAsia="zh-CN"/>
                    </w:rPr>
                    <w:t>75</w:t>
                  </w:r>
                </w:p>
              </w:tc>
              <w:tc>
                <w:tcPr>
                  <w:tcW w:w="277" w:type="pct"/>
                  <w:vMerge w:val="continue"/>
                  <w:vAlign w:val="center"/>
                </w:tcPr>
                <w:p w14:paraId="4E473D01">
                  <w:pPr>
                    <w:keepNext w:val="0"/>
                    <w:keepLines w:val="0"/>
                    <w:suppressLineNumbers w:val="0"/>
                    <w:spacing w:before="0" w:beforeAutospacing="0" w:after="0" w:afterAutospacing="0"/>
                    <w:ind w:left="0" w:right="0"/>
                    <w:jc w:val="center"/>
                    <w:rPr>
                      <w:color w:val="auto"/>
                      <w:sz w:val="21"/>
                      <w:szCs w:val="21"/>
                    </w:rPr>
                  </w:pPr>
                </w:p>
              </w:tc>
              <w:tc>
                <w:tcPr>
                  <w:tcW w:w="0" w:type="auto"/>
                  <w:vAlign w:val="center"/>
                </w:tcPr>
                <w:p w14:paraId="4EE081C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w:t>
                  </w:r>
                </w:p>
              </w:tc>
              <w:tc>
                <w:tcPr>
                  <w:tcW w:w="0" w:type="auto"/>
                  <w:vAlign w:val="center"/>
                </w:tcPr>
                <w:p w14:paraId="0BD3F5A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0" w:type="auto"/>
                  <w:vAlign w:val="center"/>
                </w:tcPr>
                <w:p w14:paraId="0E3C0F0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0" w:type="auto"/>
                  <w:vAlign w:val="center"/>
                </w:tcPr>
                <w:p w14:paraId="174736C4">
                  <w:pPr>
                    <w:keepNext w:val="0"/>
                    <w:keepLines w:val="0"/>
                    <w:suppressLineNumbers w:val="0"/>
                    <w:spacing w:before="0" w:beforeAutospacing="0" w:after="0" w:afterAutospacing="0" w:line="240" w:lineRule="auto"/>
                    <w:ind w:left="0" w:leftChars="0" w:right="0" w:rightChars="0"/>
                    <w:jc w:val="center"/>
                    <w:rPr>
                      <w:rFonts w:hint="default" w:eastAsia="宋体"/>
                      <w:bCs/>
                      <w:color w:val="auto"/>
                      <w:sz w:val="21"/>
                      <w:szCs w:val="21"/>
                      <w:lang w:val="en-US" w:eastAsia="zh-CN"/>
                    </w:rPr>
                  </w:pPr>
                  <w:r>
                    <w:rPr>
                      <w:rFonts w:hint="eastAsia"/>
                      <w:bCs/>
                      <w:color w:val="auto"/>
                      <w:sz w:val="21"/>
                      <w:szCs w:val="21"/>
                      <w:lang w:val="en-US" w:eastAsia="zh-CN"/>
                    </w:rPr>
                    <w:t>31</w:t>
                  </w:r>
                </w:p>
              </w:tc>
              <w:tc>
                <w:tcPr>
                  <w:tcW w:w="0" w:type="auto"/>
                  <w:shd w:val="clear" w:color="auto" w:fill="auto"/>
                  <w:vAlign w:val="center"/>
                </w:tcPr>
                <w:p w14:paraId="6B0EB6E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w:t>
                  </w:r>
                </w:p>
              </w:tc>
              <w:tc>
                <w:tcPr>
                  <w:tcW w:w="0" w:type="auto"/>
                  <w:shd w:val="clear" w:color="auto" w:fill="auto"/>
                  <w:vAlign w:val="center"/>
                </w:tcPr>
                <w:p w14:paraId="7B2CC60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0" w:type="auto"/>
                  <w:vAlign w:val="center"/>
                </w:tcPr>
                <w:p w14:paraId="7095E809">
                  <w:pPr>
                    <w:keepNext w:val="0"/>
                    <w:keepLines w:val="0"/>
                    <w:suppressLineNumbers w:val="0"/>
                    <w:adjustRightInd w:val="0"/>
                    <w:snapToGrid w:val="0"/>
                    <w:spacing w:before="0" w:beforeAutospacing="0" w:after="0" w:afterAutospacing="0"/>
                    <w:ind w:left="0" w:right="0"/>
                    <w:jc w:val="center"/>
                    <w:rPr>
                      <w:rFonts w:hint="default" w:eastAsia="宋体"/>
                      <w:bCs/>
                      <w:color w:val="auto"/>
                      <w:sz w:val="21"/>
                      <w:szCs w:val="21"/>
                      <w:lang w:val="en-US" w:eastAsia="zh-CN"/>
                    </w:rPr>
                  </w:pPr>
                  <w:r>
                    <w:rPr>
                      <w:rFonts w:hint="eastAsia"/>
                      <w:bCs/>
                      <w:color w:val="auto"/>
                      <w:sz w:val="21"/>
                      <w:szCs w:val="21"/>
                      <w:lang w:val="en-US" w:eastAsia="zh-CN"/>
                    </w:rPr>
                    <w:t>10</w:t>
                  </w:r>
                </w:p>
              </w:tc>
              <w:tc>
                <w:tcPr>
                  <w:tcW w:w="171" w:type="pct"/>
                  <w:vAlign w:val="center"/>
                </w:tcPr>
                <w:p w14:paraId="33757F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48.3</w:t>
                  </w:r>
                </w:p>
              </w:tc>
              <w:tc>
                <w:tcPr>
                  <w:tcW w:w="197" w:type="pct"/>
                  <w:vAlign w:val="center"/>
                </w:tcPr>
                <w:p w14:paraId="132635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48.3</w:t>
                  </w:r>
                </w:p>
              </w:tc>
              <w:tc>
                <w:tcPr>
                  <w:tcW w:w="162" w:type="pct"/>
                  <w:vAlign w:val="center"/>
                </w:tcPr>
                <w:p w14:paraId="3585B3BE">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49.2</w:t>
                  </w:r>
                </w:p>
              </w:tc>
              <w:tc>
                <w:tcPr>
                  <w:tcW w:w="181" w:type="pct"/>
                  <w:vAlign w:val="center"/>
                </w:tcPr>
                <w:p w14:paraId="68371127">
                  <w:pPr>
                    <w:keepNext w:val="0"/>
                    <w:keepLines w:val="0"/>
                    <w:widowControl/>
                    <w:suppressLineNumbers w:val="0"/>
                    <w:spacing w:before="0" w:beforeAutospacing="0" w:after="0" w:afterAutospacing="0"/>
                    <w:ind w:left="0" w:right="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49.6</w:t>
                  </w:r>
                </w:p>
              </w:tc>
              <w:tc>
                <w:tcPr>
                  <w:tcW w:w="237" w:type="pct"/>
                  <w:vMerge w:val="continue"/>
                  <w:vAlign w:val="center"/>
                </w:tcPr>
                <w:p w14:paraId="78DF2B0A">
                  <w:pPr>
                    <w:keepNext w:val="0"/>
                    <w:keepLines w:val="0"/>
                    <w:suppressLineNumbers w:val="0"/>
                    <w:spacing w:before="0" w:beforeAutospacing="0" w:after="0" w:afterAutospacing="0"/>
                    <w:ind w:left="0" w:right="0"/>
                    <w:jc w:val="center"/>
                    <w:rPr>
                      <w:rFonts w:hint="default"/>
                      <w:color w:val="auto"/>
                      <w:sz w:val="21"/>
                      <w:szCs w:val="21"/>
                      <w:lang w:val="en-US"/>
                    </w:rPr>
                  </w:pPr>
                </w:p>
              </w:tc>
              <w:tc>
                <w:tcPr>
                  <w:tcW w:w="297" w:type="pct"/>
                  <w:vAlign w:val="center"/>
                </w:tcPr>
                <w:p w14:paraId="64B254EF">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r>
                    <w:rPr>
                      <w:rFonts w:hint="eastAsia" w:cs="Times New Roman"/>
                      <w:bCs/>
                      <w:color w:val="auto"/>
                      <w:kern w:val="2"/>
                      <w:sz w:val="21"/>
                      <w:szCs w:val="21"/>
                      <w:lang w:val="en-US" w:eastAsia="zh-CN" w:bidi="ar"/>
                    </w:rPr>
                    <w:t>20</w:t>
                  </w:r>
                </w:p>
              </w:tc>
              <w:tc>
                <w:tcPr>
                  <w:tcW w:w="178" w:type="pct"/>
                  <w:vAlign w:val="center"/>
                </w:tcPr>
                <w:p w14:paraId="5C10E6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33.1</w:t>
                  </w:r>
                </w:p>
              </w:tc>
              <w:tc>
                <w:tcPr>
                  <w:tcW w:w="195" w:type="pct"/>
                  <w:vAlign w:val="center"/>
                </w:tcPr>
                <w:p w14:paraId="6FD283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33.1</w:t>
                  </w:r>
                </w:p>
              </w:tc>
              <w:tc>
                <w:tcPr>
                  <w:tcW w:w="196" w:type="pct"/>
                  <w:vAlign w:val="center"/>
                </w:tcPr>
                <w:p w14:paraId="1195DF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34</w:t>
                  </w:r>
                </w:p>
              </w:tc>
              <w:tc>
                <w:tcPr>
                  <w:tcW w:w="0" w:type="auto"/>
                  <w:vAlign w:val="center"/>
                </w:tcPr>
                <w:p w14:paraId="3080A4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34.3</w:t>
                  </w:r>
                </w:p>
              </w:tc>
              <w:tc>
                <w:tcPr>
                  <w:tcW w:w="0" w:type="auto"/>
                  <w:shd w:val="clear" w:color="auto" w:fill="auto"/>
                  <w:vAlign w:val="center"/>
                </w:tcPr>
                <w:p w14:paraId="46D35D43">
                  <w:pPr>
                    <w:keepNext w:val="0"/>
                    <w:keepLines w:val="0"/>
                    <w:suppressLineNumbers w:val="0"/>
                    <w:autoSpaceDE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2"/>
                      <w:sz w:val="21"/>
                      <w:szCs w:val="21"/>
                      <w:lang w:val="en-US" w:eastAsia="zh-CN" w:bidi="ar"/>
                    </w:rPr>
                  </w:pPr>
                  <w:r>
                    <w:rPr>
                      <w:bCs/>
                      <w:color w:val="auto"/>
                      <w:sz w:val="21"/>
                      <w:szCs w:val="21"/>
                      <w:lang w:bidi="ar"/>
                    </w:rPr>
                    <w:t>1m</w:t>
                  </w:r>
                </w:p>
              </w:tc>
            </w:tr>
          </w:tbl>
          <w:p w14:paraId="6888EFDC">
            <w:pPr>
              <w:pStyle w:val="35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000000"/>
                <w:kern w:val="2"/>
                <w:sz w:val="24"/>
                <w:szCs w:val="24"/>
                <w:highlight w:val="none"/>
                <w:lang w:val="en-US" w:eastAsia="zh-CN" w:bidi="ar-SA"/>
              </w:rPr>
            </w:pPr>
            <w:r>
              <w:rPr>
                <w:rFonts w:hint="default" w:ascii="Times New Roman" w:hAnsi="Times New Roman" w:eastAsia="宋体" w:cs="Times New Roman"/>
                <w:b w:val="0"/>
                <w:bCs w:val="0"/>
                <w:snapToGrid/>
                <w:color w:val="auto"/>
                <w:kern w:val="2"/>
                <w:sz w:val="21"/>
                <w:szCs w:val="21"/>
                <w:lang w:val="en-US" w:eastAsia="zh-CN" w:bidi="ar-SA"/>
              </w:rPr>
              <w:t>注：以</w:t>
            </w:r>
            <w:r>
              <w:rPr>
                <w:rFonts w:hint="eastAsia" w:cs="Times New Roman"/>
                <w:b w:val="0"/>
                <w:bCs w:val="0"/>
                <w:snapToGrid/>
                <w:color w:val="auto"/>
                <w:kern w:val="2"/>
                <w:sz w:val="21"/>
                <w:szCs w:val="21"/>
                <w:lang w:val="en-US" w:eastAsia="zh-CN" w:bidi="ar-SA"/>
              </w:rPr>
              <w:t>各自车间西南角作</w:t>
            </w:r>
            <w:r>
              <w:rPr>
                <w:rFonts w:hint="default" w:ascii="Times New Roman" w:hAnsi="Times New Roman" w:eastAsia="宋体" w:cs="Times New Roman"/>
                <w:b w:val="0"/>
                <w:bCs w:val="0"/>
                <w:snapToGrid/>
                <w:color w:val="auto"/>
                <w:kern w:val="2"/>
                <w:sz w:val="21"/>
                <w:szCs w:val="21"/>
                <w:lang w:val="en-US" w:eastAsia="zh-CN" w:bidi="ar-SA"/>
              </w:rPr>
              <w:t>为坐标原点（0,0）。</w:t>
            </w:r>
          </w:p>
          <w:p w14:paraId="7FA6E16F">
            <w:pPr>
              <w:keepNext/>
              <w:keepLines/>
              <w:pageBreakBefore w:val="0"/>
              <w:widowControl/>
              <w:numPr>
                <w:ilvl w:val="1"/>
                <w:numId w:val="0"/>
              </w:numPr>
              <w:suppressLineNumbers w:val="0"/>
              <w:tabs>
                <w:tab w:val="left" w:pos="1325"/>
              </w:tabs>
              <w:kinsoku/>
              <w:wordWrap/>
              <w:overflowPunct/>
              <w:topLinePunct w:val="0"/>
              <w:autoSpaceDE/>
              <w:autoSpaceDN/>
              <w:bidi w:val="0"/>
              <w:adjustRightInd w:val="0"/>
              <w:snapToGrid w:val="0"/>
              <w:spacing w:before="313" w:beforeLines="100" w:beforeAutospacing="0" w:after="0" w:afterAutospacing="0"/>
              <w:ind w:left="0" w:right="0"/>
              <w:jc w:val="center"/>
              <w:textAlignment w:val="auto"/>
              <w:outlineLvl w:val="1"/>
              <w:rPr>
                <w:rFonts w:hint="default" w:ascii="Times New Roman" w:hAnsi="Times New Roman" w:eastAsia="宋体" w:cs="Times New Roman"/>
                <w:b/>
                <w:bCs w:val="0"/>
                <w:color w:val="000000"/>
                <w:kern w:val="2"/>
                <w:sz w:val="24"/>
                <w:szCs w:val="24"/>
                <w:highlight w:val="none"/>
                <w:lang w:val="en-US" w:eastAsia="zh-CN" w:bidi="ar-SA"/>
              </w:rPr>
            </w:pPr>
            <w:r>
              <w:rPr>
                <w:rFonts w:hint="default" w:ascii="Times New Roman" w:hAnsi="Times New Roman" w:eastAsia="宋体" w:cs="Times New Roman"/>
                <w:b/>
                <w:bCs w:val="0"/>
                <w:color w:val="000000"/>
                <w:kern w:val="2"/>
                <w:sz w:val="21"/>
                <w:szCs w:val="21"/>
                <w:highlight w:val="none"/>
                <w:lang w:val="en-US" w:eastAsia="zh-CN" w:bidi="ar-SA"/>
              </w:rPr>
              <w:t>表4-</w:t>
            </w:r>
            <w:r>
              <w:rPr>
                <w:rFonts w:hint="eastAsia" w:cs="Times New Roman"/>
                <w:b/>
                <w:bCs w:val="0"/>
                <w:color w:val="000000"/>
                <w:kern w:val="2"/>
                <w:sz w:val="21"/>
                <w:szCs w:val="21"/>
                <w:highlight w:val="none"/>
                <w:lang w:val="en-US" w:eastAsia="zh-CN" w:bidi="ar-SA"/>
              </w:rPr>
              <w:t>12</w:t>
            </w:r>
            <w:r>
              <w:rPr>
                <w:rFonts w:hint="default" w:ascii="Times New Roman" w:hAnsi="Times New Roman" w:eastAsia="宋体" w:cs="Times New Roman"/>
                <w:b/>
                <w:bCs w:val="0"/>
                <w:color w:val="000000"/>
                <w:kern w:val="2"/>
                <w:sz w:val="21"/>
                <w:szCs w:val="21"/>
                <w:highlight w:val="none"/>
                <w:lang w:val="en-US" w:eastAsia="zh-CN" w:bidi="ar-SA"/>
              </w:rPr>
              <w:t xml:space="preserve">  本项目工业企业噪声源强调查清单（室外声源）</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69"/>
              <w:gridCol w:w="1075"/>
              <w:gridCol w:w="1158"/>
              <w:gridCol w:w="1265"/>
              <w:gridCol w:w="2466"/>
              <w:gridCol w:w="3038"/>
              <w:gridCol w:w="1323"/>
            </w:tblGrid>
            <w:tr w14:paraId="6746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3" w:type="pct"/>
                  <w:vMerge w:val="restart"/>
                  <w:noWrap w:val="0"/>
                  <w:vAlign w:val="center"/>
                </w:tcPr>
                <w:p w14:paraId="597C60C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序号</w:t>
                  </w:r>
                </w:p>
              </w:tc>
              <w:tc>
                <w:tcPr>
                  <w:tcW w:w="502" w:type="pct"/>
                  <w:vMerge w:val="restart"/>
                  <w:noWrap w:val="0"/>
                  <w:vAlign w:val="center"/>
                </w:tcPr>
                <w:p w14:paraId="5B0795D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主要设备名称</w:t>
                  </w:r>
                </w:p>
              </w:tc>
              <w:tc>
                <w:tcPr>
                  <w:tcW w:w="1383" w:type="pct"/>
                  <w:gridSpan w:val="3"/>
                  <w:noWrap w:val="0"/>
                  <w:vAlign w:val="center"/>
                </w:tcPr>
                <w:p w14:paraId="37F6740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空间相对位置/m</w:t>
                  </w:r>
                </w:p>
              </w:tc>
              <w:tc>
                <w:tcPr>
                  <w:tcW w:w="975" w:type="pct"/>
                  <w:vMerge w:val="restart"/>
                  <w:noWrap w:val="0"/>
                  <w:vAlign w:val="center"/>
                </w:tcPr>
                <w:p w14:paraId="75D8BD6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声压级/距声源距离 dB(A)/m</w:t>
                  </w:r>
                </w:p>
              </w:tc>
              <w:tc>
                <w:tcPr>
                  <w:tcW w:w="1201" w:type="pct"/>
                  <w:vMerge w:val="restart"/>
                  <w:noWrap w:val="0"/>
                  <w:vAlign w:val="center"/>
                </w:tcPr>
                <w:p w14:paraId="557C203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声源控制措施</w:t>
                  </w:r>
                </w:p>
              </w:tc>
              <w:tc>
                <w:tcPr>
                  <w:tcW w:w="523" w:type="pct"/>
                  <w:vMerge w:val="restart"/>
                  <w:noWrap w:val="0"/>
                  <w:vAlign w:val="center"/>
                </w:tcPr>
                <w:p w14:paraId="057426C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运行时段</w:t>
                  </w:r>
                </w:p>
              </w:tc>
            </w:tr>
            <w:tr w14:paraId="4D47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3" w:type="pct"/>
                  <w:vMerge w:val="continue"/>
                  <w:noWrap w:val="0"/>
                  <w:vAlign w:val="center"/>
                </w:tcPr>
                <w:p w14:paraId="41D9EEA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502" w:type="pct"/>
                  <w:vMerge w:val="continue"/>
                  <w:noWrap w:val="0"/>
                  <w:vAlign w:val="center"/>
                </w:tcPr>
                <w:p w14:paraId="1FBD402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425" w:type="pct"/>
                  <w:noWrap w:val="0"/>
                  <w:vAlign w:val="center"/>
                </w:tcPr>
                <w:p w14:paraId="5C99A00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lang w:val="en-US" w:eastAsia="zh-CN"/>
                    </w:rPr>
                    <w:t>X</w:t>
                  </w:r>
                </w:p>
              </w:tc>
              <w:tc>
                <w:tcPr>
                  <w:tcW w:w="458" w:type="pct"/>
                  <w:noWrap w:val="0"/>
                  <w:vAlign w:val="center"/>
                </w:tcPr>
                <w:p w14:paraId="200DB65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lang w:val="en-US" w:eastAsia="zh-CN"/>
                    </w:rPr>
                    <w:t>Y</w:t>
                  </w:r>
                </w:p>
              </w:tc>
              <w:tc>
                <w:tcPr>
                  <w:tcW w:w="500" w:type="pct"/>
                  <w:noWrap w:val="0"/>
                  <w:vAlign w:val="center"/>
                </w:tcPr>
                <w:p w14:paraId="16FC77E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lang w:val="en-US" w:eastAsia="zh-CN"/>
                    </w:rPr>
                    <w:t>Z</w:t>
                  </w:r>
                </w:p>
              </w:tc>
              <w:tc>
                <w:tcPr>
                  <w:tcW w:w="975" w:type="pct"/>
                  <w:vMerge w:val="continue"/>
                  <w:noWrap w:val="0"/>
                  <w:vAlign w:val="top"/>
                </w:tcPr>
                <w:p w14:paraId="3485026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rPr>
                  </w:pPr>
                </w:p>
              </w:tc>
              <w:tc>
                <w:tcPr>
                  <w:tcW w:w="1201" w:type="pct"/>
                  <w:vMerge w:val="continue"/>
                  <w:noWrap w:val="0"/>
                  <w:vAlign w:val="top"/>
                </w:tcPr>
                <w:p w14:paraId="14687C2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rPr>
                  </w:pPr>
                </w:p>
              </w:tc>
              <w:tc>
                <w:tcPr>
                  <w:tcW w:w="523" w:type="pct"/>
                  <w:vMerge w:val="continue"/>
                  <w:noWrap w:val="0"/>
                  <w:vAlign w:val="top"/>
                </w:tcPr>
                <w:p w14:paraId="7C8A303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rPr>
                  </w:pPr>
                </w:p>
              </w:tc>
            </w:tr>
            <w:tr w14:paraId="2D58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3" w:type="pct"/>
                  <w:noWrap w:val="0"/>
                  <w:vAlign w:val="center"/>
                </w:tcPr>
                <w:p w14:paraId="24FC4C7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02" w:type="pct"/>
                  <w:noWrap w:val="0"/>
                  <w:vAlign w:val="center"/>
                </w:tcPr>
                <w:p w14:paraId="3BBA01F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风机</w:t>
                  </w:r>
                </w:p>
              </w:tc>
              <w:tc>
                <w:tcPr>
                  <w:tcW w:w="425" w:type="pct"/>
                  <w:noWrap w:val="0"/>
                  <w:vAlign w:val="center"/>
                </w:tcPr>
                <w:p w14:paraId="47C0BC5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22</w:t>
                  </w:r>
                </w:p>
              </w:tc>
              <w:tc>
                <w:tcPr>
                  <w:tcW w:w="458" w:type="pct"/>
                  <w:noWrap w:val="0"/>
                  <w:vAlign w:val="center"/>
                </w:tcPr>
                <w:p w14:paraId="14A7CC2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162</w:t>
                  </w:r>
                </w:p>
              </w:tc>
              <w:tc>
                <w:tcPr>
                  <w:tcW w:w="500" w:type="pct"/>
                  <w:noWrap w:val="0"/>
                  <w:vAlign w:val="center"/>
                </w:tcPr>
                <w:p w14:paraId="73F0687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975" w:type="pct"/>
                  <w:noWrap w:val="0"/>
                  <w:vAlign w:val="center"/>
                </w:tcPr>
                <w:p w14:paraId="6058FC9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85</w:t>
                  </w:r>
                  <w:r>
                    <w:rPr>
                      <w:rFonts w:hint="default" w:ascii="Times New Roman" w:hAnsi="Times New Roman" w:cs="Times New Roman"/>
                      <w:color w:val="auto"/>
                      <w:sz w:val="21"/>
                      <w:szCs w:val="21"/>
                      <w:lang w:val="en-US" w:eastAsia="zh-CN"/>
                    </w:rPr>
                    <w:t>/1</w:t>
                  </w:r>
                </w:p>
              </w:tc>
              <w:tc>
                <w:tcPr>
                  <w:tcW w:w="1201" w:type="pct"/>
                  <w:vMerge w:val="restart"/>
                  <w:noWrap w:val="0"/>
                  <w:vAlign w:val="center"/>
                </w:tcPr>
                <w:p w14:paraId="522D31B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减振基础</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进出风口采用软连接、加消音器</w:t>
                  </w:r>
                  <w:r>
                    <w:rPr>
                      <w:rFonts w:hint="eastAsia" w:cs="Times New Roman"/>
                      <w:color w:val="auto"/>
                      <w:sz w:val="21"/>
                      <w:szCs w:val="21"/>
                      <w:lang w:val="en-US" w:eastAsia="zh-CN"/>
                    </w:rPr>
                    <w:t>等</w:t>
                  </w:r>
                </w:p>
              </w:tc>
              <w:tc>
                <w:tcPr>
                  <w:tcW w:w="523" w:type="pct"/>
                  <w:vMerge w:val="restart"/>
                  <w:noWrap w:val="0"/>
                  <w:vAlign w:val="center"/>
                </w:tcPr>
                <w:p w14:paraId="2DD2B4C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2080</w:t>
                  </w:r>
                  <w:r>
                    <w:rPr>
                      <w:rFonts w:hint="default" w:ascii="Times New Roman" w:hAnsi="Times New Roman" w:cs="Times New Roman"/>
                      <w:color w:val="auto"/>
                      <w:sz w:val="21"/>
                      <w:szCs w:val="21"/>
                      <w:lang w:val="en-US" w:eastAsia="zh-CN"/>
                    </w:rPr>
                    <w:t>h/</w:t>
                  </w:r>
                  <w:r>
                    <w:rPr>
                      <w:rFonts w:hint="eastAsia" w:ascii="Times New Roman" w:hAnsi="Times New Roman" w:cs="Times New Roman"/>
                      <w:color w:val="auto"/>
                      <w:sz w:val="21"/>
                      <w:szCs w:val="21"/>
                      <w:lang w:val="en-US" w:eastAsia="zh-CN"/>
                    </w:rPr>
                    <w:t>a</w:t>
                  </w:r>
                </w:p>
              </w:tc>
            </w:tr>
            <w:tr w14:paraId="46FF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3" w:type="pct"/>
                  <w:noWrap w:val="0"/>
                  <w:vAlign w:val="center"/>
                </w:tcPr>
                <w:p w14:paraId="68ECAD7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502" w:type="pct"/>
                  <w:noWrap w:val="0"/>
                  <w:vAlign w:val="center"/>
                </w:tcPr>
                <w:p w14:paraId="0984C3F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风机</w:t>
                  </w:r>
                </w:p>
              </w:tc>
              <w:tc>
                <w:tcPr>
                  <w:tcW w:w="425" w:type="pct"/>
                  <w:noWrap w:val="0"/>
                  <w:vAlign w:val="center"/>
                </w:tcPr>
                <w:p w14:paraId="518DC282">
                  <w:pPr>
                    <w:keepNext w:val="0"/>
                    <w:keepLines w:val="0"/>
                    <w:suppressLineNumbers w:val="0"/>
                    <w:spacing w:before="0" w:beforeAutospacing="0" w:after="0" w:afterAutospacing="0" w:line="240" w:lineRule="auto"/>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13</w:t>
                  </w:r>
                </w:p>
              </w:tc>
              <w:tc>
                <w:tcPr>
                  <w:tcW w:w="458" w:type="pct"/>
                  <w:noWrap w:val="0"/>
                  <w:vAlign w:val="center"/>
                </w:tcPr>
                <w:p w14:paraId="7DEACC9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165</w:t>
                  </w:r>
                </w:p>
              </w:tc>
              <w:tc>
                <w:tcPr>
                  <w:tcW w:w="500" w:type="pct"/>
                  <w:noWrap w:val="0"/>
                  <w:vAlign w:val="center"/>
                </w:tcPr>
                <w:p w14:paraId="7B38560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975" w:type="pct"/>
                  <w:noWrap w:val="0"/>
                  <w:vAlign w:val="center"/>
                </w:tcPr>
                <w:p w14:paraId="6B8E99D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w:t>
                  </w:r>
                  <w:r>
                    <w:rPr>
                      <w:rFonts w:hint="default" w:ascii="Times New Roman" w:hAnsi="Times New Roman" w:cs="Times New Roman"/>
                      <w:color w:val="auto"/>
                      <w:sz w:val="21"/>
                      <w:szCs w:val="21"/>
                      <w:lang w:val="en-US" w:eastAsia="zh-CN"/>
                    </w:rPr>
                    <w:t>/1</w:t>
                  </w:r>
                </w:p>
              </w:tc>
              <w:tc>
                <w:tcPr>
                  <w:tcW w:w="1201" w:type="pct"/>
                  <w:vMerge w:val="continue"/>
                  <w:noWrap w:val="0"/>
                  <w:vAlign w:val="center"/>
                </w:tcPr>
                <w:p w14:paraId="05DE720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p>
              </w:tc>
              <w:tc>
                <w:tcPr>
                  <w:tcW w:w="523" w:type="pct"/>
                  <w:vMerge w:val="continue"/>
                  <w:noWrap w:val="0"/>
                  <w:vAlign w:val="center"/>
                </w:tcPr>
                <w:p w14:paraId="71AD2BD5">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p>
              </w:tc>
            </w:tr>
            <w:tr w14:paraId="57FA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13" w:type="pct"/>
                  <w:noWrap w:val="0"/>
                  <w:vAlign w:val="center"/>
                </w:tcPr>
                <w:p w14:paraId="5A7A972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502" w:type="pct"/>
                  <w:noWrap w:val="0"/>
                  <w:vAlign w:val="center"/>
                </w:tcPr>
                <w:p w14:paraId="5CF4AB5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风机</w:t>
                  </w:r>
                </w:p>
              </w:tc>
              <w:tc>
                <w:tcPr>
                  <w:tcW w:w="425" w:type="pct"/>
                  <w:noWrap w:val="0"/>
                  <w:vAlign w:val="center"/>
                </w:tcPr>
                <w:p w14:paraId="771BD410">
                  <w:pPr>
                    <w:keepNext w:val="0"/>
                    <w:keepLines w:val="0"/>
                    <w:suppressLineNumbers w:val="0"/>
                    <w:spacing w:before="0" w:beforeAutospacing="0" w:after="0" w:afterAutospacing="0" w:line="240" w:lineRule="auto"/>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458" w:type="pct"/>
                  <w:noWrap w:val="0"/>
                  <w:vAlign w:val="center"/>
                </w:tcPr>
                <w:p w14:paraId="2AE2E9D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103</w:t>
                  </w:r>
                </w:p>
              </w:tc>
              <w:tc>
                <w:tcPr>
                  <w:tcW w:w="500" w:type="pct"/>
                  <w:noWrap w:val="0"/>
                  <w:vAlign w:val="center"/>
                </w:tcPr>
                <w:p w14:paraId="674CC68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975" w:type="pct"/>
                  <w:noWrap w:val="0"/>
                  <w:vAlign w:val="center"/>
                </w:tcPr>
                <w:p w14:paraId="419B1DC3">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w:t>
                  </w:r>
                  <w:r>
                    <w:rPr>
                      <w:rFonts w:hint="default" w:ascii="Times New Roman" w:hAnsi="Times New Roman" w:cs="Times New Roman"/>
                      <w:color w:val="auto"/>
                      <w:sz w:val="21"/>
                      <w:szCs w:val="21"/>
                      <w:lang w:val="en-US" w:eastAsia="zh-CN"/>
                    </w:rPr>
                    <w:t>/1</w:t>
                  </w:r>
                </w:p>
              </w:tc>
              <w:tc>
                <w:tcPr>
                  <w:tcW w:w="1201" w:type="pct"/>
                  <w:vMerge w:val="continue"/>
                  <w:noWrap w:val="0"/>
                  <w:vAlign w:val="center"/>
                </w:tcPr>
                <w:p w14:paraId="330810B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p>
              </w:tc>
              <w:tc>
                <w:tcPr>
                  <w:tcW w:w="523" w:type="pct"/>
                  <w:vMerge w:val="continue"/>
                  <w:noWrap w:val="0"/>
                  <w:vAlign w:val="center"/>
                </w:tcPr>
                <w:p w14:paraId="147FBE77">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p>
              </w:tc>
            </w:tr>
          </w:tbl>
          <w:p w14:paraId="409737E5">
            <w:pPr>
              <w:pStyle w:val="35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color w:val="auto"/>
                <w:kern w:val="2"/>
                <w:sz w:val="21"/>
                <w:szCs w:val="21"/>
                <w:lang w:val="en-US" w:eastAsia="zh-CN" w:bidi="ar-SA"/>
              </w:rPr>
            </w:pPr>
            <w:r>
              <w:rPr>
                <w:rFonts w:hint="default" w:ascii="Times New Roman" w:hAnsi="Times New Roman" w:eastAsia="宋体" w:cs="Times New Roman"/>
                <w:b w:val="0"/>
                <w:bCs w:val="0"/>
                <w:snapToGrid/>
                <w:color w:val="auto"/>
                <w:kern w:val="2"/>
                <w:sz w:val="21"/>
                <w:szCs w:val="21"/>
                <w:lang w:val="en-US" w:eastAsia="zh-CN" w:bidi="ar-SA"/>
              </w:rPr>
              <w:t>注：以</w:t>
            </w:r>
            <w:r>
              <w:rPr>
                <w:rFonts w:hint="eastAsia" w:cs="Times New Roman"/>
                <w:b w:val="0"/>
                <w:bCs w:val="0"/>
                <w:snapToGrid/>
                <w:color w:val="auto"/>
                <w:kern w:val="2"/>
                <w:sz w:val="21"/>
                <w:szCs w:val="21"/>
                <w:lang w:val="en-US" w:eastAsia="zh-CN" w:bidi="ar-SA"/>
              </w:rPr>
              <w:t>厂区</w:t>
            </w:r>
            <w:r>
              <w:rPr>
                <w:rFonts w:hint="default" w:ascii="Times New Roman" w:hAnsi="Times New Roman" w:eastAsia="宋体" w:cs="Times New Roman"/>
                <w:b w:val="0"/>
                <w:bCs w:val="0"/>
                <w:snapToGrid/>
                <w:color w:val="auto"/>
                <w:kern w:val="2"/>
                <w:sz w:val="21"/>
                <w:szCs w:val="21"/>
                <w:lang w:val="en-US" w:eastAsia="zh-CN" w:bidi="ar-SA"/>
              </w:rPr>
              <w:t>西南角为坐标原点（0,0）。</w:t>
            </w:r>
          </w:p>
        </w:tc>
      </w:tr>
    </w:tbl>
    <w:p w14:paraId="1A546EF3">
      <w:pPr>
        <w:pStyle w:val="36"/>
        <w:jc w:val="both"/>
        <w:outlineLvl w:val="0"/>
        <w:rPr>
          <w:rFonts w:ascii="黑体" w:hAnsi="黑体" w:eastAsia="黑体"/>
          <w:snapToGrid w:val="0"/>
          <w:color w:val="auto"/>
          <w:sz w:val="30"/>
          <w:szCs w:val="30"/>
          <w:highlight w:val="none"/>
        </w:rPr>
        <w:sectPr>
          <w:pgSz w:w="16840" w:h="11907" w:orient="landscape"/>
          <w:pgMar w:top="1531" w:right="1701" w:bottom="1531" w:left="2127" w:header="851" w:footer="851" w:gutter="0"/>
          <w:pgBorders w:offsetFrom="page">
            <w:top w:val="none" w:sz="0" w:space="0"/>
            <w:left w:val="none" w:sz="0" w:space="0"/>
            <w:bottom w:val="none" w:sz="0" w:space="0"/>
            <w:right w:val="none" w:sz="0" w:space="0"/>
          </w:pgBorders>
          <w:pgNumType w:fmt="decimal"/>
          <w:cols w:space="720" w:num="1"/>
          <w:docGrid w:linePitch="312" w:charSpace="0"/>
        </w:sectPr>
      </w:pPr>
    </w:p>
    <w:tbl>
      <w:tblPr>
        <w:tblStyle w:val="3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18"/>
        <w:gridCol w:w="8663"/>
      </w:tblGrid>
      <w:tr w14:paraId="6C9A8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60" w:hRule="atLeast"/>
          <w:jc w:val="center"/>
        </w:trPr>
        <w:tc>
          <w:tcPr>
            <w:tcW w:w="318" w:type="dxa"/>
            <w:noWrap w:val="0"/>
            <w:tcMar>
              <w:left w:w="28" w:type="dxa"/>
              <w:right w:w="28" w:type="dxa"/>
            </w:tcMar>
            <w:vAlign w:val="center"/>
          </w:tcPr>
          <w:p w14:paraId="6ED34BA4">
            <w:pPr>
              <w:keepNext w:val="0"/>
              <w:keepLines w:val="0"/>
              <w:suppressLineNumbers w:val="0"/>
              <w:adjustRightInd w:val="0"/>
              <w:snapToGrid w:val="0"/>
              <w:spacing w:before="0" w:beforeAutospacing="0" w:after="0" w:afterAutospacing="0"/>
              <w:ind w:left="0" w:right="0"/>
              <w:jc w:val="center"/>
              <w:rPr>
                <w:bCs/>
                <w:color w:val="auto"/>
                <w:sz w:val="24"/>
                <w:szCs w:val="22"/>
                <w:highlight w:val="none"/>
              </w:rPr>
            </w:pPr>
          </w:p>
        </w:tc>
        <w:tc>
          <w:tcPr>
            <w:tcW w:w="8663" w:type="dxa"/>
            <w:noWrap w:val="0"/>
            <w:vAlign w:val="center"/>
          </w:tcPr>
          <w:p w14:paraId="1AB8A761">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b/>
                <w:bCs/>
                <w:color w:val="auto"/>
                <w:sz w:val="24"/>
                <w:szCs w:val="24"/>
                <w:highlight w:val="none"/>
              </w:rPr>
            </w:pPr>
            <w:r>
              <w:rPr>
                <w:rFonts w:hint="eastAsia"/>
                <w:b/>
                <w:bCs/>
                <w:color w:val="auto"/>
                <w:sz w:val="24"/>
                <w:szCs w:val="24"/>
                <w:highlight w:val="none"/>
                <w:lang w:val="en-US" w:eastAsia="zh-CN"/>
              </w:rPr>
              <w:t>3.2</w:t>
            </w:r>
            <w:r>
              <w:rPr>
                <w:b/>
                <w:bCs/>
                <w:color w:val="auto"/>
                <w:sz w:val="24"/>
                <w:szCs w:val="24"/>
                <w:highlight w:val="none"/>
              </w:rPr>
              <w:t>预测模式</w:t>
            </w:r>
          </w:p>
          <w:p w14:paraId="5FB3FD09">
            <w:pPr>
              <w:keepNext w:val="0"/>
              <w:keepLines w:val="0"/>
              <w:suppressLineNumbers w:val="0"/>
              <w:spacing w:before="0" w:beforeAutospacing="0" w:after="0" w:afterAutospacing="0" w:line="360" w:lineRule="auto"/>
              <w:ind w:left="0" w:right="0" w:firstLine="480"/>
              <w:rPr>
                <w:color w:val="auto"/>
                <w:sz w:val="24"/>
                <w:szCs w:val="22"/>
                <w:highlight w:val="none"/>
              </w:rPr>
            </w:pPr>
            <w:r>
              <w:rPr>
                <w:color w:val="auto"/>
                <w:sz w:val="24"/>
                <w:szCs w:val="22"/>
                <w:highlight w:val="none"/>
              </w:rPr>
              <w:t>预测项目各噪声源在厂界监测点的昼</w:t>
            </w:r>
            <w:r>
              <w:rPr>
                <w:rFonts w:hint="eastAsia"/>
                <w:color w:val="auto"/>
                <w:sz w:val="24"/>
                <w:szCs w:val="22"/>
                <w:highlight w:val="none"/>
                <w:lang w:val="en-US" w:eastAsia="zh-CN"/>
              </w:rPr>
              <w:t>间</w:t>
            </w:r>
            <w:r>
              <w:rPr>
                <w:color w:val="auto"/>
                <w:sz w:val="24"/>
                <w:szCs w:val="22"/>
                <w:highlight w:val="none"/>
              </w:rPr>
              <w:t>噪声值（A声功率级）预测采用HJ2.4-20</w:t>
            </w:r>
            <w:r>
              <w:rPr>
                <w:rFonts w:hint="eastAsia"/>
                <w:color w:val="auto"/>
                <w:sz w:val="24"/>
                <w:szCs w:val="22"/>
                <w:highlight w:val="none"/>
              </w:rPr>
              <w:t>21</w:t>
            </w:r>
            <w:r>
              <w:rPr>
                <w:color w:val="auto"/>
                <w:sz w:val="24"/>
                <w:szCs w:val="22"/>
                <w:highlight w:val="none"/>
              </w:rPr>
              <w:t>附录A.1工业噪声预测模式。</w:t>
            </w:r>
          </w:p>
          <w:p w14:paraId="0895A42A">
            <w:pPr>
              <w:keepNext w:val="0"/>
              <w:keepLines w:val="0"/>
              <w:suppressLineNumbers w:val="0"/>
              <w:spacing w:before="0" w:beforeAutospacing="0" w:after="0" w:afterAutospacing="0" w:line="360" w:lineRule="auto"/>
              <w:ind w:left="0" w:right="0" w:firstLine="480"/>
              <w:rPr>
                <w:color w:val="auto"/>
                <w:sz w:val="24"/>
                <w:szCs w:val="22"/>
                <w:highlight w:val="none"/>
              </w:rPr>
            </w:pPr>
            <w:r>
              <w:rPr>
                <w:rFonts w:hint="eastAsia"/>
                <w:color w:val="auto"/>
                <w:sz w:val="24"/>
                <w:szCs w:val="22"/>
                <w:highlight w:val="none"/>
              </w:rPr>
              <w:t>①</w:t>
            </w:r>
            <w:r>
              <w:rPr>
                <w:color w:val="auto"/>
                <w:sz w:val="24"/>
                <w:szCs w:val="22"/>
                <w:highlight w:val="none"/>
              </w:rPr>
              <w:t>室外声源</w:t>
            </w:r>
          </w:p>
          <w:p w14:paraId="1BC973B5">
            <w:pPr>
              <w:keepNext w:val="0"/>
              <w:keepLines w:val="0"/>
              <w:suppressLineNumbers w:val="0"/>
              <w:spacing w:before="0" w:beforeAutospacing="0" w:after="0" w:afterAutospacing="0" w:line="360" w:lineRule="auto"/>
              <w:ind w:left="0" w:right="0" w:firstLine="480"/>
              <w:rPr>
                <w:color w:val="auto"/>
                <w:sz w:val="24"/>
                <w:szCs w:val="22"/>
                <w:highlight w:val="none"/>
              </w:rPr>
            </w:pPr>
            <w:r>
              <w:rPr>
                <w:color w:val="auto"/>
                <w:sz w:val="24"/>
                <w:szCs w:val="22"/>
                <w:highlight w:val="none"/>
              </w:rPr>
              <w:t>在不能取得声源倍频带声功率级或倍频带声压级，只能获得A声功率级或某点的A声级时，可按下式作近似计算：</w:t>
            </w:r>
          </w:p>
          <w:p w14:paraId="68F6DEF9">
            <w:pPr>
              <w:keepNext w:val="0"/>
              <w:keepLines w:val="0"/>
              <w:suppressLineNumbers w:val="0"/>
              <w:spacing w:before="0" w:beforeAutospacing="0" w:after="0" w:afterAutospacing="0" w:line="360" w:lineRule="auto"/>
              <w:ind w:left="0" w:right="0" w:firstLine="480"/>
              <w:jc w:val="center"/>
              <w:rPr>
                <w:color w:val="auto"/>
                <w:sz w:val="24"/>
                <w:szCs w:val="22"/>
                <w:highlight w:val="none"/>
              </w:rPr>
            </w:pPr>
            <w:r>
              <w:rPr>
                <w:color w:val="auto"/>
                <w:sz w:val="24"/>
                <w:szCs w:val="22"/>
                <w:highlight w:val="none"/>
              </w:rPr>
              <w:object>
                <v:shape id="_x0000_i1028" o:spt="75" type="#_x0000_t75" style="height:20.4pt;width:100.8pt;" o:ole="t" filled="f" stroked="f" coordsize="21600,21600">
                  <v:path/>
                  <v:fill on="f" focussize="0,0"/>
                  <v:stroke on="f"/>
                  <v:imagedata r:id="rId23" o:title=""/>
                  <o:lock v:ext="edit" aspectratio="t"/>
                  <w10:wrap type="none"/>
                  <w10:anchorlock/>
                </v:shape>
                <o:OLEObject Type="Embed" ProgID="Equation.DSMT4" ShapeID="_x0000_i1028" DrawAspect="Content" ObjectID="_1468075728" r:id="rId22">
                  <o:LockedField>false</o:LockedField>
                </o:OLEObject>
              </w:object>
            </w:r>
          </w:p>
          <w:p w14:paraId="27588FCF">
            <w:pPr>
              <w:keepNext w:val="0"/>
              <w:keepLines w:val="0"/>
              <w:suppressLineNumbers w:val="0"/>
              <w:spacing w:before="0" w:beforeAutospacing="0" w:after="0" w:afterAutospacing="0" w:line="360" w:lineRule="auto"/>
              <w:ind w:left="0" w:right="0" w:firstLine="480"/>
              <w:jc w:val="center"/>
              <w:rPr>
                <w:color w:val="auto"/>
                <w:sz w:val="24"/>
                <w:szCs w:val="22"/>
                <w:highlight w:val="none"/>
              </w:rPr>
            </w:pPr>
            <w:r>
              <w:rPr>
                <w:color w:val="auto"/>
                <w:sz w:val="24"/>
                <w:szCs w:val="22"/>
                <w:highlight w:val="none"/>
              </w:rPr>
              <w:object>
                <v:shape id="_x0000_i1029" o:spt="75" type="#_x0000_t75" style="height:20.4pt;width:159.6pt;" o:ole="t" filled="f" stroked="f" coordsize="21600,21600">
                  <v:path/>
                  <v:fill on="f" focussize="0,0"/>
                  <v:stroke on="f"/>
                  <v:imagedata r:id="rId25" o:title=""/>
                  <o:lock v:ext="edit" aspectratio="t"/>
                  <w10:wrap type="none"/>
                  <w10:anchorlock/>
                </v:shape>
                <o:OLEObject Type="Embed" ProgID="Equation.DSMT4" ShapeID="_x0000_i1029" DrawAspect="Content" ObjectID="_1468075729" r:id="rId24">
                  <o:LockedField>false</o:LockedField>
                </o:OLEObject>
              </w:object>
            </w:r>
          </w:p>
          <w:p w14:paraId="590ABC15">
            <w:pPr>
              <w:keepNext w:val="0"/>
              <w:keepLines w:val="0"/>
              <w:suppressLineNumbers w:val="0"/>
              <w:spacing w:before="0" w:beforeAutospacing="0" w:after="0" w:afterAutospacing="0" w:line="360" w:lineRule="auto"/>
              <w:ind w:left="0" w:right="0" w:firstLine="480"/>
              <w:rPr>
                <w:color w:val="auto"/>
                <w:sz w:val="24"/>
                <w:szCs w:val="22"/>
                <w:highlight w:val="none"/>
              </w:rPr>
            </w:pPr>
            <w:r>
              <w:rPr>
                <w:color w:val="auto"/>
                <w:sz w:val="24"/>
                <w:szCs w:val="22"/>
                <w:highlight w:val="none"/>
              </w:rPr>
              <w:t>室外线源可分为若干线的分区，而每个线的分区可用处于中心位置的点声源表示。</w:t>
            </w:r>
          </w:p>
          <w:p w14:paraId="4624243C">
            <w:pPr>
              <w:keepNext w:val="0"/>
              <w:keepLines w:val="0"/>
              <w:suppressLineNumbers w:val="0"/>
              <w:spacing w:before="0" w:beforeAutospacing="0" w:after="0" w:afterAutospacing="0" w:line="360" w:lineRule="auto"/>
              <w:ind w:left="0" w:right="0" w:firstLine="480"/>
              <w:rPr>
                <w:color w:val="auto"/>
                <w:sz w:val="24"/>
                <w:szCs w:val="22"/>
                <w:highlight w:val="none"/>
              </w:rPr>
            </w:pPr>
            <w:r>
              <w:rPr>
                <w:rFonts w:hint="eastAsia"/>
                <w:color w:val="auto"/>
                <w:sz w:val="24"/>
                <w:szCs w:val="22"/>
                <w:highlight w:val="none"/>
              </w:rPr>
              <w:t>②</w:t>
            </w:r>
            <w:r>
              <w:rPr>
                <w:color w:val="auto"/>
                <w:sz w:val="24"/>
                <w:szCs w:val="22"/>
                <w:highlight w:val="none"/>
              </w:rPr>
              <w:t>室内点声源</w:t>
            </w:r>
          </w:p>
          <w:p w14:paraId="493C6452">
            <w:pPr>
              <w:keepNext w:val="0"/>
              <w:keepLines w:val="0"/>
              <w:suppressLineNumbers w:val="0"/>
              <w:spacing w:before="0" w:beforeAutospacing="0" w:after="0" w:afterAutospacing="0" w:line="360" w:lineRule="auto"/>
              <w:ind w:left="0" w:right="0" w:firstLine="480"/>
              <w:rPr>
                <w:color w:val="auto"/>
                <w:sz w:val="24"/>
                <w:szCs w:val="22"/>
                <w:highlight w:val="none"/>
              </w:rPr>
            </w:pPr>
            <w:r>
              <w:rPr>
                <w:color w:val="auto"/>
                <w:sz w:val="24"/>
                <w:szCs w:val="22"/>
                <w:highlight w:val="none"/>
              </w:rPr>
              <w:t>室内声源采用等效室外声源声功率级法进行计算。先计算出某个室内靠近围护结构处产生的倍频带声压级：</w:t>
            </w:r>
          </w:p>
          <w:p w14:paraId="59CCA147">
            <w:pPr>
              <w:keepNext w:val="0"/>
              <w:keepLines w:val="0"/>
              <w:suppressLineNumbers w:val="0"/>
              <w:autoSpaceDE w:val="0"/>
              <w:autoSpaceDN w:val="0"/>
              <w:adjustRightInd w:val="0"/>
              <w:spacing w:before="0" w:beforeAutospacing="0" w:after="0" w:afterAutospacing="0" w:line="360" w:lineRule="auto"/>
              <w:ind w:left="0" w:right="0" w:firstLine="480"/>
              <w:jc w:val="center"/>
              <w:rPr>
                <w:color w:val="auto"/>
                <w:sz w:val="24"/>
                <w:szCs w:val="22"/>
                <w:highlight w:val="none"/>
                <w:lang w:val="zh-CN"/>
              </w:rPr>
            </w:pPr>
            <w:r>
              <w:rPr>
                <w:color w:val="auto"/>
                <w:sz w:val="24"/>
                <w:szCs w:val="22"/>
                <w:highlight w:val="none"/>
              </w:rPr>
              <w:object>
                <v:shape id="_x0000_i1030" o:spt="75" type="#_x0000_t75" style="height:36pt;width:136.8pt;" o:ole="t" filled="f" stroked="f" coordsize="21600,21600">
                  <v:path/>
                  <v:fill on="f" focussize="0,0"/>
                  <v:stroke on="f"/>
                  <v:imagedata r:id="rId27" o:title=""/>
                  <o:lock v:ext="edit" aspectratio="t"/>
                  <w10:wrap type="none"/>
                  <w10:anchorlock/>
                </v:shape>
                <o:OLEObject Type="Embed" ProgID="Equation.DSMT4" ShapeID="_x0000_i1030" DrawAspect="Content" ObjectID="_1468075730" r:id="rId26">
                  <o:LockedField>false</o:LockedField>
                </o:OLEObject>
              </w:object>
            </w:r>
          </w:p>
          <w:p w14:paraId="34266862">
            <w:pPr>
              <w:keepNext w:val="0"/>
              <w:keepLines w:val="0"/>
              <w:suppressLineNumbers w:val="0"/>
              <w:spacing w:before="0" w:beforeAutospacing="0" w:after="0" w:afterAutospacing="0" w:line="360" w:lineRule="auto"/>
              <w:ind w:left="0" w:right="0" w:firstLine="480"/>
              <w:rPr>
                <w:color w:val="auto"/>
                <w:sz w:val="24"/>
                <w:szCs w:val="22"/>
                <w:highlight w:val="none"/>
              </w:rPr>
            </w:pPr>
            <w:r>
              <w:rPr>
                <w:color w:val="auto"/>
                <w:sz w:val="24"/>
                <w:szCs w:val="22"/>
                <w:highlight w:val="none"/>
              </w:rPr>
              <w:t>然后计算出所有室内声源在围护结构处产生的i倍频带叠加声压级：</w:t>
            </w:r>
          </w:p>
          <w:p w14:paraId="0C82A3D3">
            <w:pPr>
              <w:keepNext w:val="0"/>
              <w:keepLines w:val="0"/>
              <w:suppressLineNumbers w:val="0"/>
              <w:autoSpaceDE w:val="0"/>
              <w:autoSpaceDN w:val="0"/>
              <w:adjustRightInd w:val="0"/>
              <w:spacing w:before="0" w:beforeAutospacing="0" w:after="0" w:afterAutospacing="0" w:line="360" w:lineRule="auto"/>
              <w:ind w:left="0" w:right="0" w:firstLine="480"/>
              <w:jc w:val="center"/>
              <w:rPr>
                <w:color w:val="auto"/>
                <w:sz w:val="24"/>
                <w:szCs w:val="22"/>
                <w:highlight w:val="none"/>
              </w:rPr>
            </w:pPr>
            <w:r>
              <w:rPr>
                <w:color w:val="auto"/>
                <w:sz w:val="24"/>
                <w:szCs w:val="22"/>
                <w:highlight w:val="none"/>
              </w:rPr>
              <w:object>
                <v:shape id="_x0000_i1031" o:spt="75" type="#_x0000_t75" style="height:39.6pt;width:136.8pt;" o:ole="t" filled="f" stroked="f" coordsize="21600,21600">
                  <v:path/>
                  <v:fill on="f" focussize="0,0"/>
                  <v:stroke on="f"/>
                  <v:imagedata r:id="rId29" o:title=""/>
                  <o:lock v:ext="edit" aspectratio="t"/>
                  <w10:wrap type="none"/>
                  <w10:anchorlock/>
                </v:shape>
                <o:OLEObject Type="Embed" ProgID="Equation.DSMT4" ShapeID="_x0000_i1031" DrawAspect="Content" ObjectID="_1468075731" r:id="rId28">
                  <o:LockedField>false</o:LockedField>
                </o:OLEObject>
              </w:object>
            </w:r>
          </w:p>
          <w:p w14:paraId="28611953">
            <w:pPr>
              <w:keepNext w:val="0"/>
              <w:keepLines w:val="0"/>
              <w:suppressLineNumbers w:val="0"/>
              <w:spacing w:before="0" w:beforeAutospacing="0" w:after="0" w:afterAutospacing="0" w:line="360" w:lineRule="auto"/>
              <w:ind w:left="0" w:right="0" w:firstLine="480"/>
              <w:rPr>
                <w:color w:val="auto"/>
                <w:sz w:val="24"/>
                <w:szCs w:val="22"/>
                <w:highlight w:val="none"/>
              </w:rPr>
            </w:pPr>
            <w:r>
              <w:rPr>
                <w:color w:val="auto"/>
                <w:sz w:val="24"/>
                <w:szCs w:val="22"/>
                <w:highlight w:val="none"/>
              </w:rPr>
              <w:t>在室内近似为扩散声场时，按下式计算出靠近室外围护结构处的声压级：</w:t>
            </w:r>
          </w:p>
          <w:p w14:paraId="10931C15">
            <w:pPr>
              <w:keepNext w:val="0"/>
              <w:keepLines w:val="0"/>
              <w:suppressLineNumbers w:val="0"/>
              <w:autoSpaceDE w:val="0"/>
              <w:autoSpaceDN w:val="0"/>
              <w:adjustRightInd w:val="0"/>
              <w:spacing w:before="0" w:beforeAutospacing="0" w:after="0" w:afterAutospacing="0" w:line="360" w:lineRule="auto"/>
              <w:ind w:left="0" w:right="0" w:firstLine="480"/>
              <w:jc w:val="center"/>
              <w:rPr>
                <w:color w:val="auto"/>
                <w:sz w:val="24"/>
                <w:szCs w:val="22"/>
                <w:highlight w:val="none"/>
              </w:rPr>
            </w:pPr>
            <w:r>
              <w:rPr>
                <w:color w:val="auto"/>
                <w:sz w:val="24"/>
                <w:szCs w:val="22"/>
                <w:highlight w:val="none"/>
              </w:rPr>
              <w:object>
                <v:shape id="_x0000_i1032" o:spt="75" type="#_x0000_t75" style="height:20.4pt;width:136.8pt;" o:ole="t" filled="f" stroked="f" coordsize="21600,21600">
                  <v:path/>
                  <v:fill on="f" focussize="0,0"/>
                  <v:stroke on="f"/>
                  <v:imagedata r:id="rId31" o:title=""/>
                  <o:lock v:ext="edit" aspectratio="t"/>
                  <w10:wrap type="none"/>
                  <w10:anchorlock/>
                </v:shape>
                <o:OLEObject Type="Embed" ProgID="Equation.DSMT4" ShapeID="_x0000_i1032" DrawAspect="Content" ObjectID="_1468075732" r:id="rId30">
                  <o:LockedField>false</o:LockedField>
                </o:OLEObject>
              </w:object>
            </w:r>
          </w:p>
          <w:p w14:paraId="4AE44E06">
            <w:pPr>
              <w:keepNext w:val="0"/>
              <w:keepLines w:val="0"/>
              <w:suppressLineNumbers w:val="0"/>
              <w:spacing w:before="0" w:beforeAutospacing="0" w:after="0" w:afterAutospacing="0" w:line="360" w:lineRule="auto"/>
              <w:ind w:left="0" w:right="0" w:firstLine="480"/>
              <w:rPr>
                <w:color w:val="auto"/>
                <w:sz w:val="24"/>
                <w:szCs w:val="22"/>
                <w:highlight w:val="none"/>
              </w:rPr>
            </w:pPr>
            <w:r>
              <w:rPr>
                <w:color w:val="auto"/>
                <w:sz w:val="24"/>
                <w:szCs w:val="22"/>
                <w:highlight w:val="none"/>
              </w:rPr>
              <w:t>将室外声源的声压级和透过面积换算成等效的室外声源，计算出中心位置位于透声面积处的等效声源的倍频带声功率级</w:t>
            </w:r>
            <w:r>
              <w:rPr>
                <w:color w:val="auto"/>
                <w:sz w:val="24"/>
                <w:szCs w:val="22"/>
                <w:highlight w:val="none"/>
              </w:rPr>
              <w:softHyphen/>
            </w:r>
            <w:r>
              <w:rPr>
                <w:color w:val="auto"/>
                <w:sz w:val="24"/>
                <w:szCs w:val="22"/>
                <w:highlight w:val="none"/>
              </w:rPr>
              <w:softHyphen/>
            </w:r>
            <w:r>
              <w:rPr>
                <w:color w:val="auto"/>
                <w:sz w:val="24"/>
                <w:szCs w:val="22"/>
                <w:highlight w:val="none"/>
              </w:rPr>
              <w:t>：</w:t>
            </w:r>
          </w:p>
          <w:p w14:paraId="7004F4BE">
            <w:pPr>
              <w:keepNext w:val="0"/>
              <w:keepLines w:val="0"/>
              <w:suppressLineNumbers w:val="0"/>
              <w:autoSpaceDE w:val="0"/>
              <w:autoSpaceDN w:val="0"/>
              <w:adjustRightInd w:val="0"/>
              <w:spacing w:before="0" w:beforeAutospacing="0" w:after="0" w:afterAutospacing="0" w:line="360" w:lineRule="auto"/>
              <w:ind w:left="0" w:right="0" w:firstLine="480"/>
              <w:jc w:val="center"/>
              <w:rPr>
                <w:color w:val="auto"/>
                <w:sz w:val="24"/>
                <w:szCs w:val="22"/>
                <w:highlight w:val="none"/>
              </w:rPr>
            </w:pPr>
            <w:r>
              <w:rPr>
                <w:color w:val="auto"/>
                <w:sz w:val="24"/>
                <w:szCs w:val="22"/>
                <w:highlight w:val="none"/>
              </w:rPr>
              <w:object>
                <v:shape id="_x0000_i1033" o:spt="75" type="#_x0000_t75" style="height:20.4pt;width:100.8pt;" o:ole="t" filled="f" stroked="f" coordsize="21600,21600">
                  <v:path/>
                  <v:fill on="f" focussize="0,0"/>
                  <v:stroke on="f"/>
                  <v:imagedata r:id="rId33" o:title=""/>
                  <o:lock v:ext="edit" aspectratio="t"/>
                  <w10:wrap type="none"/>
                  <w10:anchorlock/>
                </v:shape>
                <o:OLEObject Type="Embed" ProgID="Equation.DSMT4" ShapeID="_x0000_i1033" DrawAspect="Content" ObjectID="_1468075733" r:id="rId32">
                  <o:LockedField>false</o:LockedField>
                </o:OLEObject>
              </w:object>
            </w:r>
          </w:p>
          <w:p w14:paraId="0C2B6A84">
            <w:pPr>
              <w:keepNext w:val="0"/>
              <w:keepLines w:val="0"/>
              <w:suppressLineNumbers w:val="0"/>
              <w:spacing w:before="0" w:beforeAutospacing="0" w:after="0" w:afterAutospacing="0" w:line="360" w:lineRule="auto"/>
              <w:ind w:left="0" w:right="0" w:firstLine="480"/>
              <w:rPr>
                <w:color w:val="auto"/>
                <w:sz w:val="24"/>
                <w:szCs w:val="22"/>
                <w:highlight w:val="none"/>
              </w:rPr>
            </w:pPr>
            <w:r>
              <w:rPr>
                <w:color w:val="auto"/>
                <w:sz w:val="24"/>
                <w:szCs w:val="22"/>
                <w:highlight w:val="none"/>
              </w:rPr>
              <w:t>然后按室外声源预测方法计算预测点处的A声级。</w:t>
            </w:r>
          </w:p>
          <w:p w14:paraId="7664D272">
            <w:pPr>
              <w:keepNext w:val="0"/>
              <w:keepLines w:val="0"/>
              <w:suppressLineNumbers w:val="0"/>
              <w:spacing w:before="0" w:beforeAutospacing="0" w:after="0" w:afterAutospacing="0" w:line="360" w:lineRule="auto"/>
              <w:ind w:left="0" w:right="0" w:firstLine="480"/>
              <w:rPr>
                <w:color w:val="auto"/>
                <w:sz w:val="24"/>
                <w:szCs w:val="22"/>
                <w:highlight w:val="none"/>
              </w:rPr>
            </w:pPr>
            <w:r>
              <w:rPr>
                <w:rFonts w:hint="eastAsia"/>
                <w:color w:val="auto"/>
                <w:sz w:val="24"/>
                <w:szCs w:val="22"/>
                <w:highlight w:val="none"/>
              </w:rPr>
              <w:t>③</w:t>
            </w:r>
            <w:r>
              <w:rPr>
                <w:color w:val="auto"/>
                <w:sz w:val="24"/>
                <w:szCs w:val="22"/>
                <w:highlight w:val="none"/>
              </w:rPr>
              <w:t>噪声贡献值计算</w:t>
            </w:r>
          </w:p>
          <w:p w14:paraId="6B937760">
            <w:pPr>
              <w:keepNext w:val="0"/>
              <w:keepLines w:val="0"/>
              <w:suppressLineNumbers w:val="0"/>
              <w:spacing w:before="0" w:beforeAutospacing="0" w:after="0" w:afterAutospacing="0" w:line="360" w:lineRule="auto"/>
              <w:ind w:left="0" w:right="0" w:firstLine="480"/>
              <w:rPr>
                <w:color w:val="auto"/>
                <w:sz w:val="24"/>
                <w:szCs w:val="22"/>
                <w:highlight w:val="none"/>
              </w:rPr>
            </w:pPr>
            <w:r>
              <w:rPr>
                <w:color w:val="auto"/>
                <w:sz w:val="24"/>
                <w:szCs w:val="22"/>
                <w:highlight w:val="none"/>
              </w:rPr>
              <w:t>设第i个室外声源在预测点产生的A声级为LAi，在T时间内该声源工作时间为ti；第j个等效室外声源在预测点产生的A声级为LAj，在T时间内该声源工作时间为tj，则拟建工程声源对预测点产生的贡献值为：</w:t>
            </w:r>
          </w:p>
          <w:p w14:paraId="6DC504EB">
            <w:pPr>
              <w:keepNext w:val="0"/>
              <w:keepLines w:val="0"/>
              <w:suppressLineNumbers w:val="0"/>
              <w:autoSpaceDE w:val="0"/>
              <w:autoSpaceDN w:val="0"/>
              <w:adjustRightInd w:val="0"/>
              <w:spacing w:before="0" w:beforeAutospacing="0" w:after="0" w:afterAutospacing="0" w:line="360" w:lineRule="auto"/>
              <w:ind w:left="0" w:right="0" w:firstLine="480"/>
              <w:jc w:val="center"/>
              <w:rPr>
                <w:color w:val="auto"/>
                <w:sz w:val="24"/>
                <w:szCs w:val="22"/>
                <w:highlight w:val="none"/>
              </w:rPr>
            </w:pPr>
            <w:r>
              <w:rPr>
                <w:color w:val="auto"/>
                <w:sz w:val="24"/>
                <w:szCs w:val="22"/>
                <w:highlight w:val="none"/>
              </w:rPr>
              <w:object>
                <v:shape id="_x0000_i1034" o:spt="75" type="#_x0000_t75" style="height:43.2pt;width:208.8pt;" o:ole="t" filled="f" stroked="f" coordsize="21600,21600">
                  <v:path/>
                  <v:fill on="f" focussize="0,0"/>
                  <v:stroke on="f"/>
                  <v:imagedata r:id="rId35" o:title=""/>
                  <o:lock v:ext="edit" aspectratio="t"/>
                  <w10:wrap type="none"/>
                  <w10:anchorlock/>
                </v:shape>
                <o:OLEObject Type="Embed" ProgID="Equation.DSMT4" ShapeID="_x0000_i1034" DrawAspect="Content" ObjectID="_1468075734" r:id="rId34">
                  <o:LockedField>false</o:LockedField>
                </o:OLEObject>
              </w:object>
            </w:r>
          </w:p>
          <w:p w14:paraId="378D7E83">
            <w:pPr>
              <w:keepNext w:val="0"/>
              <w:keepLines w:val="0"/>
              <w:suppressLineNumbers w:val="0"/>
              <w:spacing w:before="0" w:beforeAutospacing="0" w:after="0" w:afterAutospacing="0" w:line="360" w:lineRule="auto"/>
              <w:ind w:left="0" w:right="0" w:firstLine="480"/>
              <w:rPr>
                <w:color w:val="auto"/>
                <w:sz w:val="24"/>
                <w:szCs w:val="22"/>
                <w:highlight w:val="none"/>
              </w:rPr>
            </w:pPr>
            <w:r>
              <w:rPr>
                <w:rFonts w:hint="eastAsia"/>
                <w:color w:val="auto"/>
                <w:sz w:val="24"/>
                <w:szCs w:val="22"/>
                <w:highlight w:val="none"/>
              </w:rPr>
              <w:t>④</w:t>
            </w:r>
            <w:r>
              <w:rPr>
                <w:color w:val="auto"/>
                <w:sz w:val="24"/>
                <w:szCs w:val="22"/>
                <w:highlight w:val="none"/>
              </w:rPr>
              <w:t>预测值计算</w:t>
            </w:r>
          </w:p>
          <w:p w14:paraId="7C3B11AF">
            <w:pPr>
              <w:keepNext w:val="0"/>
              <w:keepLines w:val="0"/>
              <w:suppressLineNumbers w:val="0"/>
              <w:spacing w:before="0" w:beforeAutospacing="0" w:after="0" w:afterAutospacing="0" w:line="360" w:lineRule="auto"/>
              <w:ind w:left="0" w:right="0" w:firstLine="480"/>
              <w:rPr>
                <w:color w:val="auto"/>
                <w:sz w:val="24"/>
                <w:szCs w:val="22"/>
                <w:highlight w:val="none"/>
              </w:rPr>
            </w:pPr>
            <w:r>
              <w:rPr>
                <w:color w:val="auto"/>
                <w:sz w:val="24"/>
                <w:szCs w:val="22"/>
                <w:highlight w:val="none"/>
              </w:rPr>
              <w:t>预测点的预测等效声级为：</w:t>
            </w:r>
          </w:p>
          <w:p w14:paraId="00E380D3">
            <w:pPr>
              <w:keepNext w:val="0"/>
              <w:keepLines w:val="0"/>
              <w:suppressLineNumbers w:val="0"/>
              <w:autoSpaceDE w:val="0"/>
              <w:autoSpaceDN w:val="0"/>
              <w:adjustRightInd w:val="0"/>
              <w:spacing w:before="0" w:beforeAutospacing="0" w:after="0" w:afterAutospacing="0" w:line="360" w:lineRule="auto"/>
              <w:ind w:left="0" w:right="0" w:firstLine="480"/>
              <w:jc w:val="center"/>
              <w:rPr>
                <w:color w:val="auto"/>
                <w:sz w:val="24"/>
                <w:szCs w:val="22"/>
                <w:highlight w:val="none"/>
              </w:rPr>
            </w:pPr>
            <w:r>
              <w:rPr>
                <w:color w:val="auto"/>
                <w:sz w:val="24"/>
                <w:szCs w:val="22"/>
                <w:highlight w:val="none"/>
              </w:rPr>
              <w:object>
                <v:shape id="_x0000_i1035" o:spt="75" type="#_x0000_t75" style="height:25.2pt;width:140.4pt;" o:ole="t" filled="f" stroked="f" coordsize="21600,21600">
                  <v:path/>
                  <v:fill on="f" focussize="0,0"/>
                  <v:stroke on="f"/>
                  <v:imagedata r:id="rId37" o:title=""/>
                  <o:lock v:ext="edit" aspectratio="t"/>
                  <w10:wrap type="none"/>
                  <w10:anchorlock/>
                </v:shape>
                <o:OLEObject Type="Embed" ProgID="Equation.DSMT4" ShapeID="_x0000_i1035" DrawAspect="Content" ObjectID="_1468075735" r:id="rId36">
                  <o:LockedField>false</o:LockedField>
                </o:OLEObject>
              </w:object>
            </w:r>
          </w:p>
          <w:p w14:paraId="4DA21666">
            <w:pPr>
              <w:keepNext w:val="0"/>
              <w:keepLines w:val="0"/>
              <w:suppressLineNumbers w:val="0"/>
              <w:spacing w:before="0" w:beforeAutospacing="0" w:after="0" w:afterAutospacing="0" w:line="360" w:lineRule="auto"/>
              <w:ind w:left="0" w:right="0" w:firstLine="480"/>
              <w:rPr>
                <w:color w:val="auto"/>
                <w:sz w:val="24"/>
                <w:szCs w:val="22"/>
                <w:highlight w:val="none"/>
              </w:rPr>
            </w:pPr>
            <w:r>
              <w:rPr>
                <w:color w:val="auto"/>
                <w:sz w:val="24"/>
                <w:szCs w:val="22"/>
                <w:highlight w:val="none"/>
              </w:rPr>
              <w:t>上式中各符号的意义和单位见HJ2.4-20</w:t>
            </w:r>
            <w:r>
              <w:rPr>
                <w:rFonts w:hint="eastAsia"/>
                <w:color w:val="auto"/>
                <w:sz w:val="24"/>
                <w:szCs w:val="22"/>
                <w:highlight w:val="none"/>
              </w:rPr>
              <w:t>21</w:t>
            </w:r>
            <w:r>
              <w:rPr>
                <w:color w:val="auto"/>
                <w:sz w:val="24"/>
                <w:szCs w:val="22"/>
                <w:highlight w:val="none"/>
              </w:rPr>
              <w:t>。</w:t>
            </w:r>
          </w:p>
          <w:p w14:paraId="07F44505">
            <w:pPr>
              <w:keepNext w:val="0"/>
              <w:keepLines w:val="0"/>
              <w:suppressLineNumbers w:val="0"/>
              <w:spacing w:before="0" w:beforeAutospacing="0" w:after="0" w:afterAutospacing="0" w:line="360" w:lineRule="auto"/>
              <w:ind w:left="0" w:right="0"/>
              <w:rPr>
                <w:b/>
                <w:bCs/>
                <w:color w:val="auto"/>
                <w:sz w:val="24"/>
                <w:szCs w:val="22"/>
                <w:highlight w:val="none"/>
              </w:rPr>
            </w:pPr>
            <w:r>
              <w:rPr>
                <w:rFonts w:hint="eastAsia"/>
                <w:b/>
                <w:bCs/>
                <w:color w:val="auto"/>
                <w:sz w:val="24"/>
                <w:szCs w:val="22"/>
                <w:highlight w:val="none"/>
                <w:lang w:val="en-US" w:eastAsia="zh-CN"/>
              </w:rPr>
              <w:t>3.3</w:t>
            </w:r>
            <w:r>
              <w:rPr>
                <w:b/>
                <w:bCs/>
                <w:color w:val="auto"/>
                <w:sz w:val="24"/>
                <w:szCs w:val="22"/>
                <w:highlight w:val="none"/>
              </w:rPr>
              <w:t>预测结果及评价</w:t>
            </w:r>
          </w:p>
          <w:p w14:paraId="4F834D63">
            <w:pPr>
              <w:keepNext w:val="0"/>
              <w:keepLines w:val="0"/>
              <w:suppressLineNumbers w:val="0"/>
              <w:shd w:val="clear"/>
              <w:spacing w:before="0" w:beforeAutospacing="0" w:after="0" w:afterAutospacing="0" w:line="360" w:lineRule="auto"/>
              <w:ind w:left="0" w:right="0" w:firstLine="480"/>
              <w:rPr>
                <w:color w:val="auto"/>
                <w:sz w:val="24"/>
                <w:szCs w:val="22"/>
                <w:highlight w:val="none"/>
              </w:rPr>
            </w:pPr>
            <w:r>
              <w:rPr>
                <w:color w:val="auto"/>
                <w:sz w:val="24"/>
                <w:szCs w:val="22"/>
                <w:highlight w:val="none"/>
              </w:rPr>
              <w:t>建设单位拟对各主要产噪声设备采用基础减振、墙体隔声等措施，噪声削减量按20dB（A）计算。根据HJ2.4-20</w:t>
            </w:r>
            <w:r>
              <w:rPr>
                <w:rFonts w:hint="eastAsia"/>
                <w:color w:val="auto"/>
                <w:sz w:val="24"/>
                <w:szCs w:val="22"/>
                <w:highlight w:val="none"/>
              </w:rPr>
              <w:t>21</w:t>
            </w:r>
            <w:r>
              <w:rPr>
                <w:color w:val="auto"/>
                <w:sz w:val="24"/>
                <w:szCs w:val="22"/>
                <w:highlight w:val="none"/>
              </w:rPr>
              <w:t>“工业噪声预测模式”对本次噪声影响进行预测，预测结果计算结果见下表。</w:t>
            </w:r>
          </w:p>
          <w:p w14:paraId="40A063A5">
            <w:pPr>
              <w:pStyle w:val="354"/>
              <w:keepNext w:val="0"/>
              <w:keepLines w:val="0"/>
              <w:suppressLineNumbers w:val="0"/>
              <w:shd w:val="clear"/>
              <w:spacing w:before="0" w:beforeAutospacing="0" w:after="0" w:afterAutospacing="0"/>
              <w:ind w:left="0" w:right="0" w:firstLine="482"/>
              <w:rPr>
                <w:color w:val="auto"/>
                <w:highlight w:val="none"/>
              </w:rPr>
            </w:pPr>
            <w:r>
              <w:rPr>
                <w:rFonts w:hint="default" w:ascii="Times New Roman" w:hAnsi="Times New Roman" w:eastAsia="宋体" w:cs="Times New Roman"/>
                <w:b/>
                <w:bCs w:val="0"/>
                <w:color w:val="auto"/>
                <w:kern w:val="2"/>
                <w:sz w:val="21"/>
                <w:szCs w:val="21"/>
                <w:highlight w:val="none"/>
                <w:lang w:val="en-US" w:eastAsia="zh-CN" w:bidi="ar-SA"/>
              </w:rPr>
              <w:t>表4-</w:t>
            </w:r>
            <w:r>
              <w:rPr>
                <w:rFonts w:hint="eastAsia" w:eastAsia="宋体" w:cs="Times New Roman"/>
                <w:b/>
                <w:bCs w:val="0"/>
                <w:color w:val="auto"/>
                <w:kern w:val="2"/>
                <w:sz w:val="21"/>
                <w:szCs w:val="21"/>
                <w:highlight w:val="none"/>
                <w:lang w:val="en-US" w:eastAsia="zh-CN" w:bidi="ar-SA"/>
              </w:rPr>
              <w:t>13</w:t>
            </w:r>
            <w:r>
              <w:rPr>
                <w:rFonts w:hint="default" w:ascii="Times New Roman" w:hAnsi="Times New Roman" w:eastAsia="宋体" w:cs="Times New Roman"/>
                <w:b/>
                <w:bCs w:val="0"/>
                <w:color w:val="auto"/>
                <w:kern w:val="2"/>
                <w:sz w:val="21"/>
                <w:szCs w:val="21"/>
                <w:highlight w:val="none"/>
                <w:lang w:val="en-US" w:eastAsia="zh-CN" w:bidi="ar-SA"/>
              </w:rPr>
              <w:t xml:space="preserve">  噪声预测结果</w:t>
            </w:r>
            <w:r>
              <w:rPr>
                <w:rFonts w:hint="eastAsia" w:ascii="Times New Roman" w:hAnsi="Times New Roman" w:eastAsia="宋体" w:cs="Times New Roman"/>
                <w:b/>
                <w:bCs w:val="0"/>
                <w:color w:val="auto"/>
                <w:kern w:val="2"/>
                <w:sz w:val="21"/>
                <w:szCs w:val="21"/>
                <w:highlight w:val="none"/>
                <w:lang w:val="en-US" w:eastAsia="zh-CN" w:bidi="ar-SA"/>
              </w:rPr>
              <w:t xml:space="preserve">  </w:t>
            </w:r>
            <w:r>
              <w:rPr>
                <w:rFonts w:hint="default" w:ascii="Times New Roman" w:hAnsi="Times New Roman" w:eastAsia="宋体" w:cs="Times New Roman"/>
                <w:b/>
                <w:bCs w:val="0"/>
                <w:color w:val="auto"/>
                <w:kern w:val="2"/>
                <w:sz w:val="21"/>
                <w:szCs w:val="21"/>
                <w:highlight w:val="none"/>
                <w:lang w:val="en-US" w:eastAsia="zh-CN" w:bidi="ar-SA"/>
              </w:rPr>
              <w:t>单位：dB</w:t>
            </w:r>
            <w:r>
              <w:rPr>
                <w:rFonts w:hint="eastAsia" w:ascii="Times New Roman" w:hAnsi="Times New Roman" w:eastAsia="宋体" w:cs="Times New Roman"/>
                <w:b/>
                <w:bCs w:val="0"/>
                <w:color w:val="auto"/>
                <w:kern w:val="2"/>
                <w:sz w:val="21"/>
                <w:szCs w:val="21"/>
                <w:highlight w:val="none"/>
                <w:lang w:val="en-US" w:eastAsia="zh-CN" w:bidi="ar-SA"/>
              </w:rPr>
              <w:t>（</w:t>
            </w:r>
            <w:r>
              <w:rPr>
                <w:rFonts w:hint="default" w:ascii="Times New Roman" w:hAnsi="Times New Roman" w:eastAsia="宋体" w:cs="Times New Roman"/>
                <w:b/>
                <w:bCs w:val="0"/>
                <w:color w:val="auto"/>
                <w:kern w:val="2"/>
                <w:sz w:val="21"/>
                <w:szCs w:val="21"/>
                <w:highlight w:val="none"/>
                <w:lang w:val="en-US" w:eastAsia="zh-CN" w:bidi="ar-SA"/>
              </w:rPr>
              <w:t>A</w:t>
            </w:r>
            <w:r>
              <w:rPr>
                <w:rFonts w:hint="eastAsia" w:ascii="Times New Roman" w:hAnsi="Times New Roman" w:eastAsia="宋体" w:cs="Times New Roman"/>
                <w:b/>
                <w:bCs w:val="0"/>
                <w:color w:val="auto"/>
                <w:kern w:val="2"/>
                <w:sz w:val="21"/>
                <w:szCs w:val="21"/>
                <w:highlight w:val="none"/>
                <w:lang w:val="en-US" w:eastAsia="zh-CN" w:bidi="ar-SA"/>
              </w:rPr>
              <w:t>）</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587"/>
              <w:gridCol w:w="1600"/>
              <w:gridCol w:w="1600"/>
              <w:gridCol w:w="1593"/>
              <w:gridCol w:w="2054"/>
            </w:tblGrid>
            <w:tr w14:paraId="0B7A5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40" w:type="pct"/>
                  <w:vMerge w:val="restart"/>
                  <w:tcBorders>
                    <w:tl2br w:val="nil"/>
                    <w:tr2bl w:val="nil"/>
                  </w:tcBorders>
                  <w:noWrap w:val="0"/>
                  <w:vAlign w:val="center"/>
                </w:tcPr>
                <w:p w14:paraId="5DC22A72">
                  <w:pPr>
                    <w:keepNext w:val="0"/>
                    <w:keepLines w:val="0"/>
                    <w:suppressLineNumbers w:val="0"/>
                    <w:shd w:val="clear"/>
                    <w:spacing w:before="0" w:beforeAutospacing="0" w:after="0" w:afterAutospacing="0"/>
                    <w:ind w:left="0" w:right="0"/>
                    <w:jc w:val="center"/>
                    <w:rPr>
                      <w:b/>
                      <w:bCs/>
                      <w:color w:val="auto"/>
                      <w:sz w:val="21"/>
                      <w:szCs w:val="21"/>
                      <w:highlight w:val="none"/>
                    </w:rPr>
                  </w:pPr>
                  <w:r>
                    <w:rPr>
                      <w:rFonts w:hint="eastAsia"/>
                      <w:b/>
                      <w:bCs/>
                      <w:color w:val="auto"/>
                      <w:sz w:val="21"/>
                      <w:szCs w:val="21"/>
                      <w:highlight w:val="none"/>
                    </w:rPr>
                    <w:t>预测点</w:t>
                  </w:r>
                </w:p>
              </w:tc>
              <w:tc>
                <w:tcPr>
                  <w:tcW w:w="948" w:type="pct"/>
                  <w:vMerge w:val="restart"/>
                  <w:tcBorders>
                    <w:tl2br w:val="nil"/>
                    <w:tr2bl w:val="nil"/>
                  </w:tcBorders>
                  <w:noWrap w:val="0"/>
                  <w:vAlign w:val="center"/>
                </w:tcPr>
                <w:p w14:paraId="6575B9AC">
                  <w:pPr>
                    <w:keepNext w:val="0"/>
                    <w:keepLines w:val="0"/>
                    <w:suppressLineNumbers w:val="0"/>
                    <w:shd w:val="clear"/>
                    <w:spacing w:before="0" w:beforeAutospacing="0" w:after="0" w:afterAutospacing="0"/>
                    <w:ind w:left="0" w:right="0"/>
                    <w:jc w:val="center"/>
                    <w:rPr>
                      <w:b/>
                      <w:bCs/>
                      <w:color w:val="auto"/>
                      <w:sz w:val="21"/>
                      <w:szCs w:val="21"/>
                      <w:highlight w:val="none"/>
                    </w:rPr>
                  </w:pPr>
                  <w:r>
                    <w:rPr>
                      <w:rFonts w:hint="eastAsia"/>
                      <w:b/>
                      <w:bCs/>
                      <w:color w:val="auto"/>
                      <w:sz w:val="21"/>
                      <w:szCs w:val="21"/>
                      <w:highlight w:val="none"/>
                    </w:rPr>
                    <w:t>贡献值</w:t>
                  </w:r>
                </w:p>
              </w:tc>
              <w:tc>
                <w:tcPr>
                  <w:tcW w:w="948" w:type="pct"/>
                  <w:vMerge w:val="restart"/>
                  <w:tcBorders>
                    <w:tl2br w:val="nil"/>
                    <w:tr2bl w:val="nil"/>
                  </w:tcBorders>
                  <w:noWrap w:val="0"/>
                  <w:vAlign w:val="center"/>
                </w:tcPr>
                <w:p w14:paraId="57BE7722">
                  <w:pPr>
                    <w:keepNext w:val="0"/>
                    <w:keepLines w:val="0"/>
                    <w:suppressLineNumbers w:val="0"/>
                    <w:shd w:val="clear"/>
                    <w:spacing w:before="0" w:beforeAutospacing="0" w:after="0" w:afterAutospacing="0"/>
                    <w:ind w:left="0" w:right="0"/>
                    <w:jc w:val="center"/>
                    <w:rPr>
                      <w:rFonts w:hint="eastAsia" w:eastAsia="宋体"/>
                      <w:b/>
                      <w:bCs/>
                      <w:color w:val="auto"/>
                      <w:sz w:val="21"/>
                      <w:szCs w:val="21"/>
                      <w:highlight w:val="none"/>
                      <w:lang w:eastAsia="zh-CN"/>
                    </w:rPr>
                  </w:pPr>
                  <w:r>
                    <w:rPr>
                      <w:rFonts w:hint="eastAsia"/>
                      <w:b/>
                      <w:bCs/>
                      <w:color w:val="auto"/>
                      <w:sz w:val="21"/>
                      <w:szCs w:val="21"/>
                      <w:highlight w:val="none"/>
                      <w:lang w:val="en-US" w:eastAsia="zh-CN"/>
                    </w:rPr>
                    <w:t>预测</w:t>
                  </w:r>
                  <w:r>
                    <w:rPr>
                      <w:rFonts w:hint="eastAsia"/>
                      <w:b/>
                      <w:bCs/>
                      <w:color w:val="auto"/>
                      <w:sz w:val="21"/>
                      <w:szCs w:val="21"/>
                      <w:highlight w:val="none"/>
                      <w:lang w:eastAsia="zh-CN"/>
                    </w:rPr>
                    <w:t>值</w:t>
                  </w:r>
                </w:p>
              </w:tc>
              <w:tc>
                <w:tcPr>
                  <w:tcW w:w="944" w:type="pct"/>
                  <w:tcBorders>
                    <w:tl2br w:val="nil"/>
                    <w:tr2bl w:val="nil"/>
                  </w:tcBorders>
                  <w:noWrap w:val="0"/>
                  <w:vAlign w:val="center"/>
                </w:tcPr>
                <w:p w14:paraId="15C9F176">
                  <w:pPr>
                    <w:keepNext w:val="0"/>
                    <w:keepLines w:val="0"/>
                    <w:suppressLineNumbers w:val="0"/>
                    <w:shd w:val="clear"/>
                    <w:spacing w:before="0" w:beforeAutospacing="0" w:after="0" w:afterAutospacing="0"/>
                    <w:ind w:left="0" w:right="0"/>
                    <w:jc w:val="center"/>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昼间</w:t>
                  </w:r>
                </w:p>
              </w:tc>
              <w:tc>
                <w:tcPr>
                  <w:tcW w:w="1217" w:type="pct"/>
                  <w:vMerge w:val="restart"/>
                  <w:tcBorders>
                    <w:tl2br w:val="nil"/>
                    <w:tr2bl w:val="nil"/>
                  </w:tcBorders>
                  <w:noWrap w:val="0"/>
                  <w:vAlign w:val="center"/>
                </w:tcPr>
                <w:p w14:paraId="4EE40DFF">
                  <w:pPr>
                    <w:keepNext w:val="0"/>
                    <w:keepLines w:val="0"/>
                    <w:suppressLineNumbers w:val="0"/>
                    <w:shd w:val="clear"/>
                    <w:spacing w:before="0" w:beforeAutospacing="0" w:after="0" w:afterAutospacing="0"/>
                    <w:ind w:left="0" w:right="0"/>
                    <w:jc w:val="center"/>
                    <w:rPr>
                      <w:b/>
                      <w:bCs/>
                      <w:color w:val="auto"/>
                      <w:sz w:val="21"/>
                      <w:szCs w:val="21"/>
                      <w:highlight w:val="none"/>
                    </w:rPr>
                  </w:pPr>
                  <w:r>
                    <w:rPr>
                      <w:rFonts w:hint="eastAsia"/>
                      <w:b/>
                      <w:bCs/>
                      <w:color w:val="auto"/>
                      <w:sz w:val="21"/>
                      <w:szCs w:val="21"/>
                      <w:highlight w:val="none"/>
                    </w:rPr>
                    <w:t>达标情况</w:t>
                  </w:r>
                </w:p>
              </w:tc>
            </w:tr>
            <w:tr w14:paraId="3896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40" w:type="pct"/>
                  <w:vMerge w:val="continue"/>
                  <w:tcBorders>
                    <w:tl2br w:val="nil"/>
                    <w:tr2bl w:val="nil"/>
                  </w:tcBorders>
                  <w:noWrap w:val="0"/>
                  <w:vAlign w:val="center"/>
                </w:tcPr>
                <w:p w14:paraId="13EC2CAF">
                  <w:pPr>
                    <w:keepNext w:val="0"/>
                    <w:keepLines w:val="0"/>
                    <w:widowControl/>
                    <w:suppressLineNumbers w:val="0"/>
                    <w:shd w:val="clear"/>
                    <w:spacing w:before="0" w:beforeAutospacing="0" w:after="0" w:afterAutospacing="0"/>
                    <w:ind w:left="0" w:right="0"/>
                    <w:jc w:val="center"/>
                    <w:rPr>
                      <w:color w:val="auto"/>
                      <w:sz w:val="21"/>
                      <w:szCs w:val="21"/>
                      <w:highlight w:val="none"/>
                    </w:rPr>
                  </w:pPr>
                </w:p>
              </w:tc>
              <w:tc>
                <w:tcPr>
                  <w:tcW w:w="948" w:type="pct"/>
                  <w:vMerge w:val="continue"/>
                  <w:tcBorders>
                    <w:tl2br w:val="nil"/>
                    <w:tr2bl w:val="nil"/>
                  </w:tcBorders>
                  <w:noWrap w:val="0"/>
                  <w:vAlign w:val="center"/>
                </w:tcPr>
                <w:p w14:paraId="0A188FFA">
                  <w:pPr>
                    <w:keepNext w:val="0"/>
                    <w:keepLines w:val="0"/>
                    <w:suppressLineNumbers w:val="0"/>
                    <w:shd w:val="clear"/>
                    <w:spacing w:before="0" w:beforeAutospacing="0" w:after="0" w:afterAutospacing="0"/>
                    <w:ind w:left="0" w:right="0"/>
                    <w:jc w:val="center"/>
                    <w:rPr>
                      <w:b/>
                      <w:bCs/>
                      <w:color w:val="auto"/>
                      <w:sz w:val="21"/>
                      <w:szCs w:val="21"/>
                      <w:highlight w:val="none"/>
                    </w:rPr>
                  </w:pPr>
                </w:p>
              </w:tc>
              <w:tc>
                <w:tcPr>
                  <w:tcW w:w="948" w:type="pct"/>
                  <w:vMerge w:val="continue"/>
                  <w:tcBorders>
                    <w:tl2br w:val="nil"/>
                    <w:tr2bl w:val="nil"/>
                  </w:tcBorders>
                  <w:noWrap w:val="0"/>
                  <w:vAlign w:val="center"/>
                </w:tcPr>
                <w:p w14:paraId="1DAC8260">
                  <w:pPr>
                    <w:keepNext w:val="0"/>
                    <w:keepLines w:val="0"/>
                    <w:suppressLineNumbers w:val="0"/>
                    <w:shd w:val="clear"/>
                    <w:spacing w:before="0" w:beforeAutospacing="0" w:after="0" w:afterAutospacing="0"/>
                    <w:ind w:left="0" w:right="0"/>
                    <w:jc w:val="center"/>
                    <w:rPr>
                      <w:rFonts w:hint="eastAsia" w:eastAsia="宋体"/>
                      <w:b/>
                      <w:bCs/>
                      <w:color w:val="auto"/>
                      <w:sz w:val="21"/>
                      <w:szCs w:val="21"/>
                      <w:highlight w:val="none"/>
                      <w:lang w:eastAsia="zh-CN"/>
                    </w:rPr>
                  </w:pPr>
                </w:p>
              </w:tc>
              <w:tc>
                <w:tcPr>
                  <w:tcW w:w="944" w:type="pct"/>
                  <w:tcBorders>
                    <w:tl2br w:val="nil"/>
                    <w:tr2bl w:val="nil"/>
                  </w:tcBorders>
                  <w:noWrap w:val="0"/>
                  <w:vAlign w:val="center"/>
                </w:tcPr>
                <w:p w14:paraId="2CB4F33F">
                  <w:pPr>
                    <w:keepNext w:val="0"/>
                    <w:keepLines w:val="0"/>
                    <w:suppressLineNumbers w:val="0"/>
                    <w:shd w:val="clear"/>
                    <w:spacing w:before="0" w:beforeAutospacing="0" w:after="0" w:afterAutospacing="0"/>
                    <w:ind w:left="0" w:right="0"/>
                    <w:jc w:val="center"/>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标准值</w:t>
                  </w:r>
                </w:p>
              </w:tc>
              <w:tc>
                <w:tcPr>
                  <w:tcW w:w="1217" w:type="pct"/>
                  <w:vMerge w:val="continue"/>
                  <w:tcBorders>
                    <w:tl2br w:val="nil"/>
                    <w:tr2bl w:val="nil"/>
                  </w:tcBorders>
                  <w:noWrap w:val="0"/>
                  <w:vAlign w:val="center"/>
                </w:tcPr>
                <w:p w14:paraId="74A52464">
                  <w:pPr>
                    <w:keepNext w:val="0"/>
                    <w:keepLines w:val="0"/>
                    <w:widowControl/>
                    <w:suppressLineNumbers w:val="0"/>
                    <w:shd w:val="clear"/>
                    <w:spacing w:before="0" w:beforeAutospacing="0" w:after="0" w:afterAutospacing="0"/>
                    <w:ind w:left="0" w:right="0"/>
                    <w:jc w:val="center"/>
                    <w:rPr>
                      <w:color w:val="auto"/>
                      <w:sz w:val="21"/>
                      <w:szCs w:val="21"/>
                      <w:highlight w:val="none"/>
                    </w:rPr>
                  </w:pPr>
                </w:p>
              </w:tc>
            </w:tr>
            <w:tr w14:paraId="426E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40" w:type="pct"/>
                  <w:tcBorders>
                    <w:tl2br w:val="nil"/>
                    <w:tr2bl w:val="nil"/>
                  </w:tcBorders>
                  <w:noWrap w:val="0"/>
                  <w:vAlign w:val="center"/>
                </w:tcPr>
                <w:p w14:paraId="01A74013">
                  <w:pPr>
                    <w:keepNext w:val="0"/>
                    <w:keepLines w:val="0"/>
                    <w:suppressLineNumbers w:val="0"/>
                    <w:shd w:val="clear"/>
                    <w:spacing w:before="0" w:beforeAutospacing="0" w:after="0" w:afterAutospacing="0"/>
                    <w:ind w:left="0" w:right="0"/>
                    <w:jc w:val="center"/>
                    <w:rPr>
                      <w:color w:val="auto"/>
                      <w:sz w:val="21"/>
                      <w:szCs w:val="21"/>
                      <w:highlight w:val="none"/>
                    </w:rPr>
                  </w:pPr>
                  <w:r>
                    <w:rPr>
                      <w:rFonts w:hint="eastAsia"/>
                      <w:color w:val="auto"/>
                      <w:sz w:val="21"/>
                      <w:szCs w:val="21"/>
                      <w:highlight w:val="none"/>
                    </w:rPr>
                    <w:t>东厂界</w:t>
                  </w:r>
                </w:p>
              </w:tc>
              <w:tc>
                <w:tcPr>
                  <w:tcW w:w="948" w:type="pct"/>
                  <w:tcBorders>
                    <w:tl2br w:val="nil"/>
                    <w:tr2bl w:val="nil"/>
                  </w:tcBorders>
                  <w:noWrap w:val="0"/>
                  <w:vAlign w:val="center"/>
                </w:tcPr>
                <w:p w14:paraId="2DC65065">
                  <w:pPr>
                    <w:keepNext w:val="0"/>
                    <w:keepLines w:val="0"/>
                    <w:widowControl/>
                    <w:suppressLineNumbers w:val="0"/>
                    <w:shd w:val="clear"/>
                    <w:snapToGri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46.5</w:t>
                  </w:r>
                </w:p>
              </w:tc>
              <w:tc>
                <w:tcPr>
                  <w:tcW w:w="948" w:type="pct"/>
                  <w:tcBorders>
                    <w:tl2br w:val="nil"/>
                    <w:tr2bl w:val="nil"/>
                  </w:tcBorders>
                  <w:shd w:val="clear" w:color="auto" w:fill="auto"/>
                  <w:noWrap w:val="0"/>
                  <w:vAlign w:val="center"/>
                </w:tcPr>
                <w:p w14:paraId="0922BDA4">
                  <w:pPr>
                    <w:keepNext w:val="0"/>
                    <w:keepLines w:val="0"/>
                    <w:widowControl/>
                    <w:suppressLineNumbers w:val="0"/>
                    <w:shd w:val="clear"/>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46.5</w:t>
                  </w:r>
                </w:p>
              </w:tc>
              <w:tc>
                <w:tcPr>
                  <w:tcW w:w="944" w:type="pct"/>
                  <w:vMerge w:val="restart"/>
                  <w:tcBorders>
                    <w:tl2br w:val="nil"/>
                    <w:tr2bl w:val="nil"/>
                  </w:tcBorders>
                  <w:noWrap w:val="0"/>
                  <w:vAlign w:val="center"/>
                </w:tcPr>
                <w:p w14:paraId="3E113A9A">
                  <w:pPr>
                    <w:keepNext w:val="0"/>
                    <w:keepLines w:val="0"/>
                    <w:widowControl/>
                    <w:suppressLineNumbers w:val="0"/>
                    <w:shd w:val="clear"/>
                    <w:snapToGri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65</w:t>
                  </w:r>
                </w:p>
              </w:tc>
              <w:tc>
                <w:tcPr>
                  <w:tcW w:w="1217" w:type="pct"/>
                  <w:tcBorders>
                    <w:tl2br w:val="nil"/>
                    <w:tr2bl w:val="nil"/>
                  </w:tcBorders>
                  <w:noWrap w:val="0"/>
                  <w:vAlign w:val="center"/>
                </w:tcPr>
                <w:p w14:paraId="6CC1AADC">
                  <w:pPr>
                    <w:keepNext w:val="0"/>
                    <w:keepLines w:val="0"/>
                    <w:suppressLineNumbers w:val="0"/>
                    <w:shd w:val="clear"/>
                    <w:spacing w:before="0" w:beforeAutospacing="0" w:after="0" w:afterAutospacing="0"/>
                    <w:ind w:left="0" w:right="0"/>
                    <w:jc w:val="center"/>
                    <w:rPr>
                      <w:color w:val="auto"/>
                      <w:sz w:val="21"/>
                      <w:szCs w:val="21"/>
                      <w:highlight w:val="none"/>
                    </w:rPr>
                  </w:pPr>
                  <w:r>
                    <w:rPr>
                      <w:rFonts w:hint="eastAsia"/>
                      <w:color w:val="auto"/>
                      <w:sz w:val="21"/>
                      <w:szCs w:val="21"/>
                      <w:highlight w:val="none"/>
                    </w:rPr>
                    <w:t>达标</w:t>
                  </w:r>
                </w:p>
              </w:tc>
            </w:tr>
            <w:tr w14:paraId="6828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40" w:type="pct"/>
                  <w:tcBorders>
                    <w:tl2br w:val="nil"/>
                    <w:tr2bl w:val="nil"/>
                  </w:tcBorders>
                  <w:noWrap w:val="0"/>
                  <w:vAlign w:val="center"/>
                </w:tcPr>
                <w:p w14:paraId="3C7AAAA7">
                  <w:pPr>
                    <w:keepNext w:val="0"/>
                    <w:keepLines w:val="0"/>
                    <w:suppressLineNumbers w:val="0"/>
                    <w:shd w:val="clear"/>
                    <w:spacing w:before="0" w:beforeAutospacing="0" w:after="0" w:afterAutospacing="0"/>
                    <w:ind w:left="0" w:right="0"/>
                    <w:jc w:val="center"/>
                    <w:rPr>
                      <w:color w:val="auto"/>
                      <w:sz w:val="21"/>
                      <w:szCs w:val="21"/>
                      <w:highlight w:val="none"/>
                    </w:rPr>
                  </w:pPr>
                  <w:r>
                    <w:rPr>
                      <w:rFonts w:hint="eastAsia"/>
                      <w:color w:val="auto"/>
                      <w:sz w:val="21"/>
                      <w:szCs w:val="21"/>
                      <w:highlight w:val="none"/>
                    </w:rPr>
                    <w:t>南厂界</w:t>
                  </w:r>
                </w:p>
              </w:tc>
              <w:tc>
                <w:tcPr>
                  <w:tcW w:w="948" w:type="pct"/>
                  <w:tcBorders>
                    <w:tl2br w:val="nil"/>
                    <w:tr2bl w:val="nil"/>
                  </w:tcBorders>
                  <w:noWrap w:val="0"/>
                  <w:vAlign w:val="center"/>
                </w:tcPr>
                <w:p w14:paraId="19673001">
                  <w:pPr>
                    <w:keepNext w:val="0"/>
                    <w:keepLines w:val="0"/>
                    <w:widowControl/>
                    <w:suppressLineNumbers w:val="0"/>
                    <w:shd w:val="clear"/>
                    <w:snapToGri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42</w:t>
                  </w:r>
                </w:p>
              </w:tc>
              <w:tc>
                <w:tcPr>
                  <w:tcW w:w="948" w:type="pct"/>
                  <w:tcBorders>
                    <w:tl2br w:val="nil"/>
                    <w:tr2bl w:val="nil"/>
                  </w:tcBorders>
                  <w:shd w:val="clear" w:color="auto" w:fill="auto"/>
                  <w:noWrap w:val="0"/>
                  <w:vAlign w:val="center"/>
                </w:tcPr>
                <w:p w14:paraId="03C74A64">
                  <w:pPr>
                    <w:keepNext w:val="0"/>
                    <w:keepLines w:val="0"/>
                    <w:widowControl/>
                    <w:suppressLineNumbers w:val="0"/>
                    <w:shd w:val="clear"/>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42</w:t>
                  </w:r>
                </w:p>
              </w:tc>
              <w:tc>
                <w:tcPr>
                  <w:tcW w:w="944" w:type="pct"/>
                  <w:vMerge w:val="continue"/>
                  <w:tcBorders>
                    <w:tl2br w:val="nil"/>
                    <w:tr2bl w:val="nil"/>
                  </w:tcBorders>
                  <w:noWrap w:val="0"/>
                  <w:vAlign w:val="center"/>
                </w:tcPr>
                <w:p w14:paraId="39CA3385">
                  <w:pPr>
                    <w:keepNext w:val="0"/>
                    <w:keepLines w:val="0"/>
                    <w:widowControl/>
                    <w:suppressLineNumbers w:val="0"/>
                    <w:shd w:val="clear"/>
                    <w:snapToGrid w:val="0"/>
                    <w:spacing w:before="0" w:beforeAutospacing="0" w:after="0" w:afterAutospacing="0"/>
                    <w:ind w:left="0" w:right="0"/>
                    <w:jc w:val="center"/>
                    <w:rPr>
                      <w:rFonts w:hint="default" w:eastAsia="宋体"/>
                      <w:color w:val="auto"/>
                      <w:sz w:val="21"/>
                      <w:szCs w:val="21"/>
                      <w:highlight w:val="none"/>
                      <w:lang w:val="en-US" w:eastAsia="zh-CN"/>
                    </w:rPr>
                  </w:pPr>
                </w:p>
              </w:tc>
              <w:tc>
                <w:tcPr>
                  <w:tcW w:w="1217" w:type="pct"/>
                  <w:tcBorders>
                    <w:tl2br w:val="nil"/>
                    <w:tr2bl w:val="nil"/>
                  </w:tcBorders>
                  <w:noWrap w:val="0"/>
                  <w:vAlign w:val="center"/>
                </w:tcPr>
                <w:p w14:paraId="4C0DDE10">
                  <w:pPr>
                    <w:keepNext w:val="0"/>
                    <w:keepLines w:val="0"/>
                    <w:suppressLineNumbers w:val="0"/>
                    <w:shd w:val="clear"/>
                    <w:spacing w:before="0" w:beforeAutospacing="0" w:after="0" w:afterAutospacing="0"/>
                    <w:ind w:left="0" w:right="0"/>
                    <w:jc w:val="center"/>
                    <w:rPr>
                      <w:color w:val="auto"/>
                      <w:sz w:val="21"/>
                      <w:szCs w:val="21"/>
                      <w:highlight w:val="none"/>
                    </w:rPr>
                  </w:pPr>
                  <w:r>
                    <w:rPr>
                      <w:rFonts w:hint="eastAsia"/>
                      <w:color w:val="auto"/>
                      <w:sz w:val="21"/>
                      <w:szCs w:val="21"/>
                      <w:highlight w:val="none"/>
                    </w:rPr>
                    <w:t>达标</w:t>
                  </w:r>
                </w:p>
              </w:tc>
            </w:tr>
            <w:tr w14:paraId="4C17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40" w:type="pct"/>
                  <w:tcBorders>
                    <w:tl2br w:val="nil"/>
                    <w:tr2bl w:val="nil"/>
                  </w:tcBorders>
                  <w:noWrap w:val="0"/>
                  <w:vAlign w:val="center"/>
                </w:tcPr>
                <w:p w14:paraId="28A6192E">
                  <w:pPr>
                    <w:keepNext w:val="0"/>
                    <w:keepLines w:val="0"/>
                    <w:suppressLineNumbers w:val="0"/>
                    <w:shd w:val="clear"/>
                    <w:spacing w:before="0" w:beforeAutospacing="0" w:after="0" w:afterAutospacing="0"/>
                    <w:ind w:left="0" w:right="0"/>
                    <w:jc w:val="center"/>
                    <w:rPr>
                      <w:color w:val="auto"/>
                      <w:sz w:val="21"/>
                      <w:szCs w:val="21"/>
                      <w:highlight w:val="none"/>
                    </w:rPr>
                  </w:pPr>
                  <w:r>
                    <w:rPr>
                      <w:rFonts w:hint="eastAsia"/>
                      <w:color w:val="auto"/>
                      <w:sz w:val="21"/>
                      <w:szCs w:val="21"/>
                      <w:highlight w:val="none"/>
                    </w:rPr>
                    <w:t>西厂界</w:t>
                  </w:r>
                </w:p>
              </w:tc>
              <w:tc>
                <w:tcPr>
                  <w:tcW w:w="948" w:type="pct"/>
                  <w:tcBorders>
                    <w:tl2br w:val="nil"/>
                    <w:tr2bl w:val="nil"/>
                  </w:tcBorders>
                  <w:noWrap w:val="0"/>
                  <w:vAlign w:val="center"/>
                </w:tcPr>
                <w:p w14:paraId="59D597E3">
                  <w:pPr>
                    <w:keepNext w:val="0"/>
                    <w:keepLines w:val="0"/>
                    <w:widowControl/>
                    <w:suppressLineNumbers w:val="0"/>
                    <w:shd w:val="clear"/>
                    <w:snapToGri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47.1</w:t>
                  </w:r>
                </w:p>
              </w:tc>
              <w:tc>
                <w:tcPr>
                  <w:tcW w:w="948" w:type="pct"/>
                  <w:tcBorders>
                    <w:tl2br w:val="nil"/>
                    <w:tr2bl w:val="nil"/>
                  </w:tcBorders>
                  <w:shd w:val="clear" w:color="auto" w:fill="auto"/>
                  <w:noWrap w:val="0"/>
                  <w:vAlign w:val="center"/>
                </w:tcPr>
                <w:p w14:paraId="1530A197">
                  <w:pPr>
                    <w:keepNext w:val="0"/>
                    <w:keepLines w:val="0"/>
                    <w:widowControl/>
                    <w:suppressLineNumbers w:val="0"/>
                    <w:shd w:val="clear"/>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47.1</w:t>
                  </w:r>
                </w:p>
              </w:tc>
              <w:tc>
                <w:tcPr>
                  <w:tcW w:w="944" w:type="pct"/>
                  <w:vMerge w:val="continue"/>
                  <w:tcBorders>
                    <w:tl2br w:val="nil"/>
                    <w:tr2bl w:val="nil"/>
                  </w:tcBorders>
                  <w:noWrap w:val="0"/>
                  <w:vAlign w:val="center"/>
                </w:tcPr>
                <w:p w14:paraId="3CE834A6">
                  <w:pPr>
                    <w:keepNext w:val="0"/>
                    <w:keepLines w:val="0"/>
                    <w:widowControl/>
                    <w:suppressLineNumbers w:val="0"/>
                    <w:shd w:val="clear"/>
                    <w:snapToGrid w:val="0"/>
                    <w:spacing w:before="0" w:beforeAutospacing="0" w:after="0" w:afterAutospacing="0"/>
                    <w:ind w:left="0" w:right="0"/>
                    <w:jc w:val="center"/>
                    <w:rPr>
                      <w:rFonts w:hint="default" w:eastAsia="宋体"/>
                      <w:color w:val="auto"/>
                      <w:sz w:val="21"/>
                      <w:szCs w:val="21"/>
                      <w:highlight w:val="none"/>
                      <w:lang w:val="en-US" w:eastAsia="zh-CN"/>
                    </w:rPr>
                  </w:pPr>
                </w:p>
              </w:tc>
              <w:tc>
                <w:tcPr>
                  <w:tcW w:w="1217" w:type="pct"/>
                  <w:tcBorders>
                    <w:tl2br w:val="nil"/>
                    <w:tr2bl w:val="nil"/>
                  </w:tcBorders>
                  <w:noWrap w:val="0"/>
                  <w:vAlign w:val="center"/>
                </w:tcPr>
                <w:p w14:paraId="40C04623">
                  <w:pPr>
                    <w:keepNext w:val="0"/>
                    <w:keepLines w:val="0"/>
                    <w:suppressLineNumbers w:val="0"/>
                    <w:shd w:val="clear"/>
                    <w:spacing w:before="0" w:beforeAutospacing="0" w:after="0" w:afterAutospacing="0"/>
                    <w:ind w:left="0" w:right="0"/>
                    <w:jc w:val="center"/>
                    <w:rPr>
                      <w:color w:val="auto"/>
                      <w:sz w:val="21"/>
                      <w:szCs w:val="21"/>
                      <w:highlight w:val="none"/>
                    </w:rPr>
                  </w:pPr>
                  <w:r>
                    <w:rPr>
                      <w:rFonts w:hint="eastAsia"/>
                      <w:color w:val="auto"/>
                      <w:sz w:val="21"/>
                      <w:szCs w:val="21"/>
                      <w:highlight w:val="none"/>
                    </w:rPr>
                    <w:t>达标</w:t>
                  </w:r>
                </w:p>
              </w:tc>
            </w:tr>
            <w:tr w14:paraId="7744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40" w:type="pct"/>
                  <w:tcBorders>
                    <w:tl2br w:val="nil"/>
                    <w:tr2bl w:val="nil"/>
                  </w:tcBorders>
                  <w:noWrap w:val="0"/>
                  <w:vAlign w:val="center"/>
                </w:tcPr>
                <w:p w14:paraId="6E42C8B4">
                  <w:pPr>
                    <w:keepNext w:val="0"/>
                    <w:keepLines w:val="0"/>
                    <w:suppressLineNumbers w:val="0"/>
                    <w:shd w:val="clear"/>
                    <w:spacing w:before="0" w:beforeAutospacing="0" w:after="0" w:afterAutospacing="0"/>
                    <w:ind w:left="0" w:right="0"/>
                    <w:jc w:val="center"/>
                    <w:rPr>
                      <w:color w:val="auto"/>
                      <w:sz w:val="21"/>
                      <w:szCs w:val="21"/>
                      <w:highlight w:val="none"/>
                    </w:rPr>
                  </w:pPr>
                  <w:r>
                    <w:rPr>
                      <w:rFonts w:hint="eastAsia"/>
                      <w:color w:val="auto"/>
                      <w:sz w:val="21"/>
                      <w:szCs w:val="21"/>
                      <w:highlight w:val="none"/>
                    </w:rPr>
                    <w:t>北厂界</w:t>
                  </w:r>
                </w:p>
              </w:tc>
              <w:tc>
                <w:tcPr>
                  <w:tcW w:w="948" w:type="pct"/>
                  <w:tcBorders>
                    <w:tl2br w:val="nil"/>
                    <w:tr2bl w:val="nil"/>
                  </w:tcBorders>
                  <w:noWrap w:val="0"/>
                  <w:vAlign w:val="center"/>
                </w:tcPr>
                <w:p w14:paraId="66DBD7F4">
                  <w:pPr>
                    <w:keepNext w:val="0"/>
                    <w:keepLines w:val="0"/>
                    <w:widowControl/>
                    <w:suppressLineNumbers w:val="0"/>
                    <w:shd w:val="clear"/>
                    <w:snapToGri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49.6</w:t>
                  </w:r>
                </w:p>
              </w:tc>
              <w:tc>
                <w:tcPr>
                  <w:tcW w:w="948" w:type="pct"/>
                  <w:tcBorders>
                    <w:tl2br w:val="nil"/>
                    <w:tr2bl w:val="nil"/>
                  </w:tcBorders>
                  <w:shd w:val="clear" w:color="auto" w:fill="auto"/>
                  <w:noWrap w:val="0"/>
                  <w:vAlign w:val="center"/>
                </w:tcPr>
                <w:p w14:paraId="2125C62B">
                  <w:pPr>
                    <w:keepNext w:val="0"/>
                    <w:keepLines w:val="0"/>
                    <w:widowControl/>
                    <w:suppressLineNumbers w:val="0"/>
                    <w:shd w:val="clear"/>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49.6</w:t>
                  </w:r>
                </w:p>
              </w:tc>
              <w:tc>
                <w:tcPr>
                  <w:tcW w:w="944" w:type="pct"/>
                  <w:vMerge w:val="continue"/>
                  <w:tcBorders>
                    <w:tl2br w:val="nil"/>
                    <w:tr2bl w:val="nil"/>
                  </w:tcBorders>
                  <w:noWrap w:val="0"/>
                  <w:vAlign w:val="center"/>
                </w:tcPr>
                <w:p w14:paraId="0D7DFA2F">
                  <w:pPr>
                    <w:keepNext w:val="0"/>
                    <w:keepLines w:val="0"/>
                    <w:widowControl/>
                    <w:suppressLineNumbers w:val="0"/>
                    <w:shd w:val="clear"/>
                    <w:snapToGrid w:val="0"/>
                    <w:spacing w:before="0" w:beforeAutospacing="0" w:after="0" w:afterAutospacing="0"/>
                    <w:ind w:left="0" w:right="0"/>
                    <w:jc w:val="center"/>
                    <w:rPr>
                      <w:rFonts w:hint="default" w:eastAsia="宋体"/>
                      <w:color w:val="auto"/>
                      <w:sz w:val="21"/>
                      <w:szCs w:val="21"/>
                      <w:highlight w:val="none"/>
                      <w:lang w:val="en-US" w:eastAsia="zh-CN"/>
                    </w:rPr>
                  </w:pPr>
                </w:p>
              </w:tc>
              <w:tc>
                <w:tcPr>
                  <w:tcW w:w="1217" w:type="pct"/>
                  <w:tcBorders>
                    <w:tl2br w:val="nil"/>
                    <w:tr2bl w:val="nil"/>
                  </w:tcBorders>
                  <w:noWrap w:val="0"/>
                  <w:vAlign w:val="center"/>
                </w:tcPr>
                <w:p w14:paraId="2FA04B8B">
                  <w:pPr>
                    <w:keepNext w:val="0"/>
                    <w:keepLines w:val="0"/>
                    <w:suppressLineNumbers w:val="0"/>
                    <w:shd w:val="clear"/>
                    <w:spacing w:before="0" w:beforeAutospacing="0" w:after="0" w:afterAutospacing="0"/>
                    <w:ind w:left="0" w:right="0"/>
                    <w:jc w:val="center"/>
                    <w:rPr>
                      <w:color w:val="auto"/>
                      <w:sz w:val="21"/>
                      <w:szCs w:val="21"/>
                      <w:highlight w:val="none"/>
                    </w:rPr>
                  </w:pPr>
                  <w:r>
                    <w:rPr>
                      <w:rFonts w:hint="eastAsia"/>
                      <w:color w:val="auto"/>
                      <w:sz w:val="21"/>
                      <w:szCs w:val="21"/>
                      <w:highlight w:val="none"/>
                    </w:rPr>
                    <w:t>达标</w:t>
                  </w:r>
                </w:p>
              </w:tc>
            </w:tr>
          </w:tbl>
          <w:p w14:paraId="36B6AAFA">
            <w:pPr>
              <w:keepNext w:val="0"/>
              <w:keepLines w:val="0"/>
              <w:pageBreakBefore w:val="0"/>
              <w:widowControl w:val="0"/>
              <w:suppressLineNumbers w:val="0"/>
              <w:shd w:val="clear"/>
              <w:tabs>
                <w:tab w:val="left" w:pos="0"/>
              </w:tabs>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color w:val="auto"/>
                <w:sz w:val="24"/>
                <w:szCs w:val="22"/>
                <w:highlight w:val="none"/>
              </w:rPr>
            </w:pPr>
            <w:r>
              <w:rPr>
                <w:rFonts w:hint="eastAsia"/>
                <w:color w:val="auto"/>
                <w:sz w:val="24"/>
                <w:szCs w:val="22"/>
                <w:highlight w:val="none"/>
              </w:rPr>
              <w:t>由上表预测结果表明，项目建成后各主要噪声设备经降噪措施及距离衰减后对厂界的影响值均较小，厂界噪声</w:t>
            </w:r>
            <w:r>
              <w:rPr>
                <w:rFonts w:hint="eastAsia"/>
                <w:color w:val="auto"/>
                <w:sz w:val="24"/>
                <w:szCs w:val="22"/>
                <w:highlight w:val="none"/>
                <w:lang w:eastAsia="zh-CN"/>
              </w:rPr>
              <w:t>预测值</w:t>
            </w:r>
            <w:r>
              <w:rPr>
                <w:rFonts w:hint="eastAsia"/>
                <w:color w:val="auto"/>
                <w:sz w:val="24"/>
                <w:szCs w:val="22"/>
                <w:highlight w:val="none"/>
              </w:rPr>
              <w:t>符合《工业企业厂界环境噪声排放标准》</w:t>
            </w:r>
            <w:r>
              <w:rPr>
                <w:rFonts w:hint="eastAsia"/>
                <w:color w:val="auto"/>
                <w:sz w:val="24"/>
                <w:szCs w:val="22"/>
                <w:highlight w:val="none"/>
                <w:lang w:eastAsia="zh-CN"/>
              </w:rPr>
              <w:t>（</w:t>
            </w:r>
            <w:r>
              <w:rPr>
                <w:rFonts w:hint="eastAsia"/>
                <w:color w:val="auto"/>
                <w:sz w:val="24"/>
                <w:szCs w:val="22"/>
                <w:highlight w:val="none"/>
              </w:rPr>
              <w:t>GB12348-2008</w:t>
            </w:r>
            <w:r>
              <w:rPr>
                <w:rFonts w:hint="eastAsia"/>
                <w:color w:val="auto"/>
                <w:sz w:val="24"/>
                <w:szCs w:val="22"/>
                <w:highlight w:val="none"/>
                <w:lang w:eastAsia="zh-CN"/>
              </w:rPr>
              <w:t>）</w:t>
            </w:r>
            <w:r>
              <w:rPr>
                <w:rFonts w:hint="eastAsia"/>
                <w:color w:val="auto"/>
                <w:sz w:val="24"/>
                <w:szCs w:val="22"/>
                <w:highlight w:val="none"/>
              </w:rPr>
              <w:t>中3类标准，本项目营运期间设备噪声对厂界噪声的影响</w:t>
            </w:r>
            <w:r>
              <w:rPr>
                <w:rFonts w:hint="eastAsia"/>
                <w:color w:val="auto"/>
                <w:sz w:val="24"/>
                <w:szCs w:val="22"/>
                <w:highlight w:val="none"/>
                <w:lang w:eastAsia="zh-CN"/>
              </w:rPr>
              <w:t>较小</w:t>
            </w:r>
            <w:r>
              <w:rPr>
                <w:color w:val="auto"/>
                <w:sz w:val="24"/>
                <w:szCs w:val="22"/>
                <w:highlight w:val="none"/>
              </w:rPr>
              <w:t>。</w:t>
            </w:r>
          </w:p>
          <w:p w14:paraId="3C30FADE">
            <w:pPr>
              <w:keepNext w:val="0"/>
              <w:keepLines w:val="0"/>
              <w:suppressLineNumbers w:val="0"/>
              <w:tabs>
                <w:tab w:val="left" w:pos="0"/>
              </w:tabs>
              <w:spacing w:before="0" w:beforeAutospacing="0" w:after="0" w:afterAutospacing="0" w:line="360" w:lineRule="auto"/>
              <w:ind w:left="420" w:leftChars="200" w:right="0"/>
              <w:rPr>
                <w:b w:val="0"/>
                <w:bCs w:val="0"/>
                <w:color w:val="auto"/>
                <w:sz w:val="24"/>
                <w:szCs w:val="22"/>
                <w:highlight w:val="none"/>
              </w:rPr>
            </w:pPr>
            <w:r>
              <w:rPr>
                <w:rFonts w:hint="eastAsia"/>
                <w:b w:val="0"/>
                <w:bCs w:val="0"/>
                <w:color w:val="auto"/>
                <w:sz w:val="24"/>
                <w:szCs w:val="22"/>
                <w:highlight w:val="none"/>
                <w:lang w:eastAsia="zh-CN"/>
              </w:rPr>
              <w:t>（</w:t>
            </w:r>
            <w:r>
              <w:rPr>
                <w:rFonts w:hint="eastAsia"/>
                <w:b w:val="0"/>
                <w:bCs w:val="0"/>
                <w:color w:val="auto"/>
                <w:sz w:val="24"/>
                <w:szCs w:val="22"/>
                <w:highlight w:val="none"/>
                <w:lang w:val="en-US" w:eastAsia="zh-CN"/>
              </w:rPr>
              <w:t>3</w:t>
            </w:r>
            <w:r>
              <w:rPr>
                <w:rFonts w:hint="eastAsia"/>
                <w:b w:val="0"/>
                <w:bCs w:val="0"/>
                <w:color w:val="auto"/>
                <w:sz w:val="24"/>
                <w:szCs w:val="22"/>
                <w:highlight w:val="none"/>
                <w:lang w:eastAsia="zh-CN"/>
              </w:rPr>
              <w:t>）</w:t>
            </w:r>
            <w:r>
              <w:rPr>
                <w:rFonts w:hint="eastAsia"/>
                <w:b w:val="0"/>
                <w:bCs w:val="0"/>
                <w:color w:val="auto"/>
                <w:sz w:val="24"/>
                <w:szCs w:val="22"/>
                <w:highlight w:val="none"/>
              </w:rPr>
              <w:t>监测要求</w:t>
            </w:r>
            <w:r>
              <w:rPr>
                <w:b w:val="0"/>
                <w:bCs w:val="0"/>
                <w:color w:val="auto"/>
                <w:sz w:val="24"/>
                <w:szCs w:val="22"/>
                <w:highlight w:val="none"/>
              </w:rPr>
              <w:t xml:space="preserve"> </w:t>
            </w:r>
          </w:p>
          <w:p w14:paraId="1C689C33">
            <w:pPr>
              <w:keepNext/>
              <w:keepLines/>
              <w:pageBreakBefore w:val="0"/>
              <w:widowControl/>
              <w:numPr>
                <w:ilvl w:val="1"/>
                <w:numId w:val="0"/>
              </w:numPr>
              <w:suppressLineNumbers w:val="0"/>
              <w:tabs>
                <w:tab w:val="left" w:pos="1325"/>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9"/>
              <w:rPr>
                <w:rFonts w:ascii="Times New Roman" w:hAnsi="Times New Roman"/>
                <w:color w:val="auto"/>
                <w:kern w:val="2"/>
                <w:szCs w:val="24"/>
                <w:highlight w:val="none"/>
              </w:rPr>
            </w:pPr>
            <w:r>
              <w:rPr>
                <w:rFonts w:hint="eastAsia" w:ascii="宋体" w:hAnsi="宋体" w:eastAsia="宋体" w:cs="宋体"/>
                <w:color w:val="auto"/>
                <w:kern w:val="0"/>
                <w:sz w:val="24"/>
                <w:szCs w:val="24"/>
                <w:highlight w:val="none"/>
                <w:lang w:val="en-US" w:eastAsia="zh-CN" w:bidi="ar"/>
              </w:rPr>
              <w:t>根据《排污单位自行监测技术指南 总则》（</w:t>
            </w:r>
            <w:r>
              <w:rPr>
                <w:rFonts w:hint="default" w:ascii="Times New Roman" w:hAnsi="Times New Roman" w:eastAsia="宋体" w:cs="Times New Roman"/>
                <w:color w:val="auto"/>
                <w:kern w:val="0"/>
                <w:sz w:val="24"/>
                <w:szCs w:val="24"/>
                <w:highlight w:val="none"/>
                <w:lang w:val="en-US" w:eastAsia="zh-CN" w:bidi="ar"/>
              </w:rPr>
              <w:t>HJ819-2017</w:t>
            </w:r>
            <w:r>
              <w:rPr>
                <w:rFonts w:hint="eastAsia" w:ascii="宋体" w:hAnsi="宋体" w:eastAsia="宋体" w:cs="宋体"/>
                <w:color w:val="auto"/>
                <w:kern w:val="0"/>
                <w:sz w:val="24"/>
                <w:szCs w:val="24"/>
                <w:highlight w:val="none"/>
                <w:lang w:val="en-US" w:eastAsia="zh-CN" w:bidi="ar"/>
              </w:rPr>
              <w:t>）相关要求</w:t>
            </w:r>
            <w:r>
              <w:rPr>
                <w:rFonts w:hint="default" w:ascii="Times New Roman" w:hAnsi="Times New Roman" w:cs="Times New Roman"/>
                <w:b w:val="0"/>
                <w:bCs w:val="0"/>
                <w:snapToGrid w:val="0"/>
                <w:color w:val="auto"/>
                <w:sz w:val="24"/>
                <w:szCs w:val="24"/>
                <w:highlight w:val="none"/>
                <w:lang w:val="en-US" w:eastAsia="zh-CN"/>
              </w:rPr>
              <w:t>，结合项目实际情况制定噪声监测方案如下：</w:t>
            </w:r>
          </w:p>
          <w:p w14:paraId="001FAD0D">
            <w:pPr>
              <w:keepNext w:val="0"/>
              <w:keepLines w:val="0"/>
              <w:suppressLineNumbers w:val="0"/>
              <w:spacing w:before="0" w:beforeAutospacing="0" w:after="0" w:afterAutospacing="0"/>
              <w:ind w:left="289" w:right="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14</w:t>
            </w:r>
            <w:r>
              <w:rPr>
                <w:rFonts w:hint="eastAsia" w:ascii="Times New Roman" w:hAnsi="Times New Roman" w:eastAsia="宋体" w:cs="Times New Roman"/>
                <w:b/>
                <w:bCs/>
                <w:color w:val="auto"/>
                <w:sz w:val="21"/>
                <w:szCs w:val="21"/>
                <w:highlight w:val="none"/>
                <w:lang w:val="en-US" w:eastAsia="zh-CN"/>
              </w:rPr>
              <w:t xml:space="preserve">  运营期噪声排放环境监测计划</w:t>
            </w:r>
          </w:p>
          <w:tbl>
            <w:tblPr>
              <w:tblStyle w:val="39"/>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8"/>
              <w:gridCol w:w="1161"/>
              <w:gridCol w:w="1161"/>
              <w:gridCol w:w="1250"/>
              <w:gridCol w:w="1250"/>
              <w:gridCol w:w="2509"/>
            </w:tblGrid>
            <w:tr w14:paraId="22093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51" w:type="pct"/>
                  <w:noWrap w:val="0"/>
                  <w:vAlign w:val="center"/>
                </w:tcPr>
                <w:p w14:paraId="5C6C77FC">
                  <w:pPr>
                    <w:keepNext w:val="0"/>
                    <w:keepLines w:val="0"/>
                    <w:suppressLineNumbers w:val="0"/>
                    <w:spacing w:before="0" w:beforeAutospacing="0" w:after="0" w:afterAutospacing="0"/>
                    <w:ind w:left="0" w:right="0"/>
                    <w:jc w:val="center"/>
                    <w:rPr>
                      <w:b/>
                      <w:bCs/>
                      <w:color w:val="auto"/>
                      <w:sz w:val="21"/>
                      <w:szCs w:val="21"/>
                      <w:highlight w:val="none"/>
                    </w:rPr>
                  </w:pPr>
                  <w:r>
                    <w:rPr>
                      <w:rFonts w:hint="eastAsia"/>
                      <w:b/>
                      <w:bCs/>
                      <w:color w:val="auto"/>
                      <w:sz w:val="21"/>
                      <w:szCs w:val="21"/>
                      <w:highlight w:val="none"/>
                    </w:rPr>
                    <w:t>项目</w:t>
                  </w:r>
                </w:p>
              </w:tc>
              <w:tc>
                <w:tcPr>
                  <w:tcW w:w="688" w:type="pct"/>
                  <w:noWrap w:val="0"/>
                  <w:vAlign w:val="center"/>
                </w:tcPr>
                <w:p w14:paraId="51A4C8A1">
                  <w:pPr>
                    <w:keepNext w:val="0"/>
                    <w:keepLines w:val="0"/>
                    <w:suppressLineNumbers w:val="0"/>
                    <w:spacing w:before="0" w:beforeAutospacing="0" w:after="0" w:afterAutospacing="0"/>
                    <w:ind w:left="0" w:right="0"/>
                    <w:jc w:val="center"/>
                    <w:rPr>
                      <w:b/>
                      <w:bCs/>
                      <w:color w:val="auto"/>
                      <w:sz w:val="21"/>
                      <w:szCs w:val="21"/>
                      <w:highlight w:val="none"/>
                    </w:rPr>
                  </w:pPr>
                  <w:r>
                    <w:rPr>
                      <w:rFonts w:hint="eastAsia"/>
                      <w:b/>
                      <w:bCs/>
                      <w:color w:val="auto"/>
                      <w:sz w:val="21"/>
                      <w:szCs w:val="21"/>
                      <w:highlight w:val="none"/>
                    </w:rPr>
                    <w:t>监测点位</w:t>
                  </w:r>
                </w:p>
              </w:tc>
              <w:tc>
                <w:tcPr>
                  <w:tcW w:w="688" w:type="pct"/>
                  <w:noWrap w:val="0"/>
                  <w:vAlign w:val="center"/>
                </w:tcPr>
                <w:p w14:paraId="64603827">
                  <w:pPr>
                    <w:keepNext w:val="0"/>
                    <w:keepLines w:val="0"/>
                    <w:suppressLineNumbers w:val="0"/>
                    <w:spacing w:before="0" w:beforeAutospacing="0" w:after="0" w:afterAutospacing="0"/>
                    <w:ind w:left="0" w:right="0"/>
                    <w:jc w:val="center"/>
                    <w:rPr>
                      <w:b/>
                      <w:bCs/>
                      <w:color w:val="auto"/>
                      <w:sz w:val="21"/>
                      <w:szCs w:val="21"/>
                      <w:highlight w:val="none"/>
                    </w:rPr>
                  </w:pPr>
                  <w:r>
                    <w:rPr>
                      <w:rFonts w:hint="eastAsia"/>
                      <w:b/>
                      <w:bCs/>
                      <w:color w:val="auto"/>
                      <w:sz w:val="21"/>
                      <w:szCs w:val="21"/>
                      <w:highlight w:val="none"/>
                    </w:rPr>
                    <w:t>监测因子</w:t>
                  </w:r>
                </w:p>
              </w:tc>
              <w:tc>
                <w:tcPr>
                  <w:tcW w:w="741" w:type="pct"/>
                  <w:noWrap w:val="0"/>
                  <w:vAlign w:val="center"/>
                </w:tcPr>
                <w:p w14:paraId="30577C9D">
                  <w:pPr>
                    <w:keepNext w:val="0"/>
                    <w:keepLines w:val="0"/>
                    <w:suppressLineNumbers w:val="0"/>
                    <w:spacing w:before="0" w:beforeAutospacing="0" w:after="0" w:afterAutospacing="0"/>
                    <w:ind w:left="0" w:right="0"/>
                    <w:jc w:val="center"/>
                    <w:rPr>
                      <w:b/>
                      <w:bCs/>
                      <w:color w:val="auto"/>
                      <w:sz w:val="21"/>
                      <w:szCs w:val="21"/>
                      <w:highlight w:val="none"/>
                    </w:rPr>
                  </w:pPr>
                  <w:r>
                    <w:rPr>
                      <w:rFonts w:hint="eastAsia"/>
                      <w:b/>
                      <w:bCs/>
                      <w:color w:val="auto"/>
                      <w:sz w:val="21"/>
                      <w:szCs w:val="21"/>
                      <w:highlight w:val="none"/>
                    </w:rPr>
                    <w:t>频次</w:t>
                  </w:r>
                </w:p>
              </w:tc>
              <w:tc>
                <w:tcPr>
                  <w:tcW w:w="741" w:type="pct"/>
                  <w:noWrap w:val="0"/>
                  <w:vAlign w:val="center"/>
                </w:tcPr>
                <w:p w14:paraId="6B24BD7C">
                  <w:pPr>
                    <w:keepNext w:val="0"/>
                    <w:keepLines w:val="0"/>
                    <w:suppressLineNumbers w:val="0"/>
                    <w:spacing w:before="0" w:beforeAutospacing="0" w:after="0" w:afterAutospacing="0"/>
                    <w:ind w:left="0" w:right="0"/>
                    <w:jc w:val="center"/>
                    <w:rPr>
                      <w:b/>
                      <w:bCs/>
                      <w:color w:val="auto"/>
                      <w:sz w:val="21"/>
                      <w:szCs w:val="21"/>
                      <w:highlight w:val="none"/>
                    </w:rPr>
                  </w:pPr>
                  <w:r>
                    <w:rPr>
                      <w:rFonts w:hint="eastAsia"/>
                      <w:b/>
                      <w:bCs/>
                      <w:color w:val="auto"/>
                      <w:sz w:val="21"/>
                      <w:szCs w:val="21"/>
                      <w:highlight w:val="none"/>
                    </w:rPr>
                    <w:t>监测方式</w:t>
                  </w:r>
                </w:p>
              </w:tc>
              <w:tc>
                <w:tcPr>
                  <w:tcW w:w="1487" w:type="pct"/>
                  <w:noWrap w:val="0"/>
                  <w:vAlign w:val="center"/>
                </w:tcPr>
                <w:p w14:paraId="1DDBD26C">
                  <w:pPr>
                    <w:keepNext w:val="0"/>
                    <w:keepLines w:val="0"/>
                    <w:suppressLineNumbers w:val="0"/>
                    <w:spacing w:before="0" w:beforeAutospacing="0" w:after="0" w:afterAutospacing="0"/>
                    <w:ind w:left="0" w:right="0"/>
                    <w:jc w:val="center"/>
                    <w:rPr>
                      <w:b/>
                      <w:bCs/>
                      <w:color w:val="auto"/>
                      <w:sz w:val="21"/>
                      <w:szCs w:val="21"/>
                      <w:highlight w:val="none"/>
                    </w:rPr>
                  </w:pPr>
                  <w:r>
                    <w:rPr>
                      <w:rFonts w:hint="eastAsia"/>
                      <w:b/>
                      <w:bCs/>
                      <w:color w:val="auto"/>
                      <w:sz w:val="21"/>
                      <w:szCs w:val="21"/>
                      <w:highlight w:val="none"/>
                    </w:rPr>
                    <w:t>执行排放标准</w:t>
                  </w:r>
                </w:p>
              </w:tc>
            </w:tr>
            <w:tr w14:paraId="60AAD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51" w:type="pct"/>
                  <w:noWrap w:val="0"/>
                  <w:vAlign w:val="center"/>
                </w:tcPr>
                <w:p w14:paraId="490DB2A4">
                  <w:pPr>
                    <w:keepNext w:val="0"/>
                    <w:keepLines w:val="0"/>
                    <w:suppressLineNumbers w:val="0"/>
                    <w:spacing w:before="0" w:beforeAutospacing="0" w:after="0" w:afterAutospacing="0"/>
                    <w:ind w:left="0" w:right="0"/>
                    <w:jc w:val="center"/>
                    <w:rPr>
                      <w:color w:val="auto"/>
                      <w:sz w:val="21"/>
                      <w:szCs w:val="21"/>
                      <w:highlight w:val="none"/>
                    </w:rPr>
                  </w:pPr>
                  <w:r>
                    <w:rPr>
                      <w:rFonts w:hint="eastAsia"/>
                      <w:color w:val="auto"/>
                      <w:sz w:val="21"/>
                      <w:szCs w:val="21"/>
                      <w:highlight w:val="none"/>
                    </w:rPr>
                    <w:t>噪声</w:t>
                  </w:r>
                </w:p>
              </w:tc>
              <w:tc>
                <w:tcPr>
                  <w:tcW w:w="688" w:type="pct"/>
                  <w:noWrap w:val="0"/>
                  <w:vAlign w:val="center"/>
                </w:tcPr>
                <w:p w14:paraId="753B5196">
                  <w:pPr>
                    <w:keepNext w:val="0"/>
                    <w:keepLines w:val="0"/>
                    <w:suppressLineNumbers w:val="0"/>
                    <w:spacing w:before="0" w:beforeAutospacing="0" w:after="0" w:afterAutospacing="0"/>
                    <w:ind w:left="0" w:right="0"/>
                    <w:jc w:val="center"/>
                    <w:rPr>
                      <w:color w:val="auto"/>
                      <w:sz w:val="21"/>
                      <w:szCs w:val="21"/>
                      <w:highlight w:val="none"/>
                    </w:rPr>
                  </w:pPr>
                  <w:r>
                    <w:rPr>
                      <w:rFonts w:hint="default" w:ascii="Times New Roman" w:hAnsi="Times New Roman" w:eastAsia="宋体" w:cs="Times New Roman"/>
                      <w:color w:val="auto"/>
                      <w:sz w:val="21"/>
                      <w:szCs w:val="21"/>
                      <w:highlight w:val="none"/>
                      <w:lang w:val="en-US"/>
                    </w:rPr>
                    <w:t>东</w:t>
                  </w:r>
                  <w:r>
                    <w:rPr>
                      <w:rFonts w:hint="default" w:ascii="Times New Roman" w:hAnsi="Times New Roman" w:eastAsia="宋体" w:cs="Times New Roman"/>
                      <w:color w:val="auto"/>
                      <w:sz w:val="21"/>
                      <w:szCs w:val="21"/>
                      <w:highlight w:val="none"/>
                      <w:lang w:val="en-US" w:eastAsia="zh-CN"/>
                    </w:rPr>
                    <w:t>、南、西、北</w:t>
                  </w:r>
                  <w:r>
                    <w:rPr>
                      <w:rFonts w:hint="default" w:ascii="Times New Roman" w:hAnsi="Times New Roman" w:eastAsia="宋体" w:cs="Times New Roman"/>
                      <w:color w:val="auto"/>
                      <w:sz w:val="21"/>
                      <w:szCs w:val="21"/>
                      <w:highlight w:val="none"/>
                      <w:lang w:val="en-US"/>
                    </w:rPr>
                    <w:t>厂界外1m</w:t>
                  </w:r>
                </w:p>
              </w:tc>
              <w:tc>
                <w:tcPr>
                  <w:tcW w:w="688" w:type="pct"/>
                  <w:noWrap w:val="0"/>
                  <w:vAlign w:val="center"/>
                </w:tcPr>
                <w:p w14:paraId="1961CA05">
                  <w:pPr>
                    <w:keepNext w:val="0"/>
                    <w:keepLines w:val="0"/>
                    <w:suppressLineNumbers w:val="0"/>
                    <w:spacing w:before="0" w:beforeAutospacing="0" w:after="0" w:afterAutospacing="0"/>
                    <w:ind w:left="0" w:right="0"/>
                    <w:jc w:val="center"/>
                    <w:rPr>
                      <w:color w:val="auto"/>
                      <w:sz w:val="21"/>
                      <w:szCs w:val="21"/>
                      <w:highlight w:val="none"/>
                    </w:rPr>
                  </w:pPr>
                  <w:r>
                    <w:rPr>
                      <w:rFonts w:hint="eastAsia"/>
                      <w:color w:val="auto"/>
                      <w:sz w:val="21"/>
                      <w:szCs w:val="21"/>
                      <w:highlight w:val="none"/>
                    </w:rPr>
                    <w:t>等效连续A声级</w:t>
                  </w:r>
                </w:p>
              </w:tc>
              <w:tc>
                <w:tcPr>
                  <w:tcW w:w="741" w:type="pct"/>
                  <w:noWrap w:val="0"/>
                  <w:vAlign w:val="center"/>
                </w:tcPr>
                <w:p w14:paraId="3333186F">
                  <w:pPr>
                    <w:keepNext w:val="0"/>
                    <w:keepLines w:val="0"/>
                    <w:suppressLineNumbers w:val="0"/>
                    <w:spacing w:before="0" w:beforeAutospacing="0" w:after="0" w:afterAutospacing="0"/>
                    <w:ind w:left="0" w:right="0"/>
                    <w:jc w:val="center"/>
                    <w:rPr>
                      <w:color w:val="auto"/>
                      <w:sz w:val="21"/>
                      <w:szCs w:val="21"/>
                      <w:highlight w:val="none"/>
                    </w:rPr>
                  </w:pPr>
                  <w:r>
                    <w:rPr>
                      <w:rFonts w:hint="eastAsia"/>
                      <w:color w:val="auto"/>
                      <w:sz w:val="21"/>
                      <w:szCs w:val="21"/>
                      <w:highlight w:val="none"/>
                    </w:rPr>
                    <w:t>每季度/次</w:t>
                  </w:r>
                </w:p>
              </w:tc>
              <w:tc>
                <w:tcPr>
                  <w:tcW w:w="741" w:type="pct"/>
                  <w:noWrap w:val="0"/>
                  <w:vAlign w:val="center"/>
                </w:tcPr>
                <w:p w14:paraId="259F8D37">
                  <w:pPr>
                    <w:keepNext w:val="0"/>
                    <w:keepLines w:val="0"/>
                    <w:suppressLineNumbers w:val="0"/>
                    <w:spacing w:before="0" w:beforeAutospacing="0" w:after="0" w:afterAutospacing="0"/>
                    <w:ind w:left="0" w:right="0"/>
                    <w:jc w:val="center"/>
                    <w:rPr>
                      <w:color w:val="auto"/>
                      <w:sz w:val="21"/>
                      <w:szCs w:val="21"/>
                      <w:highlight w:val="none"/>
                    </w:rPr>
                  </w:pPr>
                  <w:r>
                    <w:rPr>
                      <w:rFonts w:hint="eastAsia"/>
                      <w:color w:val="auto"/>
                      <w:sz w:val="21"/>
                      <w:szCs w:val="21"/>
                      <w:highlight w:val="none"/>
                    </w:rPr>
                    <w:t>手动</w:t>
                  </w:r>
                </w:p>
              </w:tc>
              <w:tc>
                <w:tcPr>
                  <w:tcW w:w="1487" w:type="pct"/>
                  <w:noWrap w:val="0"/>
                  <w:vAlign w:val="center"/>
                </w:tcPr>
                <w:p w14:paraId="7E07B486">
                  <w:pPr>
                    <w:keepNext w:val="0"/>
                    <w:keepLines w:val="0"/>
                    <w:widowControl/>
                    <w:suppressLineNumbers w:val="0"/>
                    <w:spacing w:before="0" w:beforeAutospacing="0" w:after="0" w:afterAutospacing="0"/>
                    <w:ind w:left="0" w:right="0"/>
                    <w:jc w:val="center"/>
                    <w:rPr>
                      <w:color w:val="auto"/>
                      <w:sz w:val="21"/>
                      <w:szCs w:val="21"/>
                      <w:highlight w:val="none"/>
                    </w:rPr>
                  </w:pPr>
                  <w:r>
                    <w:rPr>
                      <w:rFonts w:hint="eastAsia"/>
                      <w:color w:val="auto"/>
                      <w:sz w:val="21"/>
                      <w:szCs w:val="21"/>
                      <w:highlight w:val="none"/>
                    </w:rPr>
                    <w:t>《工业企业厂界环境噪声排放标准》（</w:t>
                  </w:r>
                  <w:r>
                    <w:rPr>
                      <w:color w:val="auto"/>
                      <w:sz w:val="21"/>
                      <w:szCs w:val="21"/>
                      <w:highlight w:val="none"/>
                    </w:rPr>
                    <w:t>GB12348-2008</w:t>
                  </w:r>
                  <w:r>
                    <w:rPr>
                      <w:rFonts w:hint="eastAsia"/>
                      <w:color w:val="auto"/>
                      <w:sz w:val="21"/>
                      <w:szCs w:val="21"/>
                      <w:highlight w:val="none"/>
                    </w:rPr>
                    <w:t>）中的3类标准</w:t>
                  </w:r>
                </w:p>
              </w:tc>
            </w:tr>
          </w:tbl>
          <w:p w14:paraId="00FC9F64">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b w:val="0"/>
                <w:bCs w:val="0"/>
                <w:color w:val="auto"/>
                <w:sz w:val="24"/>
                <w:szCs w:val="22"/>
                <w:highlight w:val="none"/>
              </w:rPr>
            </w:pPr>
            <w:r>
              <w:rPr>
                <w:rFonts w:hint="eastAsia"/>
                <w:b w:val="0"/>
                <w:bCs w:val="0"/>
                <w:color w:val="auto"/>
                <w:sz w:val="24"/>
                <w:szCs w:val="22"/>
                <w:highlight w:val="none"/>
                <w:lang w:eastAsia="zh-CN"/>
              </w:rPr>
              <w:t>（</w:t>
            </w:r>
            <w:r>
              <w:rPr>
                <w:rFonts w:hint="eastAsia"/>
                <w:b w:val="0"/>
                <w:bCs w:val="0"/>
                <w:color w:val="auto"/>
                <w:sz w:val="24"/>
                <w:szCs w:val="22"/>
                <w:highlight w:val="none"/>
                <w:lang w:val="en-US" w:eastAsia="zh-CN"/>
              </w:rPr>
              <w:t>4</w:t>
            </w:r>
            <w:r>
              <w:rPr>
                <w:rFonts w:hint="eastAsia"/>
                <w:b w:val="0"/>
                <w:bCs w:val="0"/>
                <w:color w:val="auto"/>
                <w:sz w:val="24"/>
                <w:szCs w:val="22"/>
                <w:highlight w:val="none"/>
                <w:lang w:eastAsia="zh-CN"/>
              </w:rPr>
              <w:t>）</w:t>
            </w:r>
            <w:r>
              <w:rPr>
                <w:b w:val="0"/>
                <w:bCs w:val="0"/>
                <w:color w:val="auto"/>
                <w:sz w:val="24"/>
                <w:szCs w:val="22"/>
                <w:highlight w:val="none"/>
              </w:rPr>
              <w:t>污染防治措施</w:t>
            </w:r>
          </w:p>
          <w:p w14:paraId="4FD7C52C">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2"/>
                <w:highlight w:val="none"/>
              </w:rPr>
            </w:pPr>
            <w:r>
              <w:rPr>
                <w:rFonts w:ascii="Times New Roman" w:hAnsi="Times New Roman" w:eastAsia="宋体" w:cs="Times New Roman"/>
                <w:color w:val="auto"/>
                <w:sz w:val="24"/>
                <w:szCs w:val="22"/>
                <w:highlight w:val="none"/>
              </w:rPr>
              <w:t>为确保项目实施后厂界噪声达标，企业应采取以下噪声污染防治措施：</w:t>
            </w:r>
          </w:p>
          <w:p w14:paraId="36E7FA91">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2"/>
                <w:highlight w:val="none"/>
              </w:rPr>
            </w:pPr>
            <w:r>
              <w:rPr>
                <w:rFonts w:hint="eastAsia" w:ascii="Times New Roman" w:hAnsi="Times New Roman" w:eastAsia="宋体" w:cs="Times New Roman"/>
                <w:color w:val="auto"/>
                <w:sz w:val="24"/>
                <w:szCs w:val="22"/>
                <w:highlight w:val="none"/>
              </w:rPr>
              <w:t>①</w:t>
            </w:r>
            <w:r>
              <w:rPr>
                <w:rFonts w:hint="eastAsia" w:cs="Times New Roman"/>
                <w:color w:val="auto"/>
                <w:sz w:val="24"/>
                <w:szCs w:val="22"/>
                <w:highlight w:val="none"/>
                <w:lang w:val="en-US" w:eastAsia="zh-CN"/>
              </w:rPr>
              <w:t>空压机、鞋底料粉碎机</w:t>
            </w:r>
            <w:r>
              <w:rPr>
                <w:rFonts w:hint="eastAsia" w:ascii="Times New Roman" w:hAnsi="Times New Roman" w:eastAsia="宋体" w:cs="Times New Roman"/>
                <w:color w:val="auto"/>
                <w:sz w:val="24"/>
                <w:szCs w:val="22"/>
                <w:highlight w:val="none"/>
                <w:lang w:eastAsia="zh-CN"/>
              </w:rPr>
              <w:t>、</w:t>
            </w:r>
            <w:r>
              <w:rPr>
                <w:rFonts w:hint="eastAsia" w:ascii="Times New Roman" w:hAnsi="Times New Roman" w:eastAsia="宋体" w:cs="Times New Roman"/>
                <w:color w:val="auto"/>
                <w:sz w:val="24"/>
                <w:szCs w:val="22"/>
                <w:highlight w:val="none"/>
                <w:lang w:val="en-US" w:eastAsia="zh-CN"/>
              </w:rPr>
              <w:t>充绒机</w:t>
            </w:r>
            <w:r>
              <w:rPr>
                <w:rFonts w:hint="default" w:ascii="Times New Roman" w:hAnsi="Times New Roman" w:eastAsia="宋体" w:cs="Times New Roman"/>
                <w:color w:val="auto"/>
                <w:sz w:val="24"/>
                <w:szCs w:val="22"/>
                <w:highlight w:val="none"/>
                <w:lang w:val="en-US" w:eastAsia="zh-CN"/>
              </w:rPr>
              <w:t>等</w:t>
            </w:r>
            <w:r>
              <w:rPr>
                <w:rFonts w:ascii="Times New Roman" w:hAnsi="Times New Roman" w:eastAsia="宋体" w:cs="Times New Roman"/>
                <w:color w:val="auto"/>
                <w:sz w:val="24"/>
                <w:szCs w:val="22"/>
                <w:highlight w:val="none"/>
              </w:rPr>
              <w:t>设备选型上，选用低噪声先进设备，并进行合理布局。</w:t>
            </w:r>
          </w:p>
          <w:p w14:paraId="1F5964CF">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2"/>
                <w:highlight w:val="none"/>
              </w:rPr>
            </w:pPr>
            <w:r>
              <w:rPr>
                <w:rFonts w:hint="eastAsia" w:ascii="Times New Roman" w:hAnsi="Times New Roman" w:eastAsia="宋体" w:cs="Times New Roman"/>
                <w:color w:val="auto"/>
                <w:sz w:val="24"/>
                <w:szCs w:val="22"/>
                <w:highlight w:val="none"/>
              </w:rPr>
              <w:t>②</w:t>
            </w:r>
            <w:r>
              <w:rPr>
                <w:rFonts w:ascii="Times New Roman" w:hAnsi="Times New Roman" w:eastAsia="宋体" w:cs="Times New Roman"/>
                <w:color w:val="auto"/>
                <w:sz w:val="24"/>
                <w:szCs w:val="22"/>
                <w:highlight w:val="none"/>
              </w:rPr>
              <w:t>对各机械噪声采取基础减振或铺垫减振垫等降噪措施</w:t>
            </w:r>
            <w:r>
              <w:rPr>
                <w:rFonts w:hint="eastAsia" w:ascii="Times New Roman" w:hAnsi="Times New Roman" w:eastAsia="宋体" w:cs="Times New Roman"/>
                <w:color w:val="auto"/>
                <w:sz w:val="24"/>
                <w:szCs w:val="22"/>
                <w:highlight w:val="none"/>
                <w:lang w:eastAsia="zh-CN"/>
              </w:rPr>
              <w:t>，</w:t>
            </w:r>
            <w:r>
              <w:rPr>
                <w:rFonts w:hint="default" w:ascii="Times New Roman" w:hAnsi="Times New Roman" w:cs="Times New Roman"/>
                <w:b w:val="0"/>
                <w:bCs w:val="0"/>
                <w:color w:val="auto"/>
                <w:sz w:val="24"/>
                <w:szCs w:val="24"/>
                <w:highlight w:val="none"/>
                <w:lang w:val="en-US" w:eastAsia="zh-CN"/>
              </w:rPr>
              <w:t>进出风口采用软连接，设置消声器等</w:t>
            </w:r>
            <w:r>
              <w:rPr>
                <w:rFonts w:hint="eastAsia" w:ascii="Times New Roman" w:hAnsi="Times New Roman" w:eastAsia="宋体" w:cs="Times New Roman"/>
                <w:color w:val="auto"/>
                <w:sz w:val="24"/>
                <w:szCs w:val="22"/>
                <w:highlight w:val="none"/>
                <w:lang w:val="en-US" w:eastAsia="zh-CN"/>
              </w:rPr>
              <w:t>，以减小主要设备运行噪声对周边环境的影响</w:t>
            </w:r>
            <w:r>
              <w:rPr>
                <w:rFonts w:ascii="Times New Roman" w:hAnsi="Times New Roman" w:eastAsia="宋体" w:cs="Times New Roman"/>
                <w:color w:val="auto"/>
                <w:sz w:val="24"/>
                <w:szCs w:val="22"/>
                <w:highlight w:val="none"/>
              </w:rPr>
              <w:t>。</w:t>
            </w:r>
          </w:p>
          <w:p w14:paraId="22E22DBF">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2"/>
                <w:highlight w:val="none"/>
              </w:rPr>
            </w:pPr>
            <w:r>
              <w:rPr>
                <w:rFonts w:hint="eastAsia" w:ascii="Times New Roman" w:hAnsi="Times New Roman" w:eastAsia="宋体" w:cs="Times New Roman"/>
                <w:color w:val="auto"/>
                <w:sz w:val="24"/>
                <w:szCs w:val="22"/>
                <w:highlight w:val="none"/>
              </w:rPr>
              <w:t>③</w:t>
            </w:r>
            <w:r>
              <w:rPr>
                <w:rFonts w:ascii="Times New Roman" w:hAnsi="Times New Roman" w:eastAsia="宋体" w:cs="Times New Roman"/>
                <w:color w:val="auto"/>
                <w:sz w:val="24"/>
                <w:szCs w:val="22"/>
                <w:highlight w:val="none"/>
              </w:rPr>
              <w:t>加强对机械设备的维修与保养，避免因老化引起的噪声。</w:t>
            </w:r>
          </w:p>
          <w:p w14:paraId="3FFF10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Cs w:val="22"/>
                <w:highlight w:val="none"/>
              </w:rPr>
            </w:pPr>
            <w:r>
              <w:rPr>
                <w:rFonts w:hint="eastAsia" w:ascii="Times New Roman" w:hAnsi="Times New Roman" w:eastAsia="宋体" w:cs="Times New Roman"/>
                <w:color w:val="auto"/>
                <w:sz w:val="24"/>
                <w:szCs w:val="22"/>
                <w:highlight w:val="none"/>
              </w:rPr>
              <w:t>④</w:t>
            </w:r>
            <w:r>
              <w:rPr>
                <w:rFonts w:ascii="Times New Roman" w:hAnsi="Times New Roman" w:eastAsia="宋体" w:cs="Times New Roman"/>
                <w:color w:val="auto"/>
                <w:sz w:val="24"/>
                <w:szCs w:val="22"/>
                <w:highlight w:val="none"/>
              </w:rPr>
              <w:t>生产时关闭车间门窗，加强员工教育，严格遵守昼间生产制度</w:t>
            </w:r>
            <w:r>
              <w:rPr>
                <w:rFonts w:hint="eastAsia" w:ascii="Times New Roman" w:hAnsi="Times New Roman" w:eastAsia="宋体" w:cs="Times New Roman"/>
                <w:color w:val="auto"/>
                <w:sz w:val="24"/>
                <w:szCs w:val="22"/>
                <w:highlight w:val="none"/>
                <w:lang w:eastAsia="zh-CN"/>
              </w:rPr>
              <w:t>，</w:t>
            </w:r>
            <w:r>
              <w:rPr>
                <w:rFonts w:hint="eastAsia" w:ascii="Times New Roman" w:hAnsi="Times New Roman" w:eastAsia="宋体" w:cs="Times New Roman"/>
                <w:color w:val="auto"/>
                <w:sz w:val="24"/>
                <w:szCs w:val="22"/>
                <w:highlight w:val="none"/>
                <w:lang w:val="en-US" w:eastAsia="zh-CN"/>
              </w:rPr>
              <w:t>减少作业时产生的不必要的人为噪声源</w:t>
            </w:r>
            <w:r>
              <w:rPr>
                <w:rFonts w:ascii="Times New Roman" w:hAnsi="Times New Roman" w:eastAsia="宋体" w:cs="Times New Roman"/>
                <w:color w:val="auto"/>
                <w:sz w:val="24"/>
                <w:szCs w:val="22"/>
                <w:highlight w:val="none"/>
              </w:rPr>
              <w:t>。</w:t>
            </w:r>
          </w:p>
          <w:p w14:paraId="4712A7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color w:val="auto"/>
                <w:kern w:val="0"/>
                <w:sz w:val="24"/>
                <w:szCs w:val="24"/>
                <w:highlight w:val="none"/>
              </w:rPr>
              <w:t>4、固体废物</w:t>
            </w:r>
          </w:p>
          <w:p w14:paraId="227AB90C">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拟建项目产生的固体废物包括员工生活垃圾、生产过程中产生的</w:t>
            </w:r>
            <w:r>
              <w:rPr>
                <w:rFonts w:hint="eastAsia" w:cs="Times New Roman"/>
                <w:color w:val="auto"/>
                <w:sz w:val="24"/>
                <w:szCs w:val="24"/>
                <w:highlight w:val="none"/>
                <w:lang w:val="en-US" w:eastAsia="zh-CN"/>
              </w:rPr>
              <w:t>废包装袋、边角料、不合格品</w:t>
            </w:r>
            <w:r>
              <w:rPr>
                <w:rFonts w:hint="default" w:ascii="Times New Roman" w:hAnsi="Times New Roman" w:eastAsia="宋体" w:cs="Times New Roman"/>
                <w:color w:val="auto"/>
                <w:sz w:val="24"/>
                <w:szCs w:val="24"/>
                <w:highlight w:val="none"/>
              </w:rPr>
              <w:t>等一般工业固废，</w:t>
            </w:r>
            <w:r>
              <w:rPr>
                <w:rFonts w:hint="eastAsia" w:cs="Times New Roman"/>
                <w:color w:val="auto"/>
                <w:sz w:val="24"/>
                <w:szCs w:val="24"/>
                <w:highlight w:val="none"/>
                <w:lang w:val="en-US" w:eastAsia="zh-CN"/>
              </w:rPr>
              <w:t>废包装桶、废机油和废活性炭</w:t>
            </w:r>
            <w:r>
              <w:rPr>
                <w:rFonts w:hint="default" w:ascii="Times New Roman" w:hAnsi="Times New Roman" w:eastAsia="宋体" w:cs="Times New Roman"/>
                <w:color w:val="auto"/>
                <w:sz w:val="24"/>
                <w:szCs w:val="24"/>
                <w:highlight w:val="none"/>
              </w:rPr>
              <w:t>等危险固废。</w:t>
            </w:r>
          </w:p>
          <w:p w14:paraId="2EFC21B5">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生活垃圾</w:t>
            </w:r>
          </w:p>
          <w:p w14:paraId="4551F9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Cs w:val="22"/>
                <w:highlight w:val="none"/>
                <w:lang w:val="en-US" w:eastAsia="zh-CN"/>
              </w:rPr>
            </w:pPr>
            <w:r>
              <w:rPr>
                <w:rFonts w:hint="default" w:ascii="Times New Roman" w:hAnsi="Times New Roman" w:eastAsia="宋体" w:cs="Times New Roman"/>
                <w:color w:val="auto"/>
                <w:sz w:val="24"/>
                <w:szCs w:val="24"/>
                <w:highlight w:val="none"/>
              </w:rPr>
              <w:t>生活垃圾：</w:t>
            </w:r>
            <w:r>
              <w:rPr>
                <w:rFonts w:hint="default" w:ascii="Times New Roman" w:hAnsi="Times New Roman" w:eastAsia="宋体" w:cs="Times New Roman"/>
                <w:color w:val="auto"/>
                <w:sz w:val="24"/>
                <w:szCs w:val="24"/>
                <w:highlight w:val="none"/>
                <w:lang w:eastAsia="zh-CN"/>
              </w:rPr>
              <w:t>本项目劳动定员</w:t>
            </w:r>
            <w:r>
              <w:rPr>
                <w:rFonts w:hint="eastAsia"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eastAsia="zh-CN"/>
              </w:rPr>
              <w:t>人，生活垃圾产生系数按0.5kg/（人·d）计，则生活垃圾产生量约为</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eastAsia="zh-CN"/>
              </w:rPr>
              <w:t>kg/d</w:t>
            </w:r>
            <w:r>
              <w:rPr>
                <w:rFonts w:hint="eastAsia" w:ascii="宋体" w:hAnsi="宋体" w:cs="宋体"/>
                <w:color w:val="auto"/>
                <w:sz w:val="24"/>
                <w:szCs w:val="24"/>
                <w:highlight w:val="none"/>
                <w:lang w:eastAsia="zh-CN"/>
              </w:rPr>
              <w:t>（</w:t>
            </w:r>
            <w:r>
              <w:rPr>
                <w:rFonts w:hint="eastAsia" w:cs="Times New Roman"/>
                <w:color w:val="auto"/>
                <w:sz w:val="24"/>
                <w:szCs w:val="24"/>
                <w:highlight w:val="none"/>
                <w:lang w:val="en-US" w:eastAsia="zh-CN"/>
              </w:rPr>
              <w:t>6.5</w:t>
            </w:r>
            <w:r>
              <w:rPr>
                <w:rFonts w:hint="default" w:ascii="Times New Roman" w:hAnsi="Times New Roman" w:eastAsia="宋体" w:cs="Times New Roman"/>
                <w:color w:val="auto"/>
                <w:sz w:val="24"/>
                <w:szCs w:val="24"/>
                <w:highlight w:val="none"/>
                <w:lang w:eastAsia="zh-CN"/>
              </w:rPr>
              <w:t>t/a</w:t>
            </w:r>
            <w:r>
              <w:rPr>
                <w:rFonts w:hint="eastAsia" w:ascii="宋体" w:hAnsi="宋体" w:cs="宋体"/>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生活垃圾集中后交由环卫部门统一清运。</w:t>
            </w:r>
          </w:p>
          <w:p w14:paraId="63EACB76">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二、</w:t>
            </w:r>
            <w:r>
              <w:rPr>
                <w:rFonts w:hint="default" w:ascii="Times New Roman" w:hAnsi="Times New Roman" w:eastAsia="宋体" w:cs="Times New Roman"/>
                <w:color w:val="auto"/>
                <w:sz w:val="24"/>
                <w:szCs w:val="24"/>
                <w:highlight w:val="none"/>
              </w:rPr>
              <w:t>一般固废</w:t>
            </w:r>
          </w:p>
          <w:p w14:paraId="5B403D4F">
            <w:pPr>
              <w:keepNext w:val="0"/>
              <w:keepLines w:val="0"/>
              <w:pageBreakBefore w:val="0"/>
              <w:widowControl w:val="0"/>
              <w:suppressLineNumbers w:val="0"/>
              <w:tabs>
                <w:tab w:val="left" w:pos="1304"/>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PVC</w:t>
            </w:r>
            <w:r>
              <w:rPr>
                <w:rFonts w:hint="default" w:ascii="Times New Roman" w:hAnsi="Times New Roman" w:eastAsia="宋体" w:cs="Times New Roman"/>
                <w:color w:val="auto"/>
                <w:sz w:val="24"/>
                <w:szCs w:val="24"/>
                <w:highlight w:val="none"/>
              </w:rPr>
              <w:t>边角料</w:t>
            </w:r>
            <w:r>
              <w:rPr>
                <w:rFonts w:hint="eastAsia" w:cs="Times New Roman"/>
                <w:color w:val="auto"/>
                <w:sz w:val="24"/>
                <w:szCs w:val="24"/>
                <w:highlight w:val="none"/>
                <w:lang w:val="en-US" w:eastAsia="zh-CN"/>
              </w:rPr>
              <w:t>和不合格品</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PVC</w:t>
            </w:r>
            <w:r>
              <w:rPr>
                <w:rFonts w:hint="eastAsia" w:cs="Times New Roman"/>
                <w:color w:val="auto"/>
                <w:sz w:val="24"/>
                <w:szCs w:val="22"/>
                <w:highlight w:val="none"/>
                <w:lang w:val="en-US" w:eastAsia="zh-CN"/>
              </w:rPr>
              <w:t>连帮鞋的边角料及不合格品产生量</w:t>
            </w:r>
            <w:r>
              <w:rPr>
                <w:rFonts w:hint="eastAsia" w:ascii="Times New Roman" w:hAnsi="Times New Roman" w:eastAsia="宋体" w:cs="Times New Roman"/>
                <w:color w:val="auto"/>
                <w:sz w:val="24"/>
                <w:szCs w:val="22"/>
                <w:highlight w:val="none"/>
                <w:lang w:val="en-US" w:eastAsia="zh-CN"/>
              </w:rPr>
              <w:t>参照《195制鞋行业系数手册》中“1953塑料鞋制造行业系数表”：一般</w:t>
            </w:r>
            <w:r>
              <w:rPr>
                <w:rFonts w:hint="eastAsia" w:cs="Times New Roman"/>
                <w:color w:val="auto"/>
                <w:sz w:val="24"/>
                <w:szCs w:val="22"/>
                <w:highlight w:val="none"/>
                <w:lang w:val="en-US" w:eastAsia="zh-CN"/>
              </w:rPr>
              <w:t>工业固体废物产污系数3620mg/双-产品，其中PVC连帮鞋的</w:t>
            </w:r>
            <w:r>
              <w:rPr>
                <w:rFonts w:hint="default" w:ascii="Times New Roman" w:hAnsi="Times New Roman" w:eastAsia="宋体" w:cs="Times New Roman"/>
                <w:color w:val="auto"/>
                <w:sz w:val="24"/>
                <w:szCs w:val="24"/>
                <w:highlight w:val="none"/>
              </w:rPr>
              <w:t>边角料</w:t>
            </w:r>
            <w:r>
              <w:rPr>
                <w:rFonts w:hint="eastAsia" w:cs="Times New Roman"/>
                <w:color w:val="auto"/>
                <w:sz w:val="24"/>
                <w:szCs w:val="24"/>
                <w:highlight w:val="none"/>
                <w:lang w:val="en-US" w:eastAsia="zh-CN"/>
              </w:rPr>
              <w:t>和不合格品产生量约2.715t/a，经粉碎机粉碎后回用。</w:t>
            </w:r>
          </w:p>
          <w:p w14:paraId="7132A9EB">
            <w:pPr>
              <w:keepNext w:val="0"/>
              <w:keepLines w:val="0"/>
              <w:pageBreakBefore w:val="0"/>
              <w:widowControl w:val="0"/>
              <w:suppressLineNumbers w:val="0"/>
              <w:tabs>
                <w:tab w:val="left" w:pos="1304"/>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（2）PU</w:t>
            </w:r>
            <w:r>
              <w:rPr>
                <w:rFonts w:hint="default" w:ascii="Times New Roman" w:hAnsi="Times New Roman" w:eastAsia="宋体" w:cs="Times New Roman"/>
                <w:color w:val="auto"/>
                <w:sz w:val="24"/>
                <w:szCs w:val="24"/>
                <w:highlight w:val="none"/>
              </w:rPr>
              <w:t>边角料</w:t>
            </w:r>
            <w:r>
              <w:rPr>
                <w:rFonts w:hint="eastAsia" w:cs="Times New Roman"/>
                <w:color w:val="auto"/>
                <w:sz w:val="24"/>
                <w:szCs w:val="24"/>
                <w:highlight w:val="none"/>
                <w:lang w:val="en-US" w:eastAsia="zh-CN"/>
              </w:rPr>
              <w:t>和不合格品</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PU</w:t>
            </w:r>
            <w:r>
              <w:rPr>
                <w:rFonts w:hint="eastAsia" w:cs="Times New Roman"/>
                <w:color w:val="auto"/>
                <w:sz w:val="24"/>
                <w:szCs w:val="22"/>
                <w:highlight w:val="none"/>
                <w:lang w:val="en-US" w:eastAsia="zh-CN"/>
              </w:rPr>
              <w:t>连帮鞋的边角料及不合格品产生量</w:t>
            </w:r>
            <w:r>
              <w:rPr>
                <w:rFonts w:hint="eastAsia" w:ascii="Times New Roman" w:hAnsi="Times New Roman" w:eastAsia="宋体" w:cs="Times New Roman"/>
                <w:color w:val="auto"/>
                <w:sz w:val="24"/>
                <w:szCs w:val="22"/>
                <w:highlight w:val="none"/>
                <w:lang w:val="en-US" w:eastAsia="zh-CN"/>
              </w:rPr>
              <w:t>参照《195制鞋行业系数手册》中“1953塑料鞋制造行业系数表”：一般</w:t>
            </w:r>
            <w:r>
              <w:rPr>
                <w:rFonts w:hint="eastAsia" w:cs="Times New Roman"/>
                <w:color w:val="auto"/>
                <w:sz w:val="24"/>
                <w:szCs w:val="22"/>
                <w:highlight w:val="none"/>
                <w:lang w:val="en-US" w:eastAsia="zh-CN"/>
              </w:rPr>
              <w:t>工业固体废物产污系数3620mg/双-产品，其中PU连帮鞋的</w:t>
            </w:r>
            <w:r>
              <w:rPr>
                <w:rFonts w:hint="default" w:ascii="Times New Roman" w:hAnsi="Times New Roman" w:eastAsia="宋体" w:cs="Times New Roman"/>
                <w:color w:val="auto"/>
                <w:sz w:val="24"/>
                <w:szCs w:val="24"/>
                <w:highlight w:val="none"/>
              </w:rPr>
              <w:t>边角料</w:t>
            </w:r>
            <w:r>
              <w:rPr>
                <w:rFonts w:hint="eastAsia" w:cs="Times New Roman"/>
                <w:color w:val="auto"/>
                <w:sz w:val="24"/>
                <w:szCs w:val="24"/>
                <w:highlight w:val="none"/>
                <w:lang w:val="en-US" w:eastAsia="zh-CN"/>
              </w:rPr>
              <w:t>和不合格品产生量约2.715t/a，</w:t>
            </w:r>
          </w:p>
          <w:p w14:paraId="4541B931">
            <w:pPr>
              <w:keepNext w:val="0"/>
              <w:keepLines w:val="0"/>
              <w:pageBreakBefore w:val="0"/>
              <w:widowControl w:val="0"/>
              <w:suppressLineNumbers w:val="0"/>
              <w:tabs>
                <w:tab w:val="left" w:pos="1304"/>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皮布边角料和不合格品：鞋帮面和服装生产中裁剪缝制工序会产生皮革边角料和服装不合格品，根据企业提供的生产经验数据，产生量约5t/a。收集暂存于一般固废暂存间，定期外售综合利用。</w:t>
            </w:r>
          </w:p>
          <w:p w14:paraId="71AE3837">
            <w:pPr>
              <w:keepNext w:val="0"/>
              <w:keepLines w:val="0"/>
              <w:pageBreakBefore w:val="0"/>
              <w:widowControl w:val="0"/>
              <w:suppressLineNumbers w:val="0"/>
              <w:tabs>
                <w:tab w:val="left" w:pos="1304"/>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4</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废包装袋：</w:t>
            </w:r>
            <w:r>
              <w:rPr>
                <w:rFonts w:hint="eastAsia" w:ascii="Times New Roman" w:hAnsi="Times New Roman" w:eastAsia="宋体" w:cs="Times New Roman"/>
                <w:bCs/>
                <w:snapToGrid/>
                <w:color w:val="auto"/>
                <w:kern w:val="0"/>
                <w:sz w:val="24"/>
                <w:szCs w:val="22"/>
                <w:highlight w:val="none"/>
                <w:lang w:val="en-US" w:eastAsia="zh-CN"/>
              </w:rPr>
              <w:t>项目</w:t>
            </w:r>
            <w:r>
              <w:rPr>
                <w:rFonts w:hint="default" w:ascii="Times New Roman" w:hAnsi="Times New Roman" w:eastAsia="宋体" w:cs="Times New Roman"/>
                <w:bCs/>
                <w:snapToGrid/>
                <w:color w:val="auto"/>
                <w:kern w:val="0"/>
                <w:sz w:val="24"/>
                <w:szCs w:val="22"/>
                <w:highlight w:val="none"/>
                <w:lang w:val="en-US" w:eastAsia="zh-CN"/>
              </w:rPr>
              <w:t>PVC</w:t>
            </w:r>
            <w:r>
              <w:rPr>
                <w:rFonts w:hint="eastAsia" w:cs="Times New Roman"/>
                <w:bCs/>
                <w:snapToGrid/>
                <w:color w:val="auto"/>
                <w:kern w:val="0"/>
                <w:sz w:val="24"/>
                <w:szCs w:val="22"/>
                <w:highlight w:val="none"/>
                <w:lang w:val="en-US" w:eastAsia="zh-CN"/>
              </w:rPr>
              <w:t>树脂粉、碳酸钙均</w:t>
            </w:r>
            <w:r>
              <w:rPr>
                <w:rFonts w:hint="eastAsia" w:ascii="Times New Roman" w:hAnsi="Times New Roman" w:eastAsia="宋体" w:cs="Times New Roman"/>
                <w:bCs/>
                <w:snapToGrid/>
                <w:color w:val="auto"/>
                <w:kern w:val="0"/>
                <w:sz w:val="24"/>
                <w:szCs w:val="22"/>
                <w:highlight w:val="none"/>
                <w:lang w:val="en-US" w:eastAsia="zh-CN"/>
              </w:rPr>
              <w:t>采用</w:t>
            </w:r>
            <w:r>
              <w:rPr>
                <w:rFonts w:hint="eastAsia" w:cs="Times New Roman"/>
                <w:bCs/>
                <w:snapToGrid/>
                <w:color w:val="auto"/>
                <w:kern w:val="0"/>
                <w:sz w:val="24"/>
                <w:szCs w:val="22"/>
                <w:highlight w:val="none"/>
                <w:lang w:val="en-US" w:eastAsia="zh-CN"/>
              </w:rPr>
              <w:t>25kg</w:t>
            </w:r>
            <w:r>
              <w:rPr>
                <w:rFonts w:hint="eastAsia" w:ascii="Times New Roman" w:hAnsi="Times New Roman" w:eastAsia="宋体" w:cs="Times New Roman"/>
                <w:bCs/>
                <w:snapToGrid/>
                <w:color w:val="auto"/>
                <w:kern w:val="0"/>
                <w:sz w:val="24"/>
                <w:szCs w:val="22"/>
                <w:highlight w:val="none"/>
                <w:lang w:val="en-US" w:eastAsia="zh-CN"/>
              </w:rPr>
              <w:t>袋装。项目</w:t>
            </w:r>
            <w:r>
              <w:rPr>
                <w:rFonts w:hint="default" w:ascii="Times New Roman" w:hAnsi="Times New Roman" w:eastAsia="宋体" w:cs="Times New Roman"/>
                <w:bCs/>
                <w:snapToGrid/>
                <w:color w:val="auto"/>
                <w:kern w:val="0"/>
                <w:sz w:val="24"/>
                <w:szCs w:val="22"/>
                <w:highlight w:val="none"/>
                <w:lang w:val="en-US" w:eastAsia="zh-CN"/>
              </w:rPr>
              <w:t>PVC</w:t>
            </w:r>
            <w:r>
              <w:rPr>
                <w:rFonts w:hint="eastAsia" w:cs="Times New Roman"/>
                <w:bCs/>
                <w:snapToGrid/>
                <w:color w:val="auto"/>
                <w:kern w:val="0"/>
                <w:sz w:val="24"/>
                <w:szCs w:val="22"/>
                <w:highlight w:val="none"/>
                <w:lang w:val="en-US" w:eastAsia="zh-CN"/>
              </w:rPr>
              <w:t>树脂粉和碳酸钙</w:t>
            </w:r>
            <w:r>
              <w:rPr>
                <w:rFonts w:hint="eastAsia" w:ascii="Times New Roman" w:hAnsi="Times New Roman" w:eastAsia="宋体" w:cs="Times New Roman"/>
                <w:bCs/>
                <w:snapToGrid/>
                <w:color w:val="auto"/>
                <w:kern w:val="0"/>
                <w:sz w:val="24"/>
                <w:szCs w:val="22"/>
                <w:highlight w:val="none"/>
                <w:lang w:val="en-US" w:eastAsia="zh-CN"/>
              </w:rPr>
              <w:t>年用量为</w:t>
            </w:r>
            <w:r>
              <w:rPr>
                <w:rFonts w:hint="eastAsia" w:cs="Times New Roman"/>
                <w:bCs/>
                <w:snapToGrid/>
                <w:color w:val="auto"/>
                <w:kern w:val="0"/>
                <w:sz w:val="24"/>
                <w:szCs w:val="22"/>
                <w:highlight w:val="none"/>
                <w:lang w:val="en-US" w:eastAsia="zh-CN"/>
              </w:rPr>
              <w:t>150</w:t>
            </w:r>
            <w:r>
              <w:rPr>
                <w:rFonts w:hint="default" w:ascii="Times New Roman" w:hAnsi="Times New Roman" w:eastAsia="宋体" w:cs="Times New Roman"/>
                <w:bCs/>
                <w:snapToGrid/>
                <w:color w:val="auto"/>
                <w:kern w:val="0"/>
                <w:sz w:val="24"/>
                <w:szCs w:val="22"/>
                <w:highlight w:val="none"/>
                <w:lang w:val="en-US" w:eastAsia="zh-CN"/>
              </w:rPr>
              <w:t>t/a</w:t>
            </w:r>
            <w:r>
              <w:rPr>
                <w:rFonts w:hint="eastAsia" w:cs="Times New Roman"/>
                <w:bCs/>
                <w:snapToGrid/>
                <w:color w:val="auto"/>
                <w:kern w:val="0"/>
                <w:sz w:val="24"/>
                <w:szCs w:val="22"/>
                <w:highlight w:val="none"/>
                <w:lang w:val="en-US" w:eastAsia="zh-CN"/>
              </w:rPr>
              <w:t>，25kg袋重量以0.1kg计</w:t>
            </w:r>
            <w:r>
              <w:rPr>
                <w:rFonts w:hint="eastAsia" w:ascii="Times New Roman" w:hAnsi="Times New Roman" w:eastAsia="宋体" w:cs="Times New Roman"/>
                <w:bCs/>
                <w:snapToGrid/>
                <w:color w:val="auto"/>
                <w:kern w:val="0"/>
                <w:sz w:val="24"/>
                <w:szCs w:val="22"/>
                <w:highlight w:val="none"/>
                <w:lang w:val="en-US" w:eastAsia="zh-CN"/>
              </w:rPr>
              <w:t>，则废包装袋产生量约</w:t>
            </w:r>
            <w:r>
              <w:rPr>
                <w:rFonts w:hint="eastAsia" w:cs="Times New Roman"/>
                <w:bCs/>
                <w:snapToGrid/>
                <w:color w:val="auto"/>
                <w:kern w:val="0"/>
                <w:sz w:val="24"/>
                <w:szCs w:val="22"/>
                <w:highlight w:val="none"/>
                <w:lang w:val="en-US" w:eastAsia="zh-CN"/>
              </w:rPr>
              <w:t>0.6</w:t>
            </w:r>
            <w:r>
              <w:rPr>
                <w:rFonts w:hint="default" w:cs="Times New Roman"/>
                <w:bCs/>
                <w:snapToGrid/>
                <w:color w:val="auto"/>
                <w:kern w:val="0"/>
                <w:sz w:val="24"/>
                <w:szCs w:val="22"/>
                <w:highlight w:val="none"/>
                <w:lang w:val="en-US" w:eastAsia="zh-CN"/>
              </w:rPr>
              <w:t>t/a</w:t>
            </w:r>
            <w:r>
              <w:rPr>
                <w:rFonts w:hint="eastAsia" w:cs="Times New Roman"/>
                <w:bCs/>
                <w:snapToGrid/>
                <w:color w:val="auto"/>
                <w:kern w:val="0"/>
                <w:sz w:val="24"/>
                <w:szCs w:val="22"/>
                <w:highlight w:val="none"/>
                <w:lang w:val="en-US" w:eastAsia="zh-CN"/>
              </w:rPr>
              <w:t>，收集暂存</w:t>
            </w:r>
            <w:r>
              <w:rPr>
                <w:rFonts w:hint="eastAsia" w:cs="Times New Roman"/>
                <w:color w:val="auto"/>
                <w:sz w:val="24"/>
                <w:szCs w:val="24"/>
                <w:highlight w:val="none"/>
                <w:lang w:val="en-US" w:eastAsia="zh-CN"/>
              </w:rPr>
              <w:t>于一般固废暂存间，定期外售综合利用</w:t>
            </w:r>
            <w:r>
              <w:rPr>
                <w:rFonts w:hint="eastAsia" w:cs="Times New Roman"/>
                <w:bCs/>
                <w:snapToGrid/>
                <w:color w:val="auto"/>
                <w:kern w:val="0"/>
                <w:sz w:val="24"/>
                <w:szCs w:val="22"/>
                <w:highlight w:val="none"/>
                <w:lang w:val="en-US" w:eastAsia="zh-CN"/>
              </w:rPr>
              <w:t>。</w:t>
            </w:r>
          </w:p>
          <w:p w14:paraId="24E0200A">
            <w:pPr>
              <w:keepNext w:val="0"/>
              <w:keepLines w:val="0"/>
              <w:pageBreakBefore w:val="0"/>
              <w:widowControl w:val="0"/>
              <w:suppressLineNumbers w:val="0"/>
              <w:tabs>
                <w:tab w:val="left" w:pos="1297"/>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5</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除尘灰</w:t>
            </w:r>
            <w:r>
              <w:rPr>
                <w:rFonts w:hint="eastAsia" w:cs="Times New Roman"/>
                <w:bCs/>
                <w:color w:val="auto"/>
                <w:sz w:val="24"/>
                <w:szCs w:val="22"/>
                <w:highlight w:val="none"/>
                <w:lang w:val="en-US" w:eastAsia="zh-CN"/>
              </w:rPr>
              <w:t>：根据废气源强章节分析，</w:t>
            </w:r>
            <w:r>
              <w:rPr>
                <w:rFonts w:hint="eastAsia" w:ascii="Times New Roman" w:hAnsi="Times New Roman" w:eastAsia="宋体" w:cs="Times New Roman"/>
                <w:bCs/>
                <w:color w:val="auto"/>
                <w:sz w:val="24"/>
                <w:szCs w:val="22"/>
                <w:highlight w:val="none"/>
                <w:lang w:val="en-US" w:eastAsia="zh-CN"/>
              </w:rPr>
              <w:t>本项目配料</w:t>
            </w:r>
            <w:r>
              <w:rPr>
                <w:rFonts w:hint="eastAsia" w:cs="Times New Roman"/>
                <w:bCs/>
                <w:color w:val="auto"/>
                <w:sz w:val="24"/>
                <w:szCs w:val="22"/>
                <w:highlight w:val="none"/>
                <w:lang w:val="en-US" w:eastAsia="zh-CN"/>
              </w:rPr>
              <w:t>工序袋式除尘器</w:t>
            </w:r>
            <w:r>
              <w:rPr>
                <w:rFonts w:hint="eastAsia" w:ascii="Times New Roman" w:hAnsi="Times New Roman" w:eastAsia="宋体" w:cs="Times New Roman"/>
                <w:bCs/>
                <w:color w:val="auto"/>
                <w:sz w:val="24"/>
                <w:szCs w:val="22"/>
                <w:highlight w:val="none"/>
                <w:lang w:val="en-US" w:eastAsia="zh-CN"/>
              </w:rPr>
              <w:t>布袋收集的除尘灰量为</w:t>
            </w:r>
            <w:r>
              <w:rPr>
                <w:rFonts w:hint="eastAsia" w:cs="Times New Roman"/>
                <w:bCs/>
                <w:color w:val="auto"/>
                <w:sz w:val="24"/>
                <w:szCs w:val="22"/>
                <w:highlight w:val="none"/>
                <w:lang w:val="en-US" w:eastAsia="zh-CN"/>
              </w:rPr>
              <w:t>2.461</w:t>
            </w:r>
            <w:r>
              <w:rPr>
                <w:rFonts w:hint="eastAsia" w:ascii="Times New Roman" w:hAnsi="Times New Roman" w:eastAsia="宋体" w:cs="Times New Roman"/>
                <w:bCs/>
                <w:color w:val="auto"/>
                <w:sz w:val="24"/>
                <w:szCs w:val="22"/>
                <w:highlight w:val="none"/>
                <w:lang w:val="en-US" w:eastAsia="zh-CN"/>
              </w:rPr>
              <w:t>t/a，收集后回用生产。</w:t>
            </w:r>
          </w:p>
          <w:p w14:paraId="6A30BAF6">
            <w:pPr>
              <w:keepNext w:val="0"/>
              <w:keepLines w:val="0"/>
              <w:pageBreakBefore w:val="0"/>
              <w:widowControl w:val="0"/>
              <w:suppressLineNumbers w:val="0"/>
              <w:tabs>
                <w:tab w:val="left" w:pos="1297"/>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s="Times New Roman"/>
                <w:bCs/>
                <w:snapToGrid/>
                <w:color w:val="auto"/>
                <w:kern w:val="0"/>
                <w:sz w:val="24"/>
                <w:szCs w:val="22"/>
                <w:highlight w:val="none"/>
                <w:lang w:val="en-US" w:eastAsia="zh-CN"/>
              </w:rPr>
            </w:pPr>
            <w:r>
              <w:rPr>
                <w:rFonts w:hint="eastAsia" w:cs="Times New Roman"/>
                <w:bCs/>
                <w:snapToGrid/>
                <w:color w:val="auto"/>
                <w:kern w:val="0"/>
                <w:sz w:val="24"/>
                <w:szCs w:val="22"/>
                <w:highlight w:val="none"/>
                <w:lang w:val="en-US" w:eastAsia="zh-CN"/>
              </w:rPr>
              <w:t>三、危险废物</w:t>
            </w:r>
          </w:p>
          <w:p w14:paraId="278204BD">
            <w:pPr>
              <w:keepNext w:val="0"/>
              <w:keepLines w:val="0"/>
              <w:pageBreakBefore w:val="0"/>
              <w:widowControl w:val="0"/>
              <w:suppressLineNumbers w:val="0"/>
              <w:tabs>
                <w:tab w:val="left" w:pos="1297"/>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bCs/>
                <w:snapToGrid/>
                <w:color w:val="auto"/>
                <w:kern w:val="0"/>
                <w:sz w:val="24"/>
                <w:szCs w:val="22"/>
                <w:highlight w:val="none"/>
                <w:lang w:val="en-US" w:eastAsia="zh-CN"/>
              </w:rPr>
            </w:pPr>
            <w:r>
              <w:rPr>
                <w:rFonts w:hint="eastAsia" w:cs="Times New Roman"/>
                <w:bCs/>
                <w:snapToGrid/>
                <w:color w:val="auto"/>
                <w:kern w:val="0"/>
                <w:sz w:val="24"/>
                <w:szCs w:val="22"/>
                <w:highlight w:val="none"/>
                <w:lang w:val="en-US" w:eastAsia="zh-CN"/>
              </w:rPr>
              <w:t>（1）废包装桶：</w:t>
            </w:r>
            <w:r>
              <w:rPr>
                <w:rFonts w:hint="default" w:ascii="Times New Roman" w:hAnsi="Times New Roman" w:cs="Times New Roman"/>
                <w:color w:val="auto"/>
                <w:sz w:val="24"/>
                <w:szCs w:val="24"/>
                <w:highlight w:val="none"/>
                <w:lang w:val="en-US" w:eastAsia="zh-CN"/>
              </w:rPr>
              <w:t>项目外购的</w:t>
            </w:r>
            <w:r>
              <w:rPr>
                <w:rFonts w:hint="eastAsia" w:cs="Times New Roman"/>
                <w:color w:val="auto"/>
                <w:sz w:val="24"/>
                <w:szCs w:val="24"/>
                <w:highlight w:val="none"/>
                <w:lang w:val="en-US" w:eastAsia="zh-CN"/>
              </w:rPr>
              <w:t>DOP</w:t>
            </w:r>
            <w:r>
              <w:rPr>
                <w:rFonts w:hint="default" w:ascii="Times New Roman" w:hAnsi="Times New Roman" w:cs="Times New Roman"/>
                <w:color w:val="auto"/>
                <w:sz w:val="24"/>
                <w:szCs w:val="24"/>
                <w:highlight w:val="none"/>
                <w:lang w:val="en-US" w:eastAsia="zh-CN"/>
              </w:rPr>
              <w:t>及</w:t>
            </w:r>
            <w:r>
              <w:rPr>
                <w:rFonts w:hint="eastAsia" w:cs="Times New Roman"/>
                <w:color w:val="auto"/>
                <w:sz w:val="24"/>
                <w:szCs w:val="24"/>
                <w:highlight w:val="none"/>
                <w:lang w:val="en-US" w:eastAsia="zh-CN"/>
              </w:rPr>
              <w:t>聚氨酯原液</w:t>
            </w:r>
            <w:r>
              <w:rPr>
                <w:rFonts w:hint="default" w:ascii="Times New Roman" w:hAnsi="Times New Roman" w:cs="Times New Roman"/>
                <w:color w:val="auto"/>
                <w:sz w:val="24"/>
                <w:szCs w:val="24"/>
                <w:highlight w:val="none"/>
                <w:lang w:val="en-US" w:eastAsia="zh-CN"/>
              </w:rPr>
              <w:t>等</w:t>
            </w:r>
            <w:r>
              <w:rPr>
                <w:rFonts w:hint="eastAsia" w:cs="Times New Roman"/>
                <w:color w:val="auto"/>
                <w:sz w:val="24"/>
                <w:szCs w:val="24"/>
                <w:highlight w:val="none"/>
                <w:lang w:val="en-US" w:eastAsia="zh-CN"/>
              </w:rPr>
              <w:t>原辅</w:t>
            </w:r>
            <w:r>
              <w:rPr>
                <w:rFonts w:hint="default" w:ascii="Times New Roman" w:hAnsi="Times New Roman" w:cs="Times New Roman"/>
                <w:color w:val="auto"/>
                <w:sz w:val="24"/>
                <w:szCs w:val="24"/>
                <w:highlight w:val="none"/>
                <w:lang w:val="en-US" w:eastAsia="zh-CN"/>
              </w:rPr>
              <w:t>料</w:t>
            </w:r>
            <w:r>
              <w:rPr>
                <w:rFonts w:hint="eastAsia" w:cs="Times New Roman"/>
                <w:color w:val="auto"/>
                <w:sz w:val="24"/>
                <w:szCs w:val="24"/>
                <w:highlight w:val="none"/>
                <w:lang w:val="en-US" w:eastAsia="zh-CN"/>
              </w:rPr>
              <w:t>均</w:t>
            </w:r>
            <w:r>
              <w:rPr>
                <w:rFonts w:hint="default" w:ascii="Times New Roman" w:hAnsi="Times New Roman" w:cs="Times New Roman"/>
                <w:color w:val="auto"/>
                <w:sz w:val="24"/>
                <w:szCs w:val="24"/>
                <w:highlight w:val="none"/>
                <w:lang w:val="en-US" w:eastAsia="zh-CN"/>
              </w:rPr>
              <w:t>采用桶装，</w:t>
            </w:r>
            <w:r>
              <w:rPr>
                <w:rFonts w:hint="eastAsia" w:cs="Times New Roman"/>
                <w:color w:val="auto"/>
                <w:sz w:val="24"/>
                <w:szCs w:val="24"/>
                <w:highlight w:val="none"/>
                <w:lang w:val="en-US" w:eastAsia="zh-CN"/>
              </w:rPr>
              <w:t>使用后</w:t>
            </w:r>
            <w:r>
              <w:rPr>
                <w:rFonts w:hint="default" w:ascii="Times New Roman" w:hAnsi="Times New Roman" w:cs="Times New Roman"/>
                <w:color w:val="auto"/>
                <w:sz w:val="24"/>
                <w:szCs w:val="24"/>
                <w:highlight w:val="none"/>
                <w:lang w:val="en-US" w:eastAsia="zh-CN"/>
              </w:rPr>
              <w:t>会产生废包装桶。根据企业提供资料，</w:t>
            </w:r>
            <w:r>
              <w:rPr>
                <w:rFonts w:hint="eastAsia" w:cs="Times New Roman"/>
                <w:color w:val="auto"/>
                <w:sz w:val="24"/>
                <w:szCs w:val="24"/>
                <w:highlight w:val="none"/>
                <w:lang w:val="en-US" w:eastAsia="zh-CN"/>
              </w:rPr>
              <w:t>DOP年用量75t/a（200kg/桶）</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聚氨酯原液年用量190t/a（10kg/桶、18kg/桶、20kg/桶、25kg/桶），脱模剂年</w:t>
            </w:r>
            <w:r>
              <w:rPr>
                <w:rFonts w:hint="default" w:ascii="Times New Roman" w:hAnsi="Times New Roman" w:cs="Times New Roman"/>
                <w:color w:val="auto"/>
                <w:sz w:val="24"/>
                <w:szCs w:val="24"/>
                <w:highlight w:val="none"/>
                <w:lang w:val="en-US" w:eastAsia="zh-CN"/>
              </w:rPr>
              <w:t>用量</w:t>
            </w:r>
            <w:r>
              <w:rPr>
                <w:rFonts w:hint="eastAsia" w:cs="Times New Roman"/>
                <w:color w:val="auto"/>
                <w:sz w:val="24"/>
                <w:szCs w:val="24"/>
                <w:highlight w:val="none"/>
                <w:lang w:val="en-US" w:eastAsia="zh-CN"/>
              </w:rPr>
              <w:t>0.5</w:t>
            </w:r>
            <w:r>
              <w:rPr>
                <w:rFonts w:hint="default" w:ascii="Times New Roman" w:hAnsi="Times New Roman" w:cs="Times New Roman"/>
                <w:color w:val="auto"/>
                <w:sz w:val="24"/>
                <w:szCs w:val="24"/>
                <w:highlight w:val="none"/>
                <w:lang w:val="en-US" w:eastAsia="zh-CN"/>
              </w:rPr>
              <w:t>t/a</w:t>
            </w:r>
            <w:r>
              <w:rPr>
                <w:rFonts w:hint="eastAsia" w:cs="Times New Roman"/>
                <w:color w:val="auto"/>
                <w:sz w:val="24"/>
                <w:szCs w:val="24"/>
                <w:highlight w:val="none"/>
                <w:lang w:val="en-US" w:eastAsia="zh-CN"/>
              </w:rPr>
              <w:t>（10kg/桶）</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根据包装桶产生数量和重量计算</w:t>
            </w:r>
            <w:r>
              <w:rPr>
                <w:rFonts w:hint="default" w:ascii="Times New Roman" w:hAnsi="Times New Roman" w:cs="Times New Roman"/>
                <w:color w:val="auto"/>
                <w:sz w:val="24"/>
                <w:szCs w:val="24"/>
                <w:highlight w:val="none"/>
                <w:lang w:val="en-US" w:eastAsia="zh-CN"/>
              </w:rPr>
              <w:t>，则废包装桶产生量约</w:t>
            </w:r>
            <w:r>
              <w:rPr>
                <w:rFonts w:hint="eastAsia" w:cs="Times New Roman"/>
                <w:color w:val="auto"/>
                <w:sz w:val="24"/>
                <w:szCs w:val="24"/>
                <w:highlight w:val="none"/>
                <w:lang w:val="en-US" w:eastAsia="zh-CN"/>
              </w:rPr>
              <w:t>6.635</w:t>
            </w:r>
            <w:r>
              <w:rPr>
                <w:rFonts w:hint="default" w:ascii="Times New Roman" w:hAnsi="Times New Roman" w:cs="Times New Roman"/>
                <w:color w:val="auto"/>
                <w:sz w:val="24"/>
                <w:szCs w:val="24"/>
                <w:highlight w:val="none"/>
                <w:lang w:val="en-US" w:eastAsia="zh-CN"/>
              </w:rPr>
              <w:t>t/a。</w:t>
            </w:r>
            <w:r>
              <w:rPr>
                <w:rFonts w:hint="default" w:ascii="Times New Roman" w:hAnsi="Times New Roman" w:eastAsia="宋体" w:cs="Times New Roman"/>
                <w:color w:val="auto"/>
                <w:sz w:val="24"/>
                <w:szCs w:val="24"/>
                <w:highlight w:val="none"/>
                <w:lang w:val="en-US" w:eastAsia="zh-CN"/>
              </w:rPr>
              <w:t>对照《国家危险废物名录》（202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年版），废包装桶属于危险废物（HW49</w:t>
            </w:r>
            <w:r>
              <w:rPr>
                <w:rFonts w:hint="eastAsia" w:ascii="Times New Roman" w:hAnsi="Times New Roman" w:eastAsia="宋体" w:cs="Times New Roman"/>
                <w:color w:val="auto"/>
                <w:sz w:val="24"/>
                <w:szCs w:val="24"/>
                <w:highlight w:val="none"/>
                <w:lang w:val="en-US" w:eastAsia="zh-CN"/>
              </w:rPr>
              <w:t>其他废物</w:t>
            </w:r>
            <w:r>
              <w:rPr>
                <w:rFonts w:hint="default" w:ascii="Times New Roman" w:hAnsi="Times New Roman" w:eastAsia="宋体" w:cs="Times New Roman"/>
                <w:color w:val="auto"/>
                <w:sz w:val="24"/>
                <w:szCs w:val="24"/>
                <w:highlight w:val="none"/>
                <w:lang w:val="en-US" w:eastAsia="zh-CN"/>
              </w:rPr>
              <w:t>900-041-49），收集后暂存于危险废物暂存</w:t>
            </w:r>
            <w:r>
              <w:rPr>
                <w:rFonts w:hint="eastAsia" w:cs="Times New Roman"/>
                <w:color w:val="auto"/>
                <w:sz w:val="24"/>
                <w:szCs w:val="24"/>
                <w:highlight w:val="none"/>
                <w:lang w:val="en-US" w:eastAsia="zh-CN"/>
              </w:rPr>
              <w:t>间</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kern w:val="0"/>
                <w:sz w:val="24"/>
                <w:szCs w:val="24"/>
                <w:highlight w:val="none"/>
                <w:lang w:val="en-US" w:eastAsia="zh-CN" w:bidi="ar"/>
              </w:rPr>
              <w:t>定期</w:t>
            </w:r>
            <w:r>
              <w:rPr>
                <w:rFonts w:hint="default" w:ascii="Times New Roman" w:hAnsi="Times New Roman" w:eastAsia="宋体" w:cs="Times New Roman"/>
                <w:color w:val="auto"/>
                <w:kern w:val="0"/>
                <w:sz w:val="24"/>
                <w:szCs w:val="24"/>
                <w:highlight w:val="none"/>
                <w:lang w:val="en-US" w:eastAsia="zh-CN" w:bidi="ar"/>
              </w:rPr>
              <w:t>交由</w:t>
            </w:r>
            <w:r>
              <w:rPr>
                <w:rFonts w:hint="eastAsia" w:cs="Times New Roman"/>
                <w:color w:val="auto"/>
                <w:kern w:val="0"/>
                <w:sz w:val="24"/>
                <w:szCs w:val="24"/>
                <w:highlight w:val="none"/>
                <w:lang w:val="en-US" w:eastAsia="zh-CN" w:bidi="ar"/>
              </w:rPr>
              <w:t>有资质单位处置</w:t>
            </w:r>
            <w:r>
              <w:rPr>
                <w:rFonts w:hint="default" w:ascii="Times New Roman" w:hAnsi="Times New Roman" w:eastAsia="宋体" w:cs="Times New Roman"/>
                <w:snapToGrid/>
                <w:color w:val="auto"/>
                <w:kern w:val="2"/>
                <w:sz w:val="24"/>
                <w:szCs w:val="24"/>
                <w:highlight w:val="none"/>
                <w:lang w:val="en-US" w:eastAsia="zh-CN" w:bidi="ar-SA"/>
              </w:rPr>
              <w:t>。</w:t>
            </w:r>
          </w:p>
          <w:p w14:paraId="1A2658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napToGrid/>
                <w:color w:val="auto"/>
                <w:kern w:val="2"/>
                <w:sz w:val="24"/>
                <w:szCs w:val="24"/>
                <w:highlight w:val="none"/>
                <w:lang w:val="en-US" w:eastAsia="zh-CN" w:bidi="ar-SA"/>
              </w:rPr>
            </w:pPr>
            <w:r>
              <w:rPr>
                <w:rFonts w:hint="eastAsia" w:cs="Times New Roman"/>
                <w:bCs/>
                <w:snapToGrid/>
                <w:color w:val="auto"/>
                <w:kern w:val="0"/>
                <w:sz w:val="24"/>
                <w:szCs w:val="22"/>
                <w:highlight w:val="none"/>
                <w:lang w:val="en-US" w:eastAsia="zh-CN"/>
              </w:rPr>
              <w:t>（2）</w:t>
            </w:r>
            <w:r>
              <w:rPr>
                <w:rFonts w:hint="eastAsia" w:cs="Times New Roman"/>
                <w:color w:val="auto"/>
                <w:kern w:val="0"/>
                <w:sz w:val="24"/>
                <w:szCs w:val="24"/>
                <w:highlight w:val="none"/>
                <w:lang w:val="en-US" w:eastAsia="zh-CN" w:bidi="ar"/>
              </w:rPr>
              <w:t>清洗废液</w:t>
            </w:r>
            <w:r>
              <w:rPr>
                <w:rFonts w:hint="default" w:ascii="Times New Roman" w:hAnsi="Times New Roman" w:eastAsia="宋体" w:cs="Times New Roman"/>
                <w:color w:val="auto"/>
                <w:kern w:val="0"/>
                <w:sz w:val="24"/>
                <w:szCs w:val="24"/>
                <w:highlight w:val="none"/>
                <w:lang w:val="en-US" w:eastAsia="zh-CN" w:bidi="ar"/>
              </w:rPr>
              <w:t>：本项目</w:t>
            </w:r>
            <w:r>
              <w:rPr>
                <w:rFonts w:hint="eastAsia" w:cs="Times New Roman"/>
                <w:color w:val="auto"/>
                <w:kern w:val="0"/>
                <w:sz w:val="24"/>
                <w:szCs w:val="24"/>
                <w:highlight w:val="none"/>
                <w:lang w:val="en-US" w:eastAsia="zh-CN" w:bidi="ar"/>
              </w:rPr>
              <w:t>浇注机枪头清洗产生废清洗液，</w:t>
            </w:r>
            <w:r>
              <w:rPr>
                <w:rFonts w:hint="default" w:ascii="Times New Roman" w:hAnsi="Times New Roman" w:eastAsia="宋体" w:cs="Times New Roman"/>
                <w:color w:val="auto"/>
                <w:kern w:val="0"/>
                <w:sz w:val="24"/>
                <w:szCs w:val="24"/>
                <w:highlight w:val="none"/>
                <w:lang w:val="en-US" w:eastAsia="zh-CN" w:bidi="ar"/>
              </w:rPr>
              <w:t>根据</w:t>
            </w:r>
            <w:r>
              <w:rPr>
                <w:rFonts w:hint="eastAsia" w:ascii="Times New Roman" w:hAnsi="Times New Roman" w:eastAsia="宋体" w:cs="Times New Roman"/>
                <w:color w:val="auto"/>
                <w:kern w:val="0"/>
                <w:sz w:val="24"/>
                <w:szCs w:val="24"/>
                <w:highlight w:val="none"/>
                <w:lang w:val="en-US" w:eastAsia="zh-CN" w:bidi="ar"/>
              </w:rPr>
              <w:t>前文分析，</w:t>
            </w:r>
            <w:r>
              <w:rPr>
                <w:rFonts w:hint="eastAsia" w:cs="Times New Roman"/>
                <w:color w:val="auto"/>
                <w:kern w:val="0"/>
                <w:sz w:val="24"/>
                <w:szCs w:val="24"/>
                <w:highlight w:val="none"/>
                <w:lang w:val="en-US" w:eastAsia="zh-CN" w:bidi="ar"/>
              </w:rPr>
              <w:t>作为清洗剂的脱模剂使用量约0.188</w:t>
            </w:r>
            <w:r>
              <w:rPr>
                <w:rFonts w:hint="default" w:ascii="Times New Roman" w:hAnsi="Times New Roman" w:eastAsia="宋体" w:cs="Times New Roman"/>
                <w:color w:val="auto"/>
                <w:kern w:val="0"/>
                <w:sz w:val="24"/>
                <w:szCs w:val="24"/>
                <w:highlight w:val="none"/>
                <w:lang w:val="en-US" w:eastAsia="zh-CN" w:bidi="ar"/>
              </w:rPr>
              <w:t>t/a</w:t>
            </w:r>
            <w:r>
              <w:rPr>
                <w:rFonts w:hint="eastAsia" w:cs="Times New Roman"/>
                <w:color w:val="auto"/>
                <w:kern w:val="0"/>
                <w:sz w:val="24"/>
                <w:szCs w:val="24"/>
                <w:highlight w:val="none"/>
                <w:lang w:val="en-US" w:eastAsia="zh-CN" w:bidi="ar"/>
              </w:rPr>
              <w:t>，全部收集作为危废处置</w:t>
            </w:r>
            <w:r>
              <w:rPr>
                <w:rFonts w:hint="default" w:ascii="Times New Roman" w:hAnsi="Times New Roman" w:eastAsia="宋体" w:cs="Times New Roman"/>
                <w:color w:val="auto"/>
                <w:kern w:val="0"/>
                <w:sz w:val="24"/>
                <w:szCs w:val="24"/>
                <w:highlight w:val="none"/>
                <w:lang w:val="en-US" w:eastAsia="zh-CN" w:bidi="ar"/>
              </w:rPr>
              <w:t>。对照《国家危险废物名录》（202</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年版），</w:t>
            </w:r>
            <w:r>
              <w:rPr>
                <w:rFonts w:hint="eastAsia" w:cs="Times New Roman"/>
                <w:color w:val="auto"/>
                <w:kern w:val="0"/>
                <w:sz w:val="24"/>
                <w:szCs w:val="24"/>
                <w:highlight w:val="none"/>
                <w:lang w:val="en-US" w:eastAsia="zh-CN" w:bidi="ar"/>
              </w:rPr>
              <w:t>清洗废液</w:t>
            </w:r>
            <w:r>
              <w:rPr>
                <w:rFonts w:hint="default" w:ascii="Times New Roman" w:hAnsi="Times New Roman" w:eastAsia="宋体" w:cs="Times New Roman"/>
                <w:color w:val="auto"/>
                <w:kern w:val="0"/>
                <w:sz w:val="24"/>
                <w:szCs w:val="24"/>
                <w:highlight w:val="none"/>
                <w:lang w:val="en-US" w:eastAsia="zh-CN" w:bidi="ar"/>
              </w:rPr>
              <w:t>属于危险废物（</w:t>
            </w:r>
            <w:r>
              <w:rPr>
                <w:rFonts w:hint="default" w:ascii="Times New Roman" w:hAnsi="Times New Roman" w:eastAsia="宋体" w:cs="Times New Roman"/>
                <w:color w:val="auto"/>
                <w:sz w:val="24"/>
                <w:szCs w:val="24"/>
                <w:highlight w:val="none"/>
                <w:lang w:val="en-US" w:eastAsia="zh-CN"/>
              </w:rPr>
              <w:t>HW</w:t>
            </w:r>
            <w:r>
              <w:rPr>
                <w:rFonts w:hint="eastAsia" w:cs="Times New Roman"/>
                <w:color w:val="auto"/>
                <w:sz w:val="24"/>
                <w:szCs w:val="24"/>
                <w:highlight w:val="none"/>
                <w:lang w:val="en-US" w:eastAsia="zh-CN"/>
              </w:rPr>
              <w:t>06废有机溶剂与含有机溶剂废物</w:t>
            </w:r>
            <w:r>
              <w:rPr>
                <w:rFonts w:hint="default" w:ascii="Times New Roman" w:hAnsi="Times New Roman" w:eastAsia="宋体" w:cs="Times New Roman"/>
                <w:color w:val="auto"/>
                <w:sz w:val="24"/>
                <w:szCs w:val="24"/>
                <w:highlight w:val="none"/>
                <w:lang w:val="en-US" w:eastAsia="zh-CN"/>
              </w:rPr>
              <w:t>900-04</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06</w:t>
            </w:r>
            <w:r>
              <w:rPr>
                <w:rFonts w:hint="default" w:ascii="Times New Roman" w:hAnsi="Times New Roman" w:eastAsia="宋体" w:cs="Times New Roman"/>
                <w:color w:val="auto"/>
                <w:kern w:val="0"/>
                <w:sz w:val="24"/>
                <w:szCs w:val="24"/>
                <w:highlight w:val="none"/>
                <w:lang w:val="en-US" w:eastAsia="zh-CN" w:bidi="ar"/>
              </w:rPr>
              <w:t>），收集后暂存于危险废物暂存</w:t>
            </w:r>
            <w:r>
              <w:rPr>
                <w:rFonts w:hint="eastAsia" w:cs="Times New Roman"/>
                <w:color w:val="auto"/>
                <w:kern w:val="0"/>
                <w:sz w:val="24"/>
                <w:szCs w:val="24"/>
                <w:highlight w:val="none"/>
                <w:lang w:val="en-US" w:eastAsia="zh-CN" w:bidi="ar"/>
              </w:rPr>
              <w:t>间</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定期</w:t>
            </w:r>
            <w:r>
              <w:rPr>
                <w:rFonts w:hint="default" w:ascii="Times New Roman" w:hAnsi="Times New Roman" w:eastAsia="宋体" w:cs="Times New Roman"/>
                <w:color w:val="auto"/>
                <w:kern w:val="0"/>
                <w:sz w:val="24"/>
                <w:szCs w:val="24"/>
                <w:highlight w:val="none"/>
                <w:lang w:val="en-US" w:eastAsia="zh-CN" w:bidi="ar"/>
              </w:rPr>
              <w:t>交由</w:t>
            </w:r>
            <w:r>
              <w:rPr>
                <w:rFonts w:hint="eastAsia" w:cs="Times New Roman"/>
                <w:color w:val="auto"/>
                <w:kern w:val="0"/>
                <w:sz w:val="24"/>
                <w:szCs w:val="24"/>
                <w:highlight w:val="none"/>
                <w:lang w:val="en-US" w:eastAsia="zh-CN" w:bidi="ar"/>
              </w:rPr>
              <w:t>有资质单位处置</w:t>
            </w:r>
            <w:r>
              <w:rPr>
                <w:rFonts w:hint="default" w:ascii="Times New Roman" w:hAnsi="Times New Roman" w:eastAsia="宋体" w:cs="Times New Roman"/>
                <w:color w:val="auto"/>
                <w:kern w:val="0"/>
                <w:sz w:val="24"/>
                <w:szCs w:val="24"/>
                <w:highlight w:val="none"/>
                <w:lang w:val="en-US" w:eastAsia="zh-CN" w:bidi="ar"/>
              </w:rPr>
              <w:t>。</w:t>
            </w:r>
          </w:p>
          <w:p w14:paraId="62D8CD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rPr>
            </w:pPr>
            <w:r>
              <w:rPr>
                <w:rFonts w:hint="eastAsia" w:cs="Times New Roman"/>
                <w:b w:val="0"/>
                <w:bCs w:val="0"/>
                <w:snapToGrid/>
                <w:color w:val="auto"/>
                <w:kern w:val="2"/>
                <w:sz w:val="24"/>
                <w:szCs w:val="24"/>
                <w:highlight w:val="none"/>
                <w:lang w:val="en-US" w:eastAsia="zh-CN" w:bidi="ar-SA"/>
              </w:rPr>
              <w:t>（3）</w:t>
            </w:r>
            <w:r>
              <w:rPr>
                <w:rFonts w:hint="default" w:ascii="Times New Roman" w:hAnsi="Times New Roman" w:eastAsia="宋体" w:cs="Times New Roman"/>
                <w:color w:val="auto"/>
                <w:sz w:val="24"/>
                <w:szCs w:val="24"/>
                <w:highlight w:val="none"/>
                <w:lang w:eastAsia="zh-CN"/>
              </w:rPr>
              <w:t>废</w:t>
            </w:r>
            <w:r>
              <w:rPr>
                <w:rFonts w:hint="eastAsia" w:cs="Times New Roman"/>
                <w:color w:val="auto"/>
                <w:sz w:val="24"/>
                <w:szCs w:val="24"/>
                <w:highlight w:val="none"/>
                <w:lang w:eastAsia="zh-CN"/>
              </w:rPr>
              <w:t>机油</w:t>
            </w:r>
            <w:r>
              <w:rPr>
                <w:rFonts w:hint="default" w:ascii="Times New Roman" w:hAnsi="Times New Roman" w:eastAsia="宋体" w:cs="Times New Roman"/>
                <w:color w:val="auto"/>
                <w:sz w:val="24"/>
                <w:szCs w:val="24"/>
                <w:highlight w:val="none"/>
                <w:lang w:eastAsia="zh-CN"/>
              </w:rPr>
              <w:t>及废油桶</w:t>
            </w:r>
            <w:r>
              <w:rPr>
                <w:rFonts w:hint="default" w:ascii="Times New Roman" w:hAnsi="Times New Roman" w:eastAsia="宋体" w:cs="Times New Roman"/>
                <w:color w:val="auto"/>
                <w:sz w:val="24"/>
                <w:szCs w:val="24"/>
                <w:highlight w:val="none"/>
              </w:rPr>
              <w:t>：本项目设备</w:t>
            </w:r>
            <w:r>
              <w:rPr>
                <w:rFonts w:hint="eastAsia" w:cs="Times New Roman"/>
                <w:color w:val="auto"/>
                <w:sz w:val="24"/>
                <w:szCs w:val="24"/>
                <w:highlight w:val="none"/>
                <w:lang w:val="en-US" w:eastAsia="zh-CN"/>
              </w:rPr>
              <w:t>维护需更换机油，</w:t>
            </w:r>
            <w:r>
              <w:rPr>
                <w:rFonts w:hint="default" w:ascii="Times New Roman" w:hAnsi="Times New Roman" w:eastAsia="宋体" w:cs="Times New Roman"/>
                <w:color w:val="auto"/>
                <w:sz w:val="24"/>
                <w:szCs w:val="24"/>
                <w:highlight w:val="none"/>
              </w:rPr>
              <w:t>产生</w:t>
            </w:r>
            <w:r>
              <w:rPr>
                <w:rFonts w:hint="default" w:ascii="Times New Roman" w:hAnsi="Times New Roman" w:eastAsia="宋体" w:cs="Times New Roman"/>
                <w:color w:val="auto"/>
                <w:sz w:val="24"/>
                <w:szCs w:val="24"/>
                <w:highlight w:val="none"/>
                <w:lang w:eastAsia="zh-CN"/>
              </w:rPr>
              <w:t>废</w:t>
            </w:r>
            <w:r>
              <w:rPr>
                <w:rFonts w:hint="eastAsia" w:cs="Times New Roman"/>
                <w:color w:val="auto"/>
                <w:sz w:val="24"/>
                <w:szCs w:val="24"/>
                <w:highlight w:val="none"/>
                <w:lang w:eastAsia="zh-CN"/>
              </w:rPr>
              <w:t>机油</w:t>
            </w:r>
            <w:r>
              <w:rPr>
                <w:rFonts w:hint="eastAsia" w:cs="Times New Roman"/>
                <w:color w:val="auto"/>
                <w:sz w:val="24"/>
                <w:szCs w:val="24"/>
                <w:highlight w:val="none"/>
                <w:lang w:val="en-US" w:eastAsia="zh-CN"/>
              </w:rPr>
              <w:t>约0.1</w:t>
            </w:r>
            <w:r>
              <w:rPr>
                <w:rFonts w:hint="default" w:ascii="Times New Roman" w:hAnsi="Times New Roman" w:eastAsia="Times New Roman" w:cs="Times New Roman"/>
                <w:color w:val="auto"/>
                <w:sz w:val="24"/>
                <w:szCs w:val="24"/>
                <w:highlight w:val="none"/>
              </w:rPr>
              <w:t>t/a</w:t>
            </w:r>
            <w:r>
              <w:rPr>
                <w:rFonts w:hint="default" w:ascii="Times New Roman" w:hAnsi="Times New Roman" w:eastAsia="宋体" w:cs="Times New Roman"/>
                <w:color w:val="auto"/>
                <w:sz w:val="24"/>
                <w:szCs w:val="24"/>
                <w:highlight w:val="none"/>
              </w:rPr>
              <w:t>。对照《国家危险废物名录》（202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年版），</w:t>
            </w:r>
            <w:r>
              <w:rPr>
                <w:rFonts w:hint="eastAsia" w:cs="Times New Roman"/>
                <w:color w:val="auto"/>
                <w:sz w:val="24"/>
                <w:szCs w:val="24"/>
                <w:highlight w:val="none"/>
                <w:lang w:val="en-US" w:eastAsia="zh-CN"/>
              </w:rPr>
              <w:t>属于危险废物（</w:t>
            </w:r>
            <w:r>
              <w:rPr>
                <w:rFonts w:hint="default" w:ascii="Times New Roman" w:hAnsi="Times New Roman" w:eastAsia="宋体" w:cs="Times New Roman"/>
                <w:color w:val="auto"/>
                <w:kern w:val="0"/>
                <w:sz w:val="24"/>
                <w:szCs w:val="24"/>
                <w:highlight w:val="none"/>
                <w:lang w:val="en-US" w:eastAsia="zh-CN" w:bidi="ar"/>
              </w:rPr>
              <w:t>HW</w:t>
            </w:r>
            <w:r>
              <w:rPr>
                <w:rFonts w:hint="eastAsia" w:ascii="Times New Roman" w:hAnsi="Times New Roman" w:eastAsia="宋体" w:cs="Times New Roman"/>
                <w:color w:val="auto"/>
                <w:kern w:val="0"/>
                <w:sz w:val="24"/>
                <w:szCs w:val="24"/>
                <w:highlight w:val="none"/>
                <w:lang w:val="en-US" w:eastAsia="zh-CN" w:bidi="ar"/>
              </w:rPr>
              <w:t>08废矿物油与含矿物油废物</w:t>
            </w:r>
            <w:r>
              <w:rPr>
                <w:rFonts w:hint="default" w:ascii="Times New Roman" w:hAnsi="Times New Roman" w:eastAsia="Times New Roman" w:cs="Times New Roman"/>
                <w:color w:val="auto"/>
                <w:sz w:val="24"/>
                <w:szCs w:val="24"/>
                <w:highlight w:val="none"/>
              </w:rPr>
              <w:t>900-21</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Times New Roman" w:cs="Times New Roman"/>
                <w:color w:val="auto"/>
                <w:sz w:val="24"/>
                <w:szCs w:val="24"/>
                <w:highlight w:val="none"/>
              </w:rPr>
              <w:t>-08</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收集后暂存于危险废物暂存</w:t>
            </w:r>
            <w:r>
              <w:rPr>
                <w:rFonts w:hint="eastAsia" w:cs="Times New Roman"/>
                <w:color w:val="auto"/>
                <w:kern w:val="0"/>
                <w:sz w:val="24"/>
                <w:szCs w:val="24"/>
                <w:highlight w:val="none"/>
                <w:lang w:val="en-US" w:eastAsia="zh-CN" w:bidi="ar"/>
              </w:rPr>
              <w:t>库</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定期</w:t>
            </w:r>
            <w:r>
              <w:rPr>
                <w:rFonts w:hint="default" w:ascii="Times New Roman" w:hAnsi="Times New Roman" w:eastAsia="宋体" w:cs="Times New Roman"/>
                <w:color w:val="auto"/>
                <w:kern w:val="0"/>
                <w:sz w:val="24"/>
                <w:szCs w:val="24"/>
                <w:highlight w:val="none"/>
                <w:lang w:val="en-US" w:eastAsia="zh-CN" w:bidi="ar"/>
              </w:rPr>
              <w:t>交由</w:t>
            </w:r>
            <w:r>
              <w:rPr>
                <w:rFonts w:hint="eastAsia" w:cs="Times New Roman"/>
                <w:color w:val="auto"/>
                <w:kern w:val="0"/>
                <w:sz w:val="24"/>
                <w:szCs w:val="24"/>
                <w:highlight w:val="none"/>
                <w:lang w:val="en-US" w:eastAsia="zh-CN" w:bidi="ar"/>
              </w:rPr>
              <w:t>有资质单位处置</w:t>
            </w:r>
            <w:r>
              <w:rPr>
                <w:rFonts w:hint="default" w:ascii="Times New Roman" w:hAnsi="Times New Roman" w:eastAsia="宋体" w:cs="Times New Roman"/>
                <w:color w:val="auto"/>
                <w:kern w:val="0"/>
                <w:sz w:val="24"/>
                <w:szCs w:val="24"/>
                <w:highlight w:val="none"/>
                <w:lang w:val="en-US" w:eastAsia="zh-CN" w:bidi="ar"/>
              </w:rPr>
              <w:t>。</w:t>
            </w:r>
          </w:p>
          <w:p w14:paraId="68742991">
            <w:pPr>
              <w:pStyle w:val="203"/>
              <w:keepNext w:val="0"/>
              <w:keepLines w:val="0"/>
              <w:pageBreakBefore w:val="0"/>
              <w:widowControl w:val="0"/>
              <w:suppressLineNumbers w:val="0"/>
              <w:tabs>
                <w:tab w:val="left" w:pos="1304"/>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sz w:val="24"/>
                <w:szCs w:val="24"/>
                <w:highlight w:val="none"/>
                <w:lang w:val="en-US" w:eastAsia="zh-CN"/>
              </w:rPr>
            </w:pP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废活性炭：</w:t>
            </w:r>
            <w:r>
              <w:rPr>
                <w:rFonts w:hint="eastAsia" w:cs="Times New Roman"/>
                <w:color w:val="auto"/>
                <w:sz w:val="24"/>
                <w:szCs w:val="24"/>
                <w:highlight w:val="none"/>
                <w:lang w:val="en-US" w:eastAsia="zh-CN"/>
              </w:rPr>
              <w:t>注塑、浇注等工序产生的有机</w:t>
            </w:r>
            <w:r>
              <w:rPr>
                <w:rFonts w:hint="default" w:ascii="Times New Roman" w:hAnsi="Times New Roman" w:eastAsia="宋体" w:cs="Times New Roman"/>
                <w:color w:val="auto"/>
                <w:sz w:val="24"/>
                <w:szCs w:val="24"/>
                <w:highlight w:val="none"/>
              </w:rPr>
              <w:t>废气</w:t>
            </w:r>
            <w:r>
              <w:rPr>
                <w:rFonts w:hint="eastAsia" w:cs="Times New Roman"/>
                <w:color w:val="auto"/>
                <w:sz w:val="24"/>
                <w:szCs w:val="24"/>
                <w:highlight w:val="none"/>
                <w:lang w:val="en-US" w:eastAsia="zh-CN"/>
              </w:rPr>
              <w:t>等经</w:t>
            </w:r>
            <w:r>
              <w:rPr>
                <w:rFonts w:hint="default" w:ascii="Times New Roman" w:hAnsi="Times New Roman" w:eastAsia="宋体" w:cs="Times New Roman"/>
                <w:color w:val="auto"/>
                <w:sz w:val="24"/>
                <w:szCs w:val="24"/>
                <w:highlight w:val="none"/>
              </w:rPr>
              <w:t>处理后</w:t>
            </w:r>
            <w:r>
              <w:rPr>
                <w:rFonts w:hint="eastAsia" w:cs="Times New Roman"/>
                <w:color w:val="auto"/>
                <w:sz w:val="24"/>
                <w:szCs w:val="24"/>
                <w:highlight w:val="none"/>
                <w:lang w:val="en-US" w:eastAsia="zh-CN"/>
              </w:rPr>
              <w:t>会</w:t>
            </w:r>
            <w:r>
              <w:rPr>
                <w:rFonts w:hint="default" w:ascii="Times New Roman" w:hAnsi="Times New Roman" w:eastAsia="宋体" w:cs="Times New Roman"/>
                <w:color w:val="auto"/>
                <w:sz w:val="24"/>
                <w:szCs w:val="24"/>
                <w:highlight w:val="none"/>
              </w:rPr>
              <w:t>产生废活性炭，对照《国家危险废物名录》（202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年版）</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属于危险废物（</w:t>
            </w:r>
            <w:r>
              <w:rPr>
                <w:rFonts w:hint="default" w:ascii="Times New Roman" w:hAnsi="Times New Roman" w:eastAsia="宋体" w:cs="Times New Roman"/>
                <w:color w:val="auto"/>
                <w:kern w:val="0"/>
                <w:sz w:val="24"/>
                <w:szCs w:val="24"/>
                <w:highlight w:val="none"/>
                <w:lang w:val="en-US" w:eastAsia="zh-CN" w:bidi="ar"/>
              </w:rPr>
              <w:t>HW</w:t>
            </w:r>
            <w:r>
              <w:rPr>
                <w:rFonts w:hint="eastAsia" w:cs="Times New Roman"/>
                <w:color w:val="auto"/>
                <w:kern w:val="0"/>
                <w:sz w:val="24"/>
                <w:szCs w:val="24"/>
                <w:highlight w:val="none"/>
                <w:lang w:val="en-US" w:eastAsia="zh-CN" w:bidi="ar"/>
              </w:rPr>
              <w:t>49其他废物</w:t>
            </w:r>
            <w:r>
              <w:rPr>
                <w:rFonts w:hint="default" w:ascii="Times New Roman" w:hAnsi="Times New Roman" w:eastAsia="Times New Roman" w:cs="Times New Roman"/>
                <w:color w:val="auto"/>
                <w:sz w:val="24"/>
                <w:szCs w:val="24"/>
                <w:highlight w:val="none"/>
              </w:rPr>
              <w:t>900-0</w:t>
            </w:r>
            <w:r>
              <w:rPr>
                <w:rFonts w:hint="eastAsia" w:eastAsia="宋体" w:cs="Times New Roman"/>
                <w:color w:val="auto"/>
                <w:sz w:val="24"/>
                <w:szCs w:val="24"/>
                <w:highlight w:val="none"/>
                <w:lang w:val="en-US" w:eastAsia="zh-CN"/>
              </w:rPr>
              <w:t>39</w:t>
            </w:r>
            <w:r>
              <w:rPr>
                <w:rFonts w:hint="default" w:ascii="Times New Roman" w:hAnsi="Times New Roman" w:eastAsia="Times New Roman" w:cs="Times New Roman"/>
                <w:color w:val="auto"/>
                <w:sz w:val="24"/>
                <w:szCs w:val="24"/>
                <w:highlight w:val="none"/>
              </w:rPr>
              <w:t>-49</w:t>
            </w:r>
            <w:r>
              <w:rPr>
                <w:rFonts w:hint="eastAsia" w:cs="Times New Roman"/>
                <w:color w:val="auto"/>
                <w:sz w:val="24"/>
                <w:szCs w:val="24"/>
                <w:highlight w:val="none"/>
                <w:lang w:val="en-US" w:eastAsia="zh-CN"/>
              </w:rPr>
              <w:t>）。</w:t>
            </w:r>
          </w:p>
          <w:p w14:paraId="5753AD3B">
            <w:pPr>
              <w:pStyle w:val="203"/>
              <w:keepNext w:val="0"/>
              <w:keepLines w:val="0"/>
              <w:pageBreakBefore w:val="0"/>
              <w:widowControl w:val="0"/>
              <w:suppressLineNumbers w:val="0"/>
              <w:tabs>
                <w:tab w:val="left" w:pos="1304"/>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olor w:val="auto"/>
                <w:sz w:val="24"/>
                <w:szCs w:val="22"/>
                <w:highlight w:val="none"/>
              </w:rPr>
            </w:pPr>
            <w:r>
              <w:rPr>
                <w:rFonts w:hint="eastAsia" w:cs="Times New Roman"/>
                <w:color w:val="auto"/>
                <w:sz w:val="24"/>
                <w:szCs w:val="24"/>
                <w:highlight w:val="none"/>
                <w:lang w:val="en-US" w:eastAsia="zh-CN"/>
              </w:rPr>
              <w:t>参照</w:t>
            </w:r>
            <w:r>
              <w:rPr>
                <w:rFonts w:hint="default" w:ascii="Times New Roman" w:hAnsi="Times New Roman" w:eastAsia="宋体" w:cs="Times New Roman"/>
                <w:color w:val="auto"/>
                <w:sz w:val="24"/>
                <w:szCs w:val="24"/>
                <w:highlight w:val="none"/>
                <w:lang w:val="en-US" w:eastAsia="zh-CN"/>
              </w:rPr>
              <w:t>《简明通风设计手册》，活性炭：有机废气=1</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，即1kg的活性炭可以吸附0.</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kg的有机废气，</w:t>
            </w:r>
            <w:r>
              <w:rPr>
                <w:rFonts w:hint="eastAsia" w:cs="Times New Roman"/>
                <w:color w:val="auto"/>
                <w:sz w:val="24"/>
                <w:szCs w:val="24"/>
                <w:highlight w:val="none"/>
                <w:lang w:val="en-US" w:eastAsia="zh-CN"/>
              </w:rPr>
              <w:t>根据前文分析，</w:t>
            </w:r>
            <w:r>
              <w:rPr>
                <w:rFonts w:hint="default" w:ascii="Times New Roman" w:hAnsi="Times New Roman" w:eastAsia="宋体" w:cs="Times New Roman"/>
                <w:color w:val="auto"/>
                <w:sz w:val="24"/>
                <w:szCs w:val="24"/>
                <w:highlight w:val="none"/>
                <w:lang w:val="en-US" w:eastAsia="zh-CN"/>
              </w:rPr>
              <w:t>活性炭吸附装置吸附有机废气量总计为</w:t>
            </w:r>
            <w:r>
              <w:rPr>
                <w:rFonts w:hint="eastAsia" w:cs="Times New Roman"/>
                <w:color w:val="auto"/>
                <w:sz w:val="24"/>
                <w:szCs w:val="24"/>
                <w:highlight w:val="none"/>
                <w:lang w:val="en-US" w:eastAsia="zh-CN"/>
              </w:rPr>
              <w:t>0.865</w:t>
            </w:r>
            <w:r>
              <w:rPr>
                <w:rFonts w:hint="default" w:ascii="Times New Roman" w:hAnsi="Times New Roman" w:eastAsia="宋体" w:cs="Times New Roman"/>
                <w:color w:val="auto"/>
                <w:sz w:val="24"/>
                <w:szCs w:val="24"/>
                <w:highlight w:val="none"/>
                <w:lang w:val="en-US" w:eastAsia="zh-CN"/>
              </w:rPr>
              <w:t>t/a，则所需活性炭量为</w:t>
            </w:r>
            <w:r>
              <w:rPr>
                <w:rFonts w:hint="eastAsia" w:cs="Times New Roman"/>
                <w:color w:val="auto"/>
                <w:sz w:val="24"/>
                <w:szCs w:val="24"/>
                <w:highlight w:val="none"/>
                <w:lang w:val="en-US" w:eastAsia="zh-CN"/>
              </w:rPr>
              <w:t>0.865/</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3.46</w:t>
            </w:r>
            <w:r>
              <w:rPr>
                <w:rFonts w:hint="default" w:ascii="Times New Roman" w:hAnsi="Times New Roman" w:eastAsia="宋体" w:cs="Times New Roman"/>
                <w:color w:val="auto"/>
                <w:sz w:val="24"/>
                <w:szCs w:val="24"/>
                <w:highlight w:val="none"/>
                <w:lang w:val="en-US" w:eastAsia="zh-CN"/>
              </w:rPr>
              <w:t>t/a。废活性炭产生量为</w:t>
            </w:r>
            <w:r>
              <w:rPr>
                <w:rFonts w:hint="eastAsia" w:cs="Times New Roman"/>
                <w:color w:val="auto"/>
                <w:sz w:val="24"/>
                <w:szCs w:val="24"/>
                <w:highlight w:val="none"/>
                <w:lang w:val="en-US" w:eastAsia="zh-CN"/>
              </w:rPr>
              <w:t>4.325</w:t>
            </w:r>
            <w:r>
              <w:rPr>
                <w:rFonts w:hint="default" w:ascii="Times New Roman" w:hAnsi="Times New Roman" w:eastAsia="宋体" w:cs="Times New Roman"/>
                <w:color w:val="auto"/>
                <w:sz w:val="24"/>
                <w:szCs w:val="24"/>
                <w:highlight w:val="none"/>
                <w:lang w:val="en-US" w:eastAsia="zh-CN"/>
              </w:rPr>
              <w:t>t/a（含吸附的有机废气量</w:t>
            </w:r>
            <w:r>
              <w:rPr>
                <w:rFonts w:hint="eastAsia" w:cs="Times New Roman"/>
                <w:color w:val="auto"/>
                <w:sz w:val="24"/>
                <w:szCs w:val="24"/>
                <w:highlight w:val="none"/>
                <w:lang w:val="en-US" w:eastAsia="zh-CN"/>
              </w:rPr>
              <w:t>0.865</w:t>
            </w:r>
            <w:r>
              <w:rPr>
                <w:rFonts w:hint="default" w:ascii="Times New Roman" w:hAnsi="Times New Roman" w:eastAsia="宋体" w:cs="Times New Roman"/>
                <w:color w:val="auto"/>
                <w:sz w:val="24"/>
                <w:szCs w:val="24"/>
                <w:highlight w:val="none"/>
                <w:lang w:val="en-US" w:eastAsia="zh-CN"/>
              </w:rPr>
              <w:t>t/a）。更换的废活性炭属于危险废物，废物类别为HW49，危废代码为900-039-49。</w:t>
            </w:r>
            <w:r>
              <w:rPr>
                <w:rFonts w:hint="eastAsia" w:cs="Times New Roman"/>
                <w:color w:val="auto"/>
                <w:sz w:val="24"/>
                <w:szCs w:val="24"/>
                <w:highlight w:val="none"/>
                <w:lang w:val="en-US" w:eastAsia="zh-CN"/>
              </w:rPr>
              <w:t>收集后</w:t>
            </w:r>
            <w:r>
              <w:rPr>
                <w:rFonts w:hint="default" w:ascii="Times New Roman" w:hAnsi="Times New Roman" w:eastAsia="宋体" w:cs="Times New Roman"/>
                <w:color w:val="auto"/>
                <w:kern w:val="0"/>
                <w:sz w:val="24"/>
                <w:szCs w:val="24"/>
                <w:highlight w:val="none"/>
                <w:lang w:val="en-US" w:eastAsia="zh-CN" w:bidi="ar"/>
              </w:rPr>
              <w:t>暂存于危险废物暂存</w:t>
            </w:r>
            <w:r>
              <w:rPr>
                <w:rFonts w:hint="eastAsia" w:cs="Times New Roman"/>
                <w:color w:val="auto"/>
                <w:kern w:val="0"/>
                <w:sz w:val="24"/>
                <w:szCs w:val="24"/>
                <w:highlight w:val="none"/>
                <w:lang w:val="en-US" w:eastAsia="zh-CN" w:bidi="ar"/>
              </w:rPr>
              <w:t>库</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定期</w:t>
            </w:r>
            <w:r>
              <w:rPr>
                <w:rFonts w:hint="default" w:ascii="Times New Roman" w:hAnsi="Times New Roman" w:eastAsia="宋体" w:cs="Times New Roman"/>
                <w:color w:val="auto"/>
                <w:sz w:val="24"/>
                <w:szCs w:val="24"/>
                <w:highlight w:val="none"/>
                <w:lang w:val="en-US" w:eastAsia="zh-CN"/>
              </w:rPr>
              <w:t>交由有资质的单位处置。</w:t>
            </w:r>
          </w:p>
          <w:p w14:paraId="0F1E698B">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本项目固体废物产生和处置措施见</w:t>
            </w:r>
            <w:r>
              <w:rPr>
                <w:rFonts w:hint="eastAsia" w:cs="Times New Roman"/>
                <w:color w:val="auto"/>
                <w:sz w:val="24"/>
                <w:szCs w:val="24"/>
                <w:highlight w:val="none"/>
                <w:lang w:eastAsia="zh-CN"/>
              </w:rPr>
              <w:t>下</w:t>
            </w:r>
            <w:r>
              <w:rPr>
                <w:rFonts w:hint="default" w:ascii="Times New Roman" w:hAnsi="Times New Roman" w:eastAsia="宋体" w:cs="Times New Roman"/>
                <w:color w:val="auto"/>
                <w:sz w:val="24"/>
                <w:szCs w:val="24"/>
                <w:highlight w:val="none"/>
              </w:rPr>
              <w:t>表。</w:t>
            </w:r>
          </w:p>
          <w:p w14:paraId="597285DA">
            <w:pPr>
              <w:keepNext w:val="0"/>
              <w:keepLines w:val="0"/>
              <w:suppressLineNumbers w:val="0"/>
              <w:tabs>
                <w:tab w:val="left" w:pos="4000"/>
              </w:tabs>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val="0"/>
                <w:color w:val="auto"/>
                <w:sz w:val="21"/>
                <w:szCs w:val="22"/>
                <w:highlight w:val="none"/>
                <w:lang w:eastAsia="zh-CN"/>
              </w:rPr>
              <w:t>表</w:t>
            </w:r>
            <w:r>
              <w:rPr>
                <w:rFonts w:hint="default" w:ascii="Times New Roman" w:hAnsi="Times New Roman" w:eastAsia="宋体" w:cs="Times New Roman"/>
                <w:b/>
                <w:bCs w:val="0"/>
                <w:color w:val="auto"/>
                <w:sz w:val="21"/>
                <w:szCs w:val="22"/>
                <w:highlight w:val="none"/>
                <w:lang w:val="en-US" w:eastAsia="zh-CN"/>
              </w:rPr>
              <w:t>4-</w:t>
            </w:r>
            <w:r>
              <w:rPr>
                <w:rFonts w:hint="eastAsia" w:cs="Times New Roman"/>
                <w:b/>
                <w:bCs w:val="0"/>
                <w:color w:val="auto"/>
                <w:sz w:val="21"/>
                <w:szCs w:val="22"/>
                <w:highlight w:val="none"/>
                <w:lang w:val="en-US" w:eastAsia="zh-CN"/>
              </w:rPr>
              <w:t>15</w:t>
            </w:r>
            <w:r>
              <w:rPr>
                <w:rFonts w:hint="default" w:ascii="Times New Roman" w:hAnsi="Times New Roman" w:eastAsia="宋体" w:cs="Times New Roman"/>
                <w:b/>
                <w:bCs w:val="0"/>
                <w:color w:val="auto"/>
                <w:sz w:val="21"/>
                <w:szCs w:val="22"/>
                <w:highlight w:val="none"/>
                <w:lang w:val="en-US" w:eastAsia="zh-CN"/>
              </w:rPr>
              <w:t xml:space="preserve"> </w:t>
            </w:r>
            <w:r>
              <w:rPr>
                <w:rFonts w:hint="default" w:ascii="Times New Roman" w:hAnsi="Times New Roman" w:eastAsia="宋体" w:cs="Times New Roman"/>
                <w:b/>
                <w:bCs w:val="0"/>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固体废物产生量、处置措施表</w:t>
            </w:r>
          </w:p>
          <w:tbl>
            <w:tblPr>
              <w:tblStyle w:val="39"/>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7"/>
              <w:gridCol w:w="1051"/>
              <w:gridCol w:w="1745"/>
              <w:gridCol w:w="643"/>
              <w:gridCol w:w="643"/>
              <w:gridCol w:w="1435"/>
              <w:gridCol w:w="665"/>
              <w:gridCol w:w="1833"/>
            </w:tblGrid>
            <w:tr w14:paraId="57160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7" w:type="pct"/>
                  <w:tcBorders>
                    <w:tl2br w:val="nil"/>
                    <w:tr2bl w:val="nil"/>
                  </w:tcBorders>
                  <w:noWrap w:val="0"/>
                  <w:vAlign w:val="center"/>
                </w:tcPr>
                <w:p w14:paraId="57963A5C">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623" w:type="pct"/>
                  <w:tcBorders>
                    <w:tl2br w:val="nil"/>
                    <w:tr2bl w:val="nil"/>
                  </w:tcBorders>
                  <w:noWrap w:val="0"/>
                  <w:vAlign w:val="center"/>
                </w:tcPr>
                <w:p w14:paraId="561DF2B9">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产污环节</w:t>
                  </w:r>
                </w:p>
              </w:tc>
              <w:tc>
                <w:tcPr>
                  <w:tcW w:w="1034" w:type="pct"/>
                  <w:tcBorders>
                    <w:tl2br w:val="nil"/>
                    <w:tr2bl w:val="nil"/>
                  </w:tcBorders>
                  <w:noWrap w:val="0"/>
                  <w:vAlign w:val="center"/>
                </w:tcPr>
                <w:p w14:paraId="7BFB62B2">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381" w:type="pct"/>
                  <w:tcBorders>
                    <w:tl2br w:val="nil"/>
                    <w:tr2bl w:val="nil"/>
                  </w:tcBorders>
                  <w:noWrap w:val="0"/>
                  <w:vAlign w:val="center"/>
                </w:tcPr>
                <w:p w14:paraId="67D73551">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危险特性</w:t>
                  </w:r>
                </w:p>
              </w:tc>
              <w:tc>
                <w:tcPr>
                  <w:tcW w:w="381" w:type="pct"/>
                  <w:tcBorders>
                    <w:tl2br w:val="nil"/>
                    <w:tr2bl w:val="nil"/>
                  </w:tcBorders>
                  <w:noWrap w:val="0"/>
                  <w:vAlign w:val="center"/>
                </w:tcPr>
                <w:p w14:paraId="577856CF">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形态</w:t>
                  </w:r>
                </w:p>
              </w:tc>
              <w:tc>
                <w:tcPr>
                  <w:tcW w:w="850" w:type="pct"/>
                  <w:tcBorders>
                    <w:tl2br w:val="nil"/>
                    <w:tr2bl w:val="nil"/>
                  </w:tcBorders>
                  <w:noWrap w:val="0"/>
                  <w:vAlign w:val="center"/>
                </w:tcPr>
                <w:p w14:paraId="10B1A294">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主要成分</w:t>
                  </w:r>
                </w:p>
              </w:tc>
              <w:tc>
                <w:tcPr>
                  <w:tcW w:w="394" w:type="pct"/>
                  <w:tcBorders>
                    <w:tl2br w:val="nil"/>
                    <w:tr2bl w:val="nil"/>
                  </w:tcBorders>
                  <w:noWrap w:val="0"/>
                  <w:vAlign w:val="center"/>
                </w:tcPr>
                <w:p w14:paraId="15599E9D">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p>
                <w:p w14:paraId="756CD222">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（t/a）</w:t>
                  </w:r>
                </w:p>
              </w:tc>
              <w:tc>
                <w:tcPr>
                  <w:tcW w:w="1086" w:type="pct"/>
                  <w:tcBorders>
                    <w:tl2br w:val="nil"/>
                    <w:tr2bl w:val="nil"/>
                  </w:tcBorders>
                  <w:noWrap w:val="0"/>
                  <w:vAlign w:val="center"/>
                </w:tcPr>
                <w:p w14:paraId="46C7B1DB">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处置措施</w:t>
                  </w:r>
                </w:p>
              </w:tc>
            </w:tr>
            <w:tr w14:paraId="334E7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7" w:type="pct"/>
                  <w:tcBorders>
                    <w:tl2br w:val="nil"/>
                    <w:tr2bl w:val="nil"/>
                  </w:tcBorders>
                  <w:noWrap w:val="0"/>
                  <w:vAlign w:val="center"/>
                </w:tcPr>
                <w:p w14:paraId="16D3AB4A">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23" w:type="pct"/>
                  <w:tcBorders>
                    <w:tl2br w:val="nil"/>
                    <w:tr2bl w:val="nil"/>
                  </w:tcBorders>
                  <w:noWrap w:val="0"/>
                  <w:vAlign w:val="center"/>
                </w:tcPr>
                <w:p w14:paraId="10275524">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员工生活</w:t>
                  </w:r>
                </w:p>
              </w:tc>
              <w:tc>
                <w:tcPr>
                  <w:tcW w:w="1034" w:type="pct"/>
                  <w:tcBorders>
                    <w:tl2br w:val="nil"/>
                    <w:tr2bl w:val="nil"/>
                  </w:tcBorders>
                  <w:noWrap w:val="0"/>
                  <w:vAlign w:val="center"/>
                </w:tcPr>
                <w:p w14:paraId="62A76634">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381" w:type="pct"/>
                  <w:tcBorders>
                    <w:tl2br w:val="nil"/>
                    <w:tr2bl w:val="nil"/>
                  </w:tcBorders>
                  <w:noWrap w:val="0"/>
                  <w:vAlign w:val="center"/>
                </w:tcPr>
                <w:p w14:paraId="51DD3AB8">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81" w:type="pct"/>
                  <w:tcBorders>
                    <w:tl2br w:val="nil"/>
                    <w:tr2bl w:val="nil"/>
                  </w:tcBorders>
                  <w:noWrap w:val="0"/>
                  <w:vAlign w:val="center"/>
                </w:tcPr>
                <w:p w14:paraId="3BDAA874">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固态</w:t>
                  </w:r>
                </w:p>
              </w:tc>
              <w:tc>
                <w:tcPr>
                  <w:tcW w:w="850" w:type="pct"/>
                  <w:tcBorders>
                    <w:tl2br w:val="nil"/>
                    <w:tr2bl w:val="nil"/>
                  </w:tcBorders>
                  <w:noWrap w:val="0"/>
                  <w:vAlign w:val="center"/>
                </w:tcPr>
                <w:p w14:paraId="0EEDBAD8">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纸张、塑料袋等</w:t>
                  </w:r>
                </w:p>
              </w:tc>
              <w:tc>
                <w:tcPr>
                  <w:tcW w:w="394" w:type="pct"/>
                  <w:tcBorders>
                    <w:tl2br w:val="nil"/>
                    <w:tr2bl w:val="nil"/>
                  </w:tcBorders>
                  <w:noWrap w:val="0"/>
                  <w:vAlign w:val="center"/>
                </w:tcPr>
                <w:p w14:paraId="49387457">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6.5</w:t>
                  </w:r>
                </w:p>
              </w:tc>
              <w:tc>
                <w:tcPr>
                  <w:tcW w:w="1086" w:type="pct"/>
                  <w:tcBorders>
                    <w:tl2br w:val="nil"/>
                    <w:tr2bl w:val="nil"/>
                  </w:tcBorders>
                  <w:noWrap w:val="0"/>
                  <w:vAlign w:val="center"/>
                </w:tcPr>
                <w:p w14:paraId="5BA3727F">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统一收集后，由环卫部门统一清运</w:t>
                  </w:r>
                </w:p>
              </w:tc>
            </w:tr>
            <w:tr w14:paraId="41F7B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7" w:type="pct"/>
                  <w:vMerge w:val="restart"/>
                  <w:tcBorders>
                    <w:tl2br w:val="nil"/>
                    <w:tr2bl w:val="nil"/>
                  </w:tcBorders>
                  <w:noWrap w:val="0"/>
                  <w:vAlign w:val="center"/>
                </w:tcPr>
                <w:p w14:paraId="1AD5B042">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tc>
              <w:tc>
                <w:tcPr>
                  <w:tcW w:w="623" w:type="pct"/>
                  <w:tcBorders>
                    <w:tl2br w:val="nil"/>
                    <w:tr2bl w:val="nil"/>
                  </w:tcBorders>
                  <w:noWrap w:val="0"/>
                  <w:vAlign w:val="center"/>
                </w:tcPr>
                <w:p w14:paraId="57479D0F">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修边、检验</w:t>
                  </w:r>
                </w:p>
              </w:tc>
              <w:tc>
                <w:tcPr>
                  <w:tcW w:w="1034" w:type="pct"/>
                  <w:tcBorders>
                    <w:tl2br w:val="nil"/>
                    <w:tr2bl w:val="nil"/>
                  </w:tcBorders>
                  <w:noWrap w:val="0"/>
                  <w:vAlign w:val="center"/>
                </w:tcPr>
                <w:p w14:paraId="589F0E80">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PVC</w:t>
                  </w:r>
                  <w:r>
                    <w:rPr>
                      <w:rFonts w:hint="default" w:ascii="Times New Roman" w:hAnsi="Times New Roman" w:eastAsia="宋体" w:cs="Times New Roman"/>
                      <w:color w:val="auto"/>
                      <w:sz w:val="21"/>
                      <w:szCs w:val="21"/>
                      <w:highlight w:val="none"/>
                    </w:rPr>
                    <w:t>边角料</w:t>
                  </w:r>
                  <w:r>
                    <w:rPr>
                      <w:rFonts w:hint="eastAsia" w:ascii="Times New Roman" w:hAnsi="Times New Roman" w:eastAsia="宋体" w:cs="Times New Roman"/>
                      <w:color w:val="auto"/>
                      <w:sz w:val="21"/>
                      <w:szCs w:val="21"/>
                      <w:highlight w:val="none"/>
                      <w:lang w:val="en-US" w:eastAsia="zh-CN"/>
                    </w:rPr>
                    <w:t>和不合格品</w:t>
                  </w:r>
                </w:p>
                <w:p w14:paraId="2A3EC585">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900-003-S17</w:t>
                  </w:r>
                </w:p>
              </w:tc>
              <w:tc>
                <w:tcPr>
                  <w:tcW w:w="381" w:type="pct"/>
                  <w:tcBorders>
                    <w:tl2br w:val="nil"/>
                    <w:tr2bl w:val="nil"/>
                  </w:tcBorders>
                  <w:noWrap w:val="0"/>
                  <w:vAlign w:val="center"/>
                </w:tcPr>
                <w:p w14:paraId="4604B9E8">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81" w:type="pct"/>
                  <w:tcBorders>
                    <w:tl2br w:val="nil"/>
                    <w:tr2bl w:val="nil"/>
                  </w:tcBorders>
                  <w:noWrap w:val="0"/>
                  <w:vAlign w:val="center"/>
                </w:tcPr>
                <w:p w14:paraId="73499547">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固态</w:t>
                  </w:r>
                </w:p>
              </w:tc>
              <w:tc>
                <w:tcPr>
                  <w:tcW w:w="850" w:type="pct"/>
                  <w:tcBorders>
                    <w:tl2br w:val="nil"/>
                    <w:tr2bl w:val="nil"/>
                  </w:tcBorders>
                  <w:noWrap w:val="0"/>
                  <w:vAlign w:val="center"/>
                </w:tcPr>
                <w:p w14:paraId="0AF39329">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PVC树脂</w:t>
                  </w:r>
                </w:p>
              </w:tc>
              <w:tc>
                <w:tcPr>
                  <w:tcW w:w="394" w:type="pct"/>
                  <w:tcBorders>
                    <w:tl2br w:val="nil"/>
                    <w:tr2bl w:val="nil"/>
                  </w:tcBorders>
                  <w:noWrap w:val="0"/>
                  <w:vAlign w:val="center"/>
                </w:tcPr>
                <w:p w14:paraId="736A15B1">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2.715</w:t>
                  </w:r>
                </w:p>
              </w:tc>
              <w:tc>
                <w:tcPr>
                  <w:tcW w:w="1086" w:type="pct"/>
                  <w:tcBorders>
                    <w:tl2br w:val="nil"/>
                    <w:tr2bl w:val="nil"/>
                  </w:tcBorders>
                  <w:noWrap w:val="0"/>
                  <w:vAlign w:val="center"/>
                </w:tcPr>
                <w:p w14:paraId="27B31EB0">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粉碎后</w:t>
                  </w:r>
                  <w:r>
                    <w:rPr>
                      <w:rFonts w:hint="default" w:ascii="Times New Roman" w:hAnsi="Times New Roman" w:eastAsia="宋体" w:cs="Times New Roman"/>
                      <w:color w:val="auto"/>
                      <w:sz w:val="21"/>
                      <w:szCs w:val="21"/>
                      <w:highlight w:val="none"/>
                    </w:rPr>
                    <w:t>回收利用</w:t>
                  </w:r>
                </w:p>
              </w:tc>
            </w:tr>
            <w:tr w14:paraId="72071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7" w:type="pct"/>
                  <w:vMerge w:val="continue"/>
                  <w:tcBorders>
                    <w:tl2br w:val="nil"/>
                    <w:tr2bl w:val="nil"/>
                  </w:tcBorders>
                  <w:noWrap w:val="0"/>
                  <w:vAlign w:val="center"/>
                </w:tcPr>
                <w:p w14:paraId="466637C0">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23" w:type="pct"/>
                  <w:tcBorders>
                    <w:tl2br w:val="nil"/>
                    <w:tr2bl w:val="nil"/>
                  </w:tcBorders>
                  <w:noWrap w:val="0"/>
                  <w:vAlign w:val="center"/>
                </w:tcPr>
                <w:p w14:paraId="43A4C83F">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修边、检验</w:t>
                  </w:r>
                </w:p>
              </w:tc>
              <w:tc>
                <w:tcPr>
                  <w:tcW w:w="1034" w:type="pct"/>
                  <w:tcBorders>
                    <w:tl2br w:val="nil"/>
                    <w:tr2bl w:val="nil"/>
                  </w:tcBorders>
                  <w:noWrap w:val="0"/>
                  <w:vAlign w:val="center"/>
                </w:tcPr>
                <w:p w14:paraId="14610EEC">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w:t>
                  </w:r>
                  <w:r>
                    <w:rPr>
                      <w:rFonts w:hint="eastAsia" w:ascii="Times New Roman" w:hAnsi="Times New Roman" w:cs="Times New Roman"/>
                      <w:color w:val="auto"/>
                      <w:sz w:val="21"/>
                      <w:szCs w:val="21"/>
                      <w:highlight w:val="none"/>
                      <w:lang w:val="en-US" w:eastAsia="zh-CN"/>
                    </w:rPr>
                    <w:t>U</w:t>
                  </w:r>
                  <w:r>
                    <w:rPr>
                      <w:rFonts w:hint="default" w:ascii="Times New Roman" w:hAnsi="Times New Roman" w:eastAsia="宋体" w:cs="Times New Roman"/>
                      <w:color w:val="auto"/>
                      <w:sz w:val="21"/>
                      <w:szCs w:val="21"/>
                      <w:highlight w:val="none"/>
                      <w:lang w:val="en-US" w:eastAsia="zh-CN"/>
                    </w:rPr>
                    <w:t>边角料</w:t>
                  </w:r>
                  <w:r>
                    <w:rPr>
                      <w:rFonts w:hint="eastAsia" w:ascii="Times New Roman" w:hAnsi="Times New Roman" w:eastAsia="宋体" w:cs="Times New Roman"/>
                      <w:color w:val="auto"/>
                      <w:sz w:val="21"/>
                      <w:szCs w:val="21"/>
                      <w:highlight w:val="none"/>
                      <w:lang w:val="en-US" w:eastAsia="zh-CN"/>
                    </w:rPr>
                    <w:t>和不合格品</w:t>
                  </w:r>
                </w:p>
                <w:p w14:paraId="7CD695A6">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900-003-S17</w:t>
                  </w:r>
                </w:p>
              </w:tc>
              <w:tc>
                <w:tcPr>
                  <w:tcW w:w="381" w:type="pct"/>
                  <w:tcBorders>
                    <w:tl2br w:val="nil"/>
                    <w:tr2bl w:val="nil"/>
                  </w:tcBorders>
                  <w:noWrap w:val="0"/>
                  <w:vAlign w:val="center"/>
                </w:tcPr>
                <w:p w14:paraId="74BCF294">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81" w:type="pct"/>
                  <w:tcBorders>
                    <w:tl2br w:val="nil"/>
                    <w:tr2bl w:val="nil"/>
                  </w:tcBorders>
                  <w:noWrap w:val="0"/>
                  <w:vAlign w:val="center"/>
                </w:tcPr>
                <w:p w14:paraId="7BBCA90D">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固态</w:t>
                  </w:r>
                </w:p>
              </w:tc>
              <w:tc>
                <w:tcPr>
                  <w:tcW w:w="850" w:type="pct"/>
                  <w:tcBorders>
                    <w:tl2br w:val="nil"/>
                    <w:tr2bl w:val="nil"/>
                  </w:tcBorders>
                  <w:noWrap w:val="0"/>
                  <w:vAlign w:val="center"/>
                </w:tcPr>
                <w:p w14:paraId="693F8E7D">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PU树脂</w:t>
                  </w:r>
                </w:p>
              </w:tc>
              <w:tc>
                <w:tcPr>
                  <w:tcW w:w="394" w:type="pct"/>
                  <w:tcBorders>
                    <w:tl2br w:val="nil"/>
                    <w:tr2bl w:val="nil"/>
                  </w:tcBorders>
                  <w:noWrap w:val="0"/>
                  <w:vAlign w:val="center"/>
                </w:tcPr>
                <w:p w14:paraId="0AC5843D">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2.715</w:t>
                  </w:r>
                </w:p>
              </w:tc>
              <w:tc>
                <w:tcPr>
                  <w:tcW w:w="1086" w:type="pct"/>
                  <w:tcBorders>
                    <w:tl2br w:val="nil"/>
                    <w:tr2bl w:val="nil"/>
                  </w:tcBorders>
                  <w:noWrap w:val="0"/>
                  <w:vAlign w:val="center"/>
                </w:tcPr>
                <w:p w14:paraId="6424C3DF">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外售物资部门回收利用</w:t>
                  </w:r>
                </w:p>
              </w:tc>
            </w:tr>
            <w:tr w14:paraId="3A8E0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7" w:type="pct"/>
                  <w:vMerge w:val="continue"/>
                  <w:tcBorders>
                    <w:tl2br w:val="nil"/>
                    <w:tr2bl w:val="nil"/>
                  </w:tcBorders>
                  <w:noWrap w:val="0"/>
                  <w:vAlign w:val="center"/>
                </w:tcPr>
                <w:p w14:paraId="58439205">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23" w:type="pct"/>
                  <w:tcBorders>
                    <w:tl2br w:val="nil"/>
                    <w:tr2bl w:val="nil"/>
                  </w:tcBorders>
                  <w:noWrap w:val="0"/>
                  <w:vAlign w:val="center"/>
                </w:tcPr>
                <w:p w14:paraId="4FCDC537">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裁剪缝制、检验</w:t>
                  </w:r>
                </w:p>
              </w:tc>
              <w:tc>
                <w:tcPr>
                  <w:tcW w:w="1034" w:type="pct"/>
                  <w:tcBorders>
                    <w:tl2br w:val="nil"/>
                    <w:tr2bl w:val="nil"/>
                  </w:tcBorders>
                  <w:noWrap w:val="0"/>
                  <w:vAlign w:val="center"/>
                </w:tcPr>
                <w:p w14:paraId="225D1838">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皮布边角料和不合格品</w:t>
                  </w:r>
                </w:p>
                <w:p w14:paraId="2E04E9E8">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900-007-S17</w:t>
                  </w:r>
                </w:p>
              </w:tc>
              <w:tc>
                <w:tcPr>
                  <w:tcW w:w="381" w:type="pct"/>
                  <w:tcBorders>
                    <w:tl2br w:val="nil"/>
                    <w:tr2bl w:val="nil"/>
                  </w:tcBorders>
                  <w:noWrap w:val="0"/>
                  <w:vAlign w:val="center"/>
                </w:tcPr>
                <w:p w14:paraId="30B7B8B0">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81" w:type="pct"/>
                  <w:tcBorders>
                    <w:tl2br w:val="nil"/>
                    <w:tr2bl w:val="nil"/>
                  </w:tcBorders>
                  <w:noWrap w:val="0"/>
                  <w:vAlign w:val="center"/>
                </w:tcPr>
                <w:p w14:paraId="0047F242">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固态</w:t>
                  </w:r>
                </w:p>
              </w:tc>
              <w:tc>
                <w:tcPr>
                  <w:tcW w:w="850" w:type="pct"/>
                  <w:tcBorders>
                    <w:tl2br w:val="nil"/>
                    <w:tr2bl w:val="nil"/>
                  </w:tcBorders>
                  <w:noWrap w:val="0"/>
                  <w:vAlign w:val="center"/>
                </w:tcPr>
                <w:p w14:paraId="0F8DC5A4">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PVC皮革、帆布等</w:t>
                  </w:r>
                </w:p>
              </w:tc>
              <w:tc>
                <w:tcPr>
                  <w:tcW w:w="394" w:type="pct"/>
                  <w:tcBorders>
                    <w:tl2br w:val="nil"/>
                    <w:tr2bl w:val="nil"/>
                  </w:tcBorders>
                  <w:noWrap w:val="0"/>
                  <w:vAlign w:val="center"/>
                </w:tcPr>
                <w:p w14:paraId="64890105">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1086" w:type="pct"/>
                  <w:tcBorders>
                    <w:tl2br w:val="nil"/>
                    <w:tr2bl w:val="nil"/>
                  </w:tcBorders>
                  <w:noWrap w:val="0"/>
                  <w:vAlign w:val="center"/>
                </w:tcPr>
                <w:p w14:paraId="51CD18DB">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外售物资部门回收利用</w:t>
                  </w:r>
                </w:p>
              </w:tc>
            </w:tr>
            <w:tr w14:paraId="5729D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7" w:type="pct"/>
                  <w:vMerge w:val="continue"/>
                  <w:tcBorders>
                    <w:tl2br w:val="nil"/>
                    <w:tr2bl w:val="nil"/>
                  </w:tcBorders>
                  <w:noWrap w:val="0"/>
                  <w:vAlign w:val="center"/>
                </w:tcPr>
                <w:p w14:paraId="5BC95AA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23" w:type="pct"/>
                  <w:tcBorders>
                    <w:tl2br w:val="nil"/>
                    <w:tr2bl w:val="nil"/>
                  </w:tcBorders>
                  <w:noWrap w:val="0"/>
                  <w:vAlign w:val="center"/>
                </w:tcPr>
                <w:p w14:paraId="5FEEE2DA">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w:t>
                  </w:r>
                </w:p>
              </w:tc>
              <w:tc>
                <w:tcPr>
                  <w:tcW w:w="1034" w:type="pct"/>
                  <w:tcBorders>
                    <w:tl2br w:val="nil"/>
                    <w:tr2bl w:val="nil"/>
                  </w:tcBorders>
                  <w:noWrap w:val="0"/>
                  <w:vAlign w:val="center"/>
                </w:tcPr>
                <w:p w14:paraId="3EA8EA24">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除尘灰</w:t>
                  </w:r>
                </w:p>
                <w:p w14:paraId="1AB230F4">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900-0</w:t>
                  </w:r>
                  <w:r>
                    <w:rPr>
                      <w:rFonts w:hint="eastAsia" w:ascii="Times New Roman" w:hAnsi="Times New Roman" w:cs="Times New Roman"/>
                      <w:color w:val="auto"/>
                      <w:sz w:val="21"/>
                      <w:szCs w:val="21"/>
                      <w:highlight w:val="none"/>
                      <w:lang w:val="en-US" w:eastAsia="zh-CN"/>
                    </w:rPr>
                    <w:t>99</w:t>
                  </w:r>
                  <w:r>
                    <w:rPr>
                      <w:rFonts w:hint="eastAsia" w:ascii="Times New Roman" w:hAnsi="Times New Roman" w:eastAsia="宋体" w:cs="Times New Roman"/>
                      <w:color w:val="auto"/>
                      <w:sz w:val="21"/>
                      <w:szCs w:val="21"/>
                      <w:highlight w:val="none"/>
                      <w:lang w:val="en-US" w:eastAsia="zh-CN"/>
                    </w:rPr>
                    <w:t>-S</w:t>
                  </w:r>
                  <w:r>
                    <w:rPr>
                      <w:rFonts w:hint="eastAsia" w:ascii="Times New Roman" w:hAnsi="Times New Roman" w:cs="Times New Roman"/>
                      <w:color w:val="auto"/>
                      <w:sz w:val="21"/>
                      <w:szCs w:val="21"/>
                      <w:highlight w:val="none"/>
                      <w:lang w:val="en-US" w:eastAsia="zh-CN"/>
                    </w:rPr>
                    <w:t>59</w:t>
                  </w:r>
                </w:p>
              </w:tc>
              <w:tc>
                <w:tcPr>
                  <w:tcW w:w="381" w:type="pct"/>
                  <w:tcBorders>
                    <w:tl2br w:val="nil"/>
                    <w:tr2bl w:val="nil"/>
                  </w:tcBorders>
                  <w:noWrap w:val="0"/>
                  <w:vAlign w:val="center"/>
                </w:tcPr>
                <w:p w14:paraId="011A1292">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81" w:type="pct"/>
                  <w:tcBorders>
                    <w:tl2br w:val="nil"/>
                    <w:tr2bl w:val="nil"/>
                  </w:tcBorders>
                  <w:noWrap w:val="0"/>
                  <w:vAlign w:val="center"/>
                </w:tcPr>
                <w:p w14:paraId="4CFC5C6E">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850" w:type="pct"/>
                  <w:tcBorders>
                    <w:tl2br w:val="nil"/>
                    <w:tr2bl w:val="nil"/>
                  </w:tcBorders>
                  <w:noWrap w:val="0"/>
                  <w:vAlign w:val="center"/>
                </w:tcPr>
                <w:p w14:paraId="1F1C61E1">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树脂粉、钙粉</w:t>
                  </w:r>
                </w:p>
              </w:tc>
              <w:tc>
                <w:tcPr>
                  <w:tcW w:w="394" w:type="pct"/>
                  <w:tcBorders>
                    <w:tl2br w:val="nil"/>
                    <w:tr2bl w:val="nil"/>
                  </w:tcBorders>
                  <w:noWrap w:val="0"/>
                  <w:vAlign w:val="center"/>
                </w:tcPr>
                <w:p w14:paraId="4FEC4829">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.461</w:t>
                  </w:r>
                </w:p>
              </w:tc>
              <w:tc>
                <w:tcPr>
                  <w:tcW w:w="1086" w:type="pct"/>
                  <w:tcBorders>
                    <w:tl2br w:val="nil"/>
                    <w:tr2bl w:val="nil"/>
                  </w:tcBorders>
                  <w:noWrap w:val="0"/>
                  <w:vAlign w:val="center"/>
                </w:tcPr>
                <w:p w14:paraId="15D14017">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回收利用</w:t>
                  </w:r>
                </w:p>
              </w:tc>
            </w:tr>
            <w:tr w14:paraId="4B0AF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7" w:type="pct"/>
                  <w:vMerge w:val="continue"/>
                  <w:tcBorders>
                    <w:bottom w:val="single" w:color="auto" w:sz="4" w:space="0"/>
                    <w:tl2br w:val="nil"/>
                    <w:tr2bl w:val="nil"/>
                  </w:tcBorders>
                  <w:noWrap w:val="0"/>
                  <w:vAlign w:val="center"/>
                </w:tcPr>
                <w:p w14:paraId="6708B4BC">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23" w:type="pct"/>
                  <w:tcBorders>
                    <w:tl2br w:val="nil"/>
                    <w:tr2bl w:val="nil"/>
                  </w:tcBorders>
                  <w:noWrap w:val="0"/>
                  <w:vAlign w:val="center"/>
                </w:tcPr>
                <w:p w14:paraId="27FC43A6">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原料拆包</w:t>
                  </w:r>
                </w:p>
              </w:tc>
              <w:tc>
                <w:tcPr>
                  <w:tcW w:w="1034" w:type="pct"/>
                  <w:tcBorders>
                    <w:tl2br w:val="nil"/>
                    <w:tr2bl w:val="nil"/>
                  </w:tcBorders>
                  <w:noWrap w:val="0"/>
                  <w:vAlign w:val="center"/>
                </w:tcPr>
                <w:p w14:paraId="7EF63BFD">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w:t>
                  </w:r>
                  <w:r>
                    <w:rPr>
                      <w:rFonts w:hint="default" w:ascii="Times New Roman" w:hAnsi="Times New Roman" w:eastAsia="宋体" w:cs="Times New Roman"/>
                      <w:color w:val="auto"/>
                      <w:sz w:val="21"/>
                      <w:szCs w:val="21"/>
                      <w:highlight w:val="none"/>
                      <w:lang w:val="en-US" w:eastAsia="zh-CN"/>
                    </w:rPr>
                    <w:t>包装袋</w:t>
                  </w:r>
                </w:p>
                <w:p w14:paraId="2600676D">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900-003-S17</w:t>
                  </w:r>
                </w:p>
              </w:tc>
              <w:tc>
                <w:tcPr>
                  <w:tcW w:w="381" w:type="pct"/>
                  <w:tcBorders>
                    <w:tl2br w:val="nil"/>
                    <w:tr2bl w:val="nil"/>
                  </w:tcBorders>
                  <w:noWrap w:val="0"/>
                  <w:vAlign w:val="center"/>
                </w:tcPr>
                <w:p w14:paraId="76F6A6AF">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w:t>
                  </w:r>
                </w:p>
              </w:tc>
              <w:tc>
                <w:tcPr>
                  <w:tcW w:w="381" w:type="pct"/>
                  <w:tcBorders>
                    <w:tl2br w:val="nil"/>
                    <w:tr2bl w:val="nil"/>
                  </w:tcBorders>
                  <w:noWrap w:val="0"/>
                  <w:vAlign w:val="center"/>
                </w:tcPr>
                <w:p w14:paraId="0069EEEE">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固态</w:t>
                  </w:r>
                </w:p>
              </w:tc>
              <w:tc>
                <w:tcPr>
                  <w:tcW w:w="850" w:type="pct"/>
                  <w:tcBorders>
                    <w:tl2br w:val="nil"/>
                    <w:tr2bl w:val="nil"/>
                  </w:tcBorders>
                  <w:noWrap w:val="0"/>
                  <w:vAlign w:val="center"/>
                </w:tcPr>
                <w:p w14:paraId="187D07FA">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复合袋</w:t>
                  </w:r>
                </w:p>
              </w:tc>
              <w:tc>
                <w:tcPr>
                  <w:tcW w:w="394" w:type="pct"/>
                  <w:tcBorders>
                    <w:tl2br w:val="nil"/>
                    <w:tr2bl w:val="nil"/>
                  </w:tcBorders>
                  <w:noWrap w:val="0"/>
                  <w:vAlign w:val="center"/>
                </w:tcPr>
                <w:p w14:paraId="586111E9">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w:t>
                  </w:r>
                </w:p>
              </w:tc>
              <w:tc>
                <w:tcPr>
                  <w:tcW w:w="1086" w:type="pct"/>
                  <w:tcBorders>
                    <w:tl2br w:val="nil"/>
                    <w:tr2bl w:val="nil"/>
                  </w:tcBorders>
                  <w:noWrap w:val="0"/>
                  <w:vAlign w:val="center"/>
                </w:tcPr>
                <w:p w14:paraId="36AA9D52">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外售物资部门回收利用</w:t>
                  </w:r>
                </w:p>
              </w:tc>
            </w:tr>
            <w:tr w14:paraId="634D6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7" w:type="pct"/>
                  <w:vMerge w:val="restart"/>
                  <w:tcBorders>
                    <w:tl2br w:val="nil"/>
                    <w:tr2bl w:val="nil"/>
                  </w:tcBorders>
                  <w:noWrap w:val="0"/>
                  <w:vAlign w:val="center"/>
                </w:tcPr>
                <w:p w14:paraId="61BEE9F8">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危险固废</w:t>
                  </w:r>
                </w:p>
              </w:tc>
              <w:tc>
                <w:tcPr>
                  <w:tcW w:w="623" w:type="pct"/>
                  <w:tcBorders>
                    <w:tl2br w:val="nil"/>
                    <w:tr2bl w:val="nil"/>
                  </w:tcBorders>
                  <w:noWrap w:val="0"/>
                  <w:vAlign w:val="center"/>
                </w:tcPr>
                <w:p w14:paraId="35ACAB98">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原料拆封</w:t>
                  </w:r>
                </w:p>
              </w:tc>
              <w:tc>
                <w:tcPr>
                  <w:tcW w:w="1034" w:type="pct"/>
                  <w:tcBorders>
                    <w:tl2br w:val="nil"/>
                    <w:tr2bl w:val="nil"/>
                  </w:tcBorders>
                  <w:shd w:val="clear" w:color="auto" w:fill="auto"/>
                  <w:noWrap w:val="0"/>
                  <w:vAlign w:val="center"/>
                </w:tcPr>
                <w:p w14:paraId="66691E6B">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废包装桶</w:t>
                  </w:r>
                </w:p>
                <w:p w14:paraId="631B066F">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HW49</w:t>
                  </w: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900-041-49</w:t>
                  </w:r>
                </w:p>
              </w:tc>
              <w:tc>
                <w:tcPr>
                  <w:tcW w:w="381" w:type="pct"/>
                  <w:tcBorders>
                    <w:tl2br w:val="nil"/>
                    <w:tr2bl w:val="nil"/>
                  </w:tcBorders>
                  <w:shd w:val="clear" w:color="auto" w:fill="auto"/>
                  <w:noWrap w:val="0"/>
                  <w:vAlign w:val="center"/>
                </w:tcPr>
                <w:p w14:paraId="21F3458F">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T/In</w:t>
                  </w:r>
                </w:p>
              </w:tc>
              <w:tc>
                <w:tcPr>
                  <w:tcW w:w="381" w:type="pct"/>
                  <w:tcBorders>
                    <w:tl2br w:val="nil"/>
                    <w:tr2bl w:val="nil"/>
                  </w:tcBorders>
                  <w:shd w:val="clear" w:color="auto" w:fill="auto"/>
                  <w:noWrap w:val="0"/>
                  <w:vAlign w:val="center"/>
                </w:tcPr>
                <w:p w14:paraId="18D020B7">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default" w:ascii="Times New Roman" w:hAnsi="Times New Roman" w:eastAsia="宋体" w:cs="Times New Roman"/>
                      <w:color w:val="auto"/>
                      <w:sz w:val="21"/>
                      <w:szCs w:val="21"/>
                      <w:highlight w:val="none"/>
                      <w:lang w:eastAsia="zh-CN"/>
                    </w:rPr>
                    <w:t>固态</w:t>
                  </w:r>
                </w:p>
              </w:tc>
              <w:tc>
                <w:tcPr>
                  <w:tcW w:w="850" w:type="pct"/>
                  <w:tcBorders>
                    <w:tl2br w:val="nil"/>
                    <w:tr2bl w:val="nil"/>
                  </w:tcBorders>
                  <w:shd w:val="clear" w:color="auto" w:fill="auto"/>
                  <w:noWrap w:val="0"/>
                  <w:vAlign w:val="center"/>
                </w:tcPr>
                <w:p w14:paraId="62F98152">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塑料桶</w:t>
                  </w:r>
                </w:p>
              </w:tc>
              <w:tc>
                <w:tcPr>
                  <w:tcW w:w="394" w:type="pct"/>
                  <w:tcBorders>
                    <w:tl2br w:val="nil"/>
                    <w:tr2bl w:val="nil"/>
                  </w:tcBorders>
                  <w:shd w:val="clear" w:color="auto" w:fill="auto"/>
                  <w:noWrap w:val="0"/>
                  <w:vAlign w:val="center"/>
                </w:tcPr>
                <w:p w14:paraId="3BF36D38">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eastAsia" w:ascii="Times New Roman" w:hAnsi="Times New Roman" w:cs="Times New Roman"/>
                      <w:color w:val="auto"/>
                      <w:kern w:val="0"/>
                      <w:sz w:val="21"/>
                      <w:szCs w:val="21"/>
                      <w:highlight w:val="none"/>
                      <w:lang w:val="en-US" w:eastAsia="zh-CN" w:bidi="zh-CN"/>
                    </w:rPr>
                    <w:t>6.635</w:t>
                  </w:r>
                </w:p>
              </w:tc>
              <w:tc>
                <w:tcPr>
                  <w:tcW w:w="1086" w:type="pct"/>
                  <w:vMerge w:val="restart"/>
                  <w:tcBorders>
                    <w:tl2br w:val="nil"/>
                    <w:tr2bl w:val="nil"/>
                  </w:tcBorders>
                  <w:noWrap w:val="0"/>
                  <w:vAlign w:val="center"/>
                </w:tcPr>
                <w:p w14:paraId="6F501A94">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危废间暂存，</w:t>
                  </w:r>
                  <w:r>
                    <w:rPr>
                      <w:rFonts w:hint="default" w:ascii="Times New Roman" w:hAnsi="Times New Roman" w:eastAsia="宋体" w:cs="Times New Roman"/>
                      <w:color w:val="auto"/>
                      <w:sz w:val="21"/>
                      <w:szCs w:val="21"/>
                      <w:highlight w:val="none"/>
                    </w:rPr>
                    <w:t>定期交由有资质的危废处置单位进行安全处置</w:t>
                  </w:r>
                </w:p>
              </w:tc>
            </w:tr>
            <w:tr w14:paraId="39E5C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7" w:type="pct"/>
                  <w:vMerge w:val="continue"/>
                  <w:tcBorders>
                    <w:tl2br w:val="nil"/>
                    <w:tr2bl w:val="nil"/>
                  </w:tcBorders>
                  <w:noWrap w:val="0"/>
                  <w:vAlign w:val="center"/>
                </w:tcPr>
                <w:p w14:paraId="4083A26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23" w:type="pct"/>
                  <w:tcBorders>
                    <w:tl2br w:val="nil"/>
                    <w:tr2bl w:val="nil"/>
                  </w:tcBorders>
                  <w:noWrap w:val="0"/>
                  <w:vAlign w:val="center"/>
                </w:tcPr>
                <w:p w14:paraId="4F481C8D">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枪头清洗</w:t>
                  </w:r>
                </w:p>
              </w:tc>
              <w:tc>
                <w:tcPr>
                  <w:tcW w:w="1034" w:type="pct"/>
                  <w:tcBorders>
                    <w:tl2br w:val="nil"/>
                    <w:tr2bl w:val="nil"/>
                  </w:tcBorders>
                  <w:noWrap w:val="0"/>
                  <w:vAlign w:val="center"/>
                </w:tcPr>
                <w:p w14:paraId="567738E9">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清洗废液</w:t>
                  </w:r>
                </w:p>
                <w:p w14:paraId="5AA44014">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w:t>
                  </w:r>
                  <w:r>
                    <w:rPr>
                      <w:rFonts w:hint="eastAsia"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 xml:space="preserve">6 </w:t>
                  </w:r>
                  <w:r>
                    <w:rPr>
                      <w:rFonts w:hint="default" w:ascii="Times New Roman" w:hAnsi="Times New Roman" w:eastAsia="宋体" w:cs="Times New Roman"/>
                      <w:color w:val="auto"/>
                      <w:sz w:val="21"/>
                      <w:szCs w:val="21"/>
                      <w:highlight w:val="none"/>
                      <w:lang w:val="en-US" w:eastAsia="zh-CN"/>
                    </w:rPr>
                    <w:t>900-04</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06</w:t>
                  </w:r>
                </w:p>
              </w:tc>
              <w:tc>
                <w:tcPr>
                  <w:tcW w:w="381" w:type="pct"/>
                  <w:tcBorders>
                    <w:tl2br w:val="nil"/>
                    <w:tr2bl w:val="nil"/>
                  </w:tcBorders>
                  <w:noWrap w:val="0"/>
                  <w:vAlign w:val="center"/>
                </w:tcPr>
                <w:p w14:paraId="3A616613">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zh-CN"/>
                    </w:rPr>
                    <w:t>T,I</w:t>
                  </w:r>
                  <w:r>
                    <w:rPr>
                      <w:rFonts w:hint="eastAsia" w:ascii="Times New Roman" w:hAnsi="Times New Roman" w:cs="Times New Roman"/>
                      <w:color w:val="auto"/>
                      <w:kern w:val="0"/>
                      <w:sz w:val="21"/>
                      <w:szCs w:val="21"/>
                      <w:highlight w:val="none"/>
                      <w:lang w:val="en-US" w:eastAsia="zh-CN" w:bidi="zh-CN"/>
                    </w:rPr>
                    <w:t>,R</w:t>
                  </w:r>
                </w:p>
              </w:tc>
              <w:tc>
                <w:tcPr>
                  <w:tcW w:w="381" w:type="pct"/>
                  <w:tcBorders>
                    <w:tl2br w:val="nil"/>
                    <w:tr2bl w:val="nil"/>
                  </w:tcBorders>
                  <w:noWrap w:val="0"/>
                  <w:vAlign w:val="center"/>
                </w:tcPr>
                <w:p w14:paraId="5E8AB235">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液态</w:t>
                  </w:r>
                </w:p>
              </w:tc>
              <w:tc>
                <w:tcPr>
                  <w:tcW w:w="850" w:type="pct"/>
                  <w:tcBorders>
                    <w:tl2br w:val="nil"/>
                    <w:tr2bl w:val="nil"/>
                  </w:tcBorders>
                  <w:noWrap w:val="0"/>
                  <w:vAlign w:val="center"/>
                </w:tcPr>
                <w:p w14:paraId="1C649C2D">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脱模剂</w:t>
                  </w:r>
                </w:p>
              </w:tc>
              <w:tc>
                <w:tcPr>
                  <w:tcW w:w="394" w:type="pct"/>
                  <w:tcBorders>
                    <w:tl2br w:val="nil"/>
                    <w:tr2bl w:val="nil"/>
                  </w:tcBorders>
                  <w:noWrap w:val="0"/>
                  <w:vAlign w:val="center"/>
                </w:tcPr>
                <w:p w14:paraId="1303C66F">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0.188</w:t>
                  </w:r>
                </w:p>
              </w:tc>
              <w:tc>
                <w:tcPr>
                  <w:tcW w:w="1086" w:type="pct"/>
                  <w:vMerge w:val="continue"/>
                  <w:tcBorders>
                    <w:tl2br w:val="nil"/>
                    <w:tr2bl w:val="nil"/>
                  </w:tcBorders>
                  <w:noWrap w:val="0"/>
                  <w:vAlign w:val="center"/>
                </w:tcPr>
                <w:p w14:paraId="52D1A76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2EA2F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7" w:type="pct"/>
                  <w:vMerge w:val="continue"/>
                  <w:tcBorders>
                    <w:tl2br w:val="nil"/>
                    <w:tr2bl w:val="nil"/>
                  </w:tcBorders>
                  <w:noWrap w:val="0"/>
                  <w:vAlign w:val="center"/>
                </w:tcPr>
                <w:p w14:paraId="359A767C">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23" w:type="pct"/>
                  <w:tcBorders>
                    <w:top w:val="single" w:color="auto" w:sz="4" w:space="0"/>
                    <w:bottom w:val="single" w:color="auto" w:sz="4" w:space="0"/>
                    <w:tl2br w:val="nil"/>
                    <w:tr2bl w:val="nil"/>
                  </w:tcBorders>
                  <w:noWrap w:val="0"/>
                  <w:vAlign w:val="center"/>
                </w:tcPr>
                <w:p w14:paraId="16E72886">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废气净化</w:t>
                  </w:r>
                </w:p>
              </w:tc>
              <w:tc>
                <w:tcPr>
                  <w:tcW w:w="1034" w:type="pct"/>
                  <w:tcBorders>
                    <w:tl2br w:val="nil"/>
                    <w:tr2bl w:val="nil"/>
                  </w:tcBorders>
                  <w:noWrap w:val="0"/>
                  <w:vAlign w:val="center"/>
                </w:tcPr>
                <w:p w14:paraId="7B02443E">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废活性炭</w:t>
                  </w:r>
                </w:p>
                <w:p w14:paraId="0E5C004F">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HW49</w:t>
                  </w:r>
                  <w:r>
                    <w:rPr>
                      <w:rFonts w:hint="eastAsia" w:ascii="Times New Roman" w:hAnsi="Times New Roman"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sz w:val="21"/>
                      <w:szCs w:val="21"/>
                      <w:highlight w:val="none"/>
                    </w:rPr>
                    <w:t>900-0</w:t>
                  </w:r>
                  <w:r>
                    <w:rPr>
                      <w:rFonts w:hint="default" w:ascii="Times New Roman" w:hAnsi="Times New Roman" w:eastAsia="宋体"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rPr>
                    <w:t>-49</w:t>
                  </w:r>
                </w:p>
              </w:tc>
              <w:tc>
                <w:tcPr>
                  <w:tcW w:w="381" w:type="pct"/>
                  <w:tcBorders>
                    <w:tl2br w:val="nil"/>
                    <w:tr2bl w:val="nil"/>
                  </w:tcBorders>
                  <w:noWrap w:val="0"/>
                  <w:vAlign w:val="center"/>
                </w:tcPr>
                <w:p w14:paraId="6D5EFB4B">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381" w:type="pct"/>
                  <w:tcBorders>
                    <w:tl2br w:val="nil"/>
                    <w:tr2bl w:val="nil"/>
                  </w:tcBorders>
                  <w:noWrap w:val="0"/>
                  <w:vAlign w:val="center"/>
                </w:tcPr>
                <w:p w14:paraId="2CB77B0F">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850" w:type="pct"/>
                  <w:tcBorders>
                    <w:tl2br w:val="nil"/>
                    <w:tr2bl w:val="nil"/>
                  </w:tcBorders>
                  <w:noWrap w:val="0"/>
                  <w:vAlign w:val="center"/>
                </w:tcPr>
                <w:p w14:paraId="1B458943">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w:t>
                  </w:r>
                </w:p>
              </w:tc>
              <w:tc>
                <w:tcPr>
                  <w:tcW w:w="394" w:type="pct"/>
                  <w:tcBorders>
                    <w:tl2br w:val="nil"/>
                    <w:tr2bl w:val="nil"/>
                  </w:tcBorders>
                  <w:noWrap w:val="0"/>
                  <w:vAlign w:val="center"/>
                </w:tcPr>
                <w:p w14:paraId="6F046EB8">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4.325</w:t>
                  </w:r>
                </w:p>
              </w:tc>
              <w:tc>
                <w:tcPr>
                  <w:tcW w:w="1086" w:type="pct"/>
                  <w:vMerge w:val="continue"/>
                  <w:tcBorders>
                    <w:tl2br w:val="nil"/>
                    <w:tr2bl w:val="nil"/>
                  </w:tcBorders>
                  <w:noWrap w:val="0"/>
                  <w:vAlign w:val="center"/>
                </w:tcPr>
                <w:p w14:paraId="7E4597DA">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6C18C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7" w:type="pct"/>
                  <w:vMerge w:val="continue"/>
                  <w:tcBorders>
                    <w:tl2br w:val="nil"/>
                    <w:tr2bl w:val="nil"/>
                  </w:tcBorders>
                  <w:noWrap w:val="0"/>
                  <w:vAlign w:val="center"/>
                </w:tcPr>
                <w:p w14:paraId="7D5636F5">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23" w:type="pct"/>
                  <w:tcBorders>
                    <w:top w:val="single" w:color="auto" w:sz="4" w:space="0"/>
                    <w:tl2br w:val="nil"/>
                    <w:tr2bl w:val="nil"/>
                  </w:tcBorders>
                  <w:shd w:val="clear" w:color="auto" w:fill="auto"/>
                  <w:noWrap w:val="0"/>
                  <w:vAlign w:val="center"/>
                </w:tcPr>
                <w:p w14:paraId="4B86040A">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default" w:ascii="Times New Roman" w:hAnsi="Times New Roman" w:eastAsia="宋体" w:cs="Times New Roman"/>
                      <w:color w:val="auto"/>
                      <w:sz w:val="21"/>
                      <w:szCs w:val="21"/>
                      <w:highlight w:val="none"/>
                    </w:rPr>
                    <w:t>设备运行</w:t>
                  </w:r>
                </w:p>
              </w:tc>
              <w:tc>
                <w:tcPr>
                  <w:tcW w:w="1034" w:type="pct"/>
                  <w:tcBorders>
                    <w:tl2br w:val="nil"/>
                    <w:tr2bl w:val="nil"/>
                  </w:tcBorders>
                  <w:shd w:val="clear" w:color="auto" w:fill="auto"/>
                  <w:noWrap w:val="0"/>
                  <w:vAlign w:val="center"/>
                </w:tcPr>
                <w:p w14:paraId="67470087">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zh-CN" w:eastAsia="zh-CN" w:bidi="zh-CN"/>
                    </w:rPr>
                  </w:pPr>
                  <w:r>
                    <w:rPr>
                      <w:rFonts w:hint="default" w:ascii="Times New Roman" w:hAnsi="Times New Roman" w:eastAsia="宋体" w:cs="Times New Roman"/>
                      <w:color w:val="auto"/>
                      <w:sz w:val="21"/>
                      <w:szCs w:val="21"/>
                      <w:highlight w:val="none"/>
                      <w:lang w:eastAsia="zh-CN"/>
                    </w:rPr>
                    <w:t>废机油</w:t>
                  </w:r>
                  <w:r>
                    <w:rPr>
                      <w:rFonts w:hint="default" w:ascii="Times New Roman" w:hAnsi="Times New Roman" w:eastAsia="宋体" w:cs="Times New Roman"/>
                      <w:color w:val="auto"/>
                      <w:sz w:val="21"/>
                      <w:szCs w:val="21"/>
                      <w:highlight w:val="none"/>
                      <w:lang w:val="en-US" w:eastAsia="zh-CN"/>
                    </w:rPr>
                    <w:t>及油桶</w:t>
                  </w:r>
                  <w:r>
                    <w:rPr>
                      <w:rFonts w:hint="default" w:ascii="Times New Roman" w:hAnsi="Times New Roman" w:eastAsia="宋体" w:cs="Times New Roman"/>
                      <w:color w:val="auto"/>
                      <w:sz w:val="21"/>
                      <w:szCs w:val="21"/>
                      <w:highlight w:val="none"/>
                    </w:rPr>
                    <w:t>HW08</w:t>
                  </w: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900-2</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rPr>
                    <w:t>-08</w:t>
                  </w:r>
                </w:p>
              </w:tc>
              <w:tc>
                <w:tcPr>
                  <w:tcW w:w="381" w:type="pct"/>
                  <w:tcBorders>
                    <w:tl2br w:val="nil"/>
                    <w:tr2bl w:val="nil"/>
                  </w:tcBorders>
                  <w:shd w:val="clear" w:color="auto" w:fill="auto"/>
                  <w:noWrap w:val="0"/>
                  <w:vAlign w:val="center"/>
                </w:tcPr>
                <w:p w14:paraId="049ACEA8">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eastAsia" w:ascii="Times New Roman" w:hAnsi="Times New Roman" w:eastAsia="宋体" w:cs="Times New Roman"/>
                      <w:color w:val="auto"/>
                      <w:kern w:val="0"/>
                      <w:sz w:val="21"/>
                      <w:szCs w:val="21"/>
                      <w:highlight w:val="none"/>
                      <w:lang w:val="en-US" w:eastAsia="zh-CN" w:bidi="zh-CN"/>
                    </w:rPr>
                    <w:t>T,I</w:t>
                  </w:r>
                </w:p>
              </w:tc>
              <w:tc>
                <w:tcPr>
                  <w:tcW w:w="381" w:type="pct"/>
                  <w:tcBorders>
                    <w:tl2br w:val="nil"/>
                    <w:tr2bl w:val="nil"/>
                  </w:tcBorders>
                  <w:shd w:val="clear" w:color="auto" w:fill="auto"/>
                  <w:noWrap w:val="0"/>
                  <w:vAlign w:val="center"/>
                </w:tcPr>
                <w:p w14:paraId="14D7200F">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zh-CN" w:eastAsia="zh-CN" w:bidi="zh-CN"/>
                    </w:rPr>
                  </w:pPr>
                  <w:r>
                    <w:rPr>
                      <w:rFonts w:hint="default" w:ascii="Times New Roman" w:hAnsi="Times New Roman" w:eastAsia="宋体" w:cs="Times New Roman"/>
                      <w:color w:val="auto"/>
                      <w:sz w:val="21"/>
                      <w:szCs w:val="21"/>
                      <w:highlight w:val="none"/>
                      <w:lang w:eastAsia="zh-CN"/>
                    </w:rPr>
                    <w:t>液态</w:t>
                  </w:r>
                </w:p>
              </w:tc>
              <w:tc>
                <w:tcPr>
                  <w:tcW w:w="850" w:type="pct"/>
                  <w:tcBorders>
                    <w:tl2br w:val="nil"/>
                    <w:tr2bl w:val="nil"/>
                  </w:tcBorders>
                  <w:shd w:val="clear" w:color="auto" w:fill="auto"/>
                  <w:noWrap w:val="0"/>
                  <w:vAlign w:val="center"/>
                </w:tcPr>
                <w:p w14:paraId="1142A1EA">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zh-CN" w:eastAsia="zh-CN" w:bidi="zh-CN"/>
                    </w:rPr>
                  </w:pPr>
                  <w:r>
                    <w:rPr>
                      <w:rFonts w:hint="default" w:ascii="Times New Roman" w:hAnsi="Times New Roman" w:eastAsia="宋体" w:cs="Times New Roman"/>
                      <w:color w:val="auto"/>
                      <w:sz w:val="21"/>
                      <w:szCs w:val="21"/>
                      <w:highlight w:val="none"/>
                      <w:lang w:val="en-US" w:eastAsia="zh-CN"/>
                    </w:rPr>
                    <w:t>烷烃、多环芳烃、烯烃、苯系物等</w:t>
                  </w:r>
                </w:p>
              </w:tc>
              <w:tc>
                <w:tcPr>
                  <w:tcW w:w="394" w:type="pct"/>
                  <w:tcBorders>
                    <w:tl2br w:val="nil"/>
                    <w:tr2bl w:val="nil"/>
                  </w:tcBorders>
                  <w:noWrap w:val="0"/>
                  <w:vAlign w:val="center"/>
                </w:tcPr>
                <w:p w14:paraId="509601E1">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1</w:t>
                  </w:r>
                </w:p>
              </w:tc>
              <w:tc>
                <w:tcPr>
                  <w:tcW w:w="1086" w:type="pct"/>
                  <w:vMerge w:val="continue"/>
                  <w:tcBorders>
                    <w:tl2br w:val="nil"/>
                    <w:tr2bl w:val="nil"/>
                  </w:tcBorders>
                  <w:noWrap w:val="0"/>
                  <w:vAlign w:val="center"/>
                </w:tcPr>
                <w:p w14:paraId="23548989">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bl>
          <w:p w14:paraId="4A845E0A">
            <w:pPr>
              <w:keepNext/>
              <w:keepLines/>
              <w:pageBreakBefore w:val="0"/>
              <w:widowControl w:val="0"/>
              <w:suppressLineNumbers w:val="0"/>
              <w:kinsoku/>
              <w:wordWrap/>
              <w:overflowPunct/>
              <w:topLinePunct w:val="0"/>
              <w:autoSpaceDE/>
              <w:autoSpaceDN/>
              <w:bidi w:val="0"/>
              <w:adjustRightInd w:val="0"/>
              <w:snapToGrid w:val="0"/>
              <w:spacing w:before="157" w:beforeLines="50" w:beforeAutospacing="0" w:after="0" w:afterLines="0" w:afterAutospacing="0" w:line="360" w:lineRule="auto"/>
              <w:ind w:left="0" w:right="0" w:firstLine="480" w:firstLineChars="200"/>
              <w:jc w:val="left"/>
              <w:textAlignment w:val="auto"/>
              <w:outlineLvl w:val="9"/>
              <w:rPr>
                <w:rFonts w:ascii="Times New Roman" w:hAnsi="Times New Roman" w:eastAsia="宋体" w:cs="Times New Roman"/>
                <w:b w:val="0"/>
                <w:bCs w:val="0"/>
                <w:color w:val="auto"/>
                <w:kern w:val="44"/>
                <w:sz w:val="24"/>
                <w:szCs w:val="24"/>
                <w:highlight w:val="none"/>
                <w:lang w:val="en-US" w:eastAsia="zh-CN" w:bidi="ar-SA"/>
              </w:rPr>
            </w:pPr>
            <w:r>
              <w:rPr>
                <w:rFonts w:hint="eastAsia" w:cs="Times New Roman"/>
                <w:b w:val="0"/>
                <w:bCs w:val="0"/>
                <w:color w:val="auto"/>
                <w:kern w:val="44"/>
                <w:sz w:val="24"/>
                <w:szCs w:val="24"/>
                <w:highlight w:val="none"/>
                <w:lang w:val="en-US" w:eastAsia="zh-CN" w:bidi="ar-SA"/>
              </w:rPr>
              <w:t>四、</w:t>
            </w:r>
            <w:r>
              <w:rPr>
                <w:rFonts w:hint="eastAsia" w:ascii="Times New Roman" w:hAnsi="Times New Roman" w:eastAsia="宋体" w:cs="Times New Roman"/>
                <w:b w:val="0"/>
                <w:bCs w:val="0"/>
                <w:color w:val="auto"/>
                <w:kern w:val="44"/>
                <w:sz w:val="24"/>
                <w:szCs w:val="24"/>
                <w:highlight w:val="none"/>
                <w:lang w:val="en-US" w:eastAsia="zh-CN" w:bidi="ar-SA"/>
              </w:rPr>
              <w:t>储存方式及处置情况</w:t>
            </w:r>
          </w:p>
          <w:p w14:paraId="44C38637">
            <w:pPr>
              <w:keepNext/>
              <w:keepLines/>
              <w:widowControl w:val="0"/>
              <w:suppressLineNumbers w:val="0"/>
              <w:bidi w:val="0"/>
              <w:adjustRightInd w:val="0"/>
              <w:snapToGrid w:val="0"/>
              <w:spacing w:before="0" w:beforeLines="0" w:beforeAutospacing="0" w:after="0" w:afterLines="0" w:afterAutospacing="0" w:line="360" w:lineRule="auto"/>
              <w:ind w:left="0" w:right="0" w:firstLine="480" w:firstLineChars="200"/>
              <w:jc w:val="left"/>
              <w:outlineLvl w:val="9"/>
              <w:rPr>
                <w:rFonts w:hint="eastAsia" w:ascii="Times New Roman" w:hAnsi="Times New Roman" w:eastAsia="宋体" w:cs="Times New Roman"/>
                <w:color w:val="auto"/>
                <w:kern w:val="44"/>
                <w:sz w:val="24"/>
                <w:szCs w:val="24"/>
                <w:highlight w:val="none"/>
                <w:lang w:val="en-US" w:eastAsia="zh-CN" w:bidi="ar-SA"/>
              </w:rPr>
            </w:pPr>
            <w:r>
              <w:rPr>
                <w:rFonts w:hint="eastAsia" w:ascii="Times New Roman" w:hAnsi="Times New Roman" w:eastAsia="宋体" w:cs="Times New Roman"/>
                <w:color w:val="auto"/>
                <w:kern w:val="44"/>
                <w:sz w:val="24"/>
                <w:szCs w:val="24"/>
                <w:highlight w:val="none"/>
                <w:lang w:val="en-US" w:eastAsia="zh-CN" w:bidi="ar-SA"/>
              </w:rPr>
              <w:t>（1）一般工业固废暂存场所环境影响分析</w:t>
            </w:r>
          </w:p>
          <w:p w14:paraId="07EEF5D0">
            <w:pPr>
              <w:keepNext/>
              <w:keepLines/>
              <w:widowControl w:val="0"/>
              <w:suppressLineNumbers w:val="0"/>
              <w:bidi w:val="0"/>
              <w:adjustRightInd w:val="0"/>
              <w:snapToGrid w:val="0"/>
              <w:spacing w:before="0" w:beforeLines="0" w:beforeAutospacing="0" w:after="0" w:afterLines="0" w:afterAutospacing="0" w:line="360" w:lineRule="auto"/>
              <w:ind w:left="0" w:right="0" w:firstLine="480" w:firstLineChars="200"/>
              <w:jc w:val="both"/>
              <w:outlineLvl w:val="9"/>
              <w:rPr>
                <w:rFonts w:hint="eastAsia" w:ascii="Times New Roman" w:hAnsi="Times New Roman" w:eastAsia="宋体" w:cs="Times New Roman"/>
                <w:color w:val="auto"/>
                <w:kern w:val="44"/>
                <w:sz w:val="24"/>
                <w:szCs w:val="24"/>
                <w:highlight w:val="none"/>
                <w:lang w:val="en-US" w:eastAsia="zh-CN" w:bidi="ar-SA"/>
              </w:rPr>
            </w:pPr>
            <w:r>
              <w:rPr>
                <w:rFonts w:hint="eastAsia" w:ascii="Times New Roman" w:hAnsi="Times New Roman" w:eastAsia="宋体" w:cs="Times New Roman"/>
                <w:color w:val="auto"/>
                <w:kern w:val="44"/>
                <w:sz w:val="24"/>
                <w:szCs w:val="24"/>
                <w:highlight w:val="none"/>
                <w:lang w:val="en-US" w:eastAsia="zh-CN" w:bidi="ar-SA"/>
              </w:rPr>
              <w:t>建设单位在厂</w:t>
            </w:r>
            <w:r>
              <w:rPr>
                <w:rFonts w:hint="eastAsia" w:cs="Times New Roman"/>
                <w:color w:val="auto"/>
                <w:kern w:val="44"/>
                <w:sz w:val="24"/>
                <w:szCs w:val="24"/>
                <w:highlight w:val="none"/>
                <w:lang w:val="en-US" w:eastAsia="zh-CN" w:bidi="ar-SA"/>
              </w:rPr>
              <w:t>1</w:t>
            </w:r>
            <w:r>
              <w:rPr>
                <w:rFonts w:hint="eastAsia" w:ascii="Times New Roman" w:hAnsi="Times New Roman" w:eastAsia="宋体" w:cs="Times New Roman"/>
                <w:color w:val="auto"/>
                <w:kern w:val="44"/>
                <w:sz w:val="24"/>
                <w:szCs w:val="24"/>
                <w:highlight w:val="none"/>
                <w:lang w:val="en-US" w:eastAsia="zh-CN" w:bidi="ar-SA"/>
              </w:rPr>
              <w:t>#</w:t>
            </w:r>
            <w:r>
              <w:rPr>
                <w:rFonts w:hint="eastAsia" w:cs="Times New Roman"/>
                <w:color w:val="auto"/>
                <w:kern w:val="44"/>
                <w:sz w:val="24"/>
                <w:szCs w:val="24"/>
                <w:highlight w:val="none"/>
                <w:lang w:val="en-US" w:eastAsia="zh-CN" w:bidi="ar-SA"/>
              </w:rPr>
              <w:t>厂</w:t>
            </w:r>
            <w:r>
              <w:rPr>
                <w:rFonts w:hint="eastAsia" w:ascii="Times New Roman" w:hAnsi="Times New Roman" w:eastAsia="宋体" w:cs="Times New Roman"/>
                <w:color w:val="auto"/>
                <w:kern w:val="44"/>
                <w:sz w:val="24"/>
                <w:szCs w:val="24"/>
                <w:highlight w:val="none"/>
                <w:lang w:val="en-US" w:eastAsia="zh-CN" w:bidi="ar-SA"/>
              </w:rPr>
              <w:t>房内</w:t>
            </w:r>
            <w:r>
              <w:rPr>
                <w:rFonts w:hint="eastAsia" w:cs="Times New Roman"/>
                <w:color w:val="auto"/>
                <w:kern w:val="44"/>
                <w:sz w:val="24"/>
                <w:szCs w:val="24"/>
                <w:highlight w:val="none"/>
                <w:lang w:val="en-US" w:eastAsia="zh-CN" w:bidi="ar-SA"/>
              </w:rPr>
              <w:t>东北角</w:t>
            </w:r>
            <w:r>
              <w:rPr>
                <w:rFonts w:hint="eastAsia" w:ascii="Times New Roman" w:hAnsi="Times New Roman" w:eastAsia="宋体" w:cs="Times New Roman"/>
                <w:color w:val="auto"/>
                <w:kern w:val="44"/>
                <w:sz w:val="24"/>
                <w:szCs w:val="24"/>
                <w:highlight w:val="none"/>
                <w:lang w:val="en-US" w:eastAsia="zh-CN" w:bidi="ar-SA"/>
              </w:rPr>
              <w:t>设置1处一般固废暂存</w:t>
            </w:r>
            <w:r>
              <w:rPr>
                <w:rFonts w:hint="eastAsia" w:cs="Times New Roman"/>
                <w:color w:val="auto"/>
                <w:kern w:val="44"/>
                <w:sz w:val="24"/>
                <w:szCs w:val="24"/>
                <w:highlight w:val="none"/>
                <w:lang w:val="en-US" w:eastAsia="zh-CN" w:bidi="ar-SA"/>
              </w:rPr>
              <w:t>间</w:t>
            </w:r>
            <w:r>
              <w:rPr>
                <w:rFonts w:hint="eastAsia" w:ascii="Times New Roman" w:hAnsi="Times New Roman" w:eastAsia="宋体" w:cs="Times New Roman"/>
                <w:color w:val="auto"/>
                <w:kern w:val="44"/>
                <w:sz w:val="24"/>
                <w:szCs w:val="24"/>
                <w:highlight w:val="none"/>
                <w:lang w:val="en-US" w:eastAsia="zh-CN" w:bidi="ar-SA"/>
              </w:rPr>
              <w:t>，</w:t>
            </w:r>
            <w:r>
              <w:rPr>
                <w:rFonts w:ascii="Times New Roman" w:hAnsi="Times New Roman" w:eastAsia="宋体" w:cs="Times New Roman"/>
                <w:color w:val="auto"/>
                <w:kern w:val="44"/>
                <w:sz w:val="24"/>
                <w:szCs w:val="24"/>
                <w:highlight w:val="none"/>
                <w:lang w:val="en-US" w:eastAsia="zh-CN" w:bidi="ar-SA"/>
              </w:rPr>
              <w:t>建筑面积为</w:t>
            </w:r>
            <w:r>
              <w:rPr>
                <w:rFonts w:hint="eastAsia" w:cs="Times New Roman"/>
                <w:color w:val="auto"/>
                <w:kern w:val="44"/>
                <w:sz w:val="24"/>
                <w:szCs w:val="24"/>
                <w:highlight w:val="none"/>
                <w:lang w:val="en-US" w:eastAsia="zh-CN" w:bidi="ar-SA"/>
              </w:rPr>
              <w:t>5</w:t>
            </w:r>
            <w:r>
              <w:rPr>
                <w:rFonts w:hint="eastAsia" w:ascii="Times New Roman" w:hAnsi="Times New Roman" w:eastAsia="宋体" w:cs="Times New Roman"/>
                <w:color w:val="auto"/>
                <w:kern w:val="44"/>
                <w:sz w:val="24"/>
                <w:szCs w:val="24"/>
                <w:highlight w:val="none"/>
                <w:lang w:val="en-US" w:eastAsia="zh-CN" w:bidi="ar-SA"/>
              </w:rPr>
              <w:t>0</w:t>
            </w:r>
            <w:r>
              <w:rPr>
                <w:rFonts w:ascii="Times New Roman" w:hAnsi="Times New Roman" w:eastAsia="宋体" w:cs="Times New Roman"/>
                <w:color w:val="auto"/>
                <w:kern w:val="44"/>
                <w:sz w:val="24"/>
                <w:szCs w:val="24"/>
                <w:highlight w:val="none"/>
                <w:lang w:val="en-US" w:eastAsia="zh-CN" w:bidi="ar-SA"/>
              </w:rPr>
              <w:t>m</w:t>
            </w:r>
            <w:r>
              <w:rPr>
                <w:rFonts w:ascii="Times New Roman" w:hAnsi="Times New Roman" w:eastAsia="宋体" w:cs="Times New Roman"/>
                <w:color w:val="auto"/>
                <w:kern w:val="44"/>
                <w:sz w:val="24"/>
                <w:szCs w:val="24"/>
                <w:highlight w:val="none"/>
                <w:vertAlign w:val="superscript"/>
                <w:lang w:val="en-US" w:eastAsia="zh-CN" w:bidi="ar-SA"/>
              </w:rPr>
              <w:t>2</w:t>
            </w:r>
            <w:r>
              <w:rPr>
                <w:rFonts w:hint="eastAsia" w:ascii="Times New Roman" w:hAnsi="Times New Roman" w:eastAsia="宋体" w:cs="Times New Roman"/>
                <w:color w:val="auto"/>
                <w:kern w:val="44"/>
                <w:sz w:val="24"/>
                <w:szCs w:val="24"/>
                <w:highlight w:val="none"/>
                <w:lang w:val="en-US" w:eastAsia="zh-CN" w:bidi="ar-SA"/>
              </w:rPr>
              <w:t>，最大暂存能力</w:t>
            </w:r>
            <w:r>
              <w:rPr>
                <w:rFonts w:hint="eastAsia" w:cs="Times New Roman"/>
                <w:color w:val="auto"/>
                <w:kern w:val="44"/>
                <w:sz w:val="24"/>
                <w:szCs w:val="24"/>
                <w:highlight w:val="none"/>
                <w:lang w:val="en-US" w:eastAsia="zh-CN" w:bidi="ar-SA"/>
              </w:rPr>
              <w:t>约</w:t>
            </w:r>
            <w:r>
              <w:rPr>
                <w:rFonts w:hint="eastAsia" w:ascii="Times New Roman" w:hAnsi="Times New Roman" w:eastAsia="宋体" w:cs="Times New Roman"/>
                <w:color w:val="auto"/>
                <w:kern w:val="44"/>
                <w:sz w:val="24"/>
                <w:szCs w:val="24"/>
                <w:highlight w:val="none"/>
                <w:lang w:val="en-US" w:eastAsia="zh-CN" w:bidi="ar-SA"/>
              </w:rPr>
              <w:t>为</w:t>
            </w:r>
            <w:r>
              <w:rPr>
                <w:rFonts w:hint="eastAsia" w:cs="Times New Roman"/>
                <w:color w:val="auto"/>
                <w:kern w:val="44"/>
                <w:sz w:val="24"/>
                <w:szCs w:val="24"/>
                <w:highlight w:val="none"/>
                <w:lang w:val="en-US" w:eastAsia="zh-CN" w:bidi="ar-SA"/>
              </w:rPr>
              <w:t>10</w:t>
            </w:r>
            <w:r>
              <w:rPr>
                <w:rFonts w:ascii="Times New Roman" w:hAnsi="Times New Roman" w:eastAsia="宋体" w:cs="Times New Roman"/>
                <w:color w:val="auto"/>
                <w:kern w:val="44"/>
                <w:sz w:val="24"/>
                <w:szCs w:val="24"/>
                <w:highlight w:val="none"/>
                <w:lang w:val="en-US" w:eastAsia="zh-CN" w:bidi="ar-SA"/>
              </w:rPr>
              <w:t>t</w:t>
            </w:r>
            <w:r>
              <w:rPr>
                <w:rFonts w:hint="eastAsia" w:ascii="Times New Roman" w:hAnsi="Times New Roman" w:eastAsia="宋体" w:cs="Times New Roman"/>
                <w:color w:val="auto"/>
                <w:kern w:val="44"/>
                <w:sz w:val="24"/>
                <w:szCs w:val="24"/>
                <w:highlight w:val="none"/>
                <w:lang w:val="en-US" w:eastAsia="zh-CN" w:bidi="ar-SA"/>
              </w:rPr>
              <w:t>。按</w:t>
            </w:r>
            <w:r>
              <w:rPr>
                <w:rFonts w:hint="eastAsia"/>
                <w:color w:val="auto"/>
                <w:sz w:val="24"/>
                <w:szCs w:val="22"/>
                <w:highlight w:val="none"/>
                <w:lang w:val="en-US" w:eastAsia="zh-CN"/>
              </w:rPr>
              <w:t>《</w:t>
            </w:r>
            <w:r>
              <w:rPr>
                <w:rFonts w:hint="eastAsia"/>
                <w:color w:val="auto"/>
                <w:sz w:val="24"/>
                <w:szCs w:val="22"/>
                <w:highlight w:val="none"/>
              </w:rPr>
              <w:t>安徽省实施</w:t>
            </w:r>
            <w:r>
              <w:rPr>
                <w:rFonts w:hint="default"/>
                <w:color w:val="auto"/>
                <w:sz w:val="24"/>
                <w:szCs w:val="22"/>
                <w:highlight w:val="none"/>
              </w:rPr>
              <w:t>&lt;</w:t>
            </w:r>
            <w:r>
              <w:rPr>
                <w:rFonts w:hint="eastAsia"/>
                <w:color w:val="auto"/>
                <w:sz w:val="24"/>
                <w:szCs w:val="22"/>
                <w:highlight w:val="none"/>
              </w:rPr>
              <w:t>中华人民共和国固体废物污染环境防治法</w:t>
            </w:r>
            <w:r>
              <w:rPr>
                <w:rFonts w:hint="default"/>
                <w:color w:val="auto"/>
                <w:sz w:val="24"/>
                <w:szCs w:val="22"/>
                <w:highlight w:val="none"/>
              </w:rPr>
              <w:t>&gt;</w:t>
            </w:r>
            <w:r>
              <w:rPr>
                <w:rFonts w:hint="eastAsia"/>
                <w:color w:val="auto"/>
                <w:sz w:val="24"/>
                <w:szCs w:val="22"/>
                <w:highlight w:val="none"/>
              </w:rPr>
              <w:t>办法</w:t>
            </w:r>
            <w:r>
              <w:rPr>
                <w:rFonts w:hint="eastAsia"/>
                <w:color w:val="auto"/>
                <w:sz w:val="24"/>
                <w:szCs w:val="22"/>
                <w:highlight w:val="none"/>
                <w:lang w:eastAsia="zh-CN"/>
              </w:rPr>
              <w:t>》</w:t>
            </w:r>
            <w:r>
              <w:rPr>
                <w:rFonts w:hint="eastAsia"/>
                <w:color w:val="auto"/>
                <w:sz w:val="24"/>
                <w:szCs w:val="22"/>
                <w:highlight w:val="none"/>
                <w:lang w:val="en-US" w:eastAsia="zh-CN"/>
              </w:rPr>
              <w:t>进行管理</w:t>
            </w:r>
            <w:r>
              <w:rPr>
                <w:rFonts w:hint="eastAsia" w:ascii="Times New Roman" w:hAnsi="Times New Roman" w:eastAsia="宋体" w:cs="Times New Roman"/>
                <w:color w:val="auto"/>
                <w:kern w:val="44"/>
                <w:sz w:val="24"/>
                <w:szCs w:val="24"/>
                <w:highlight w:val="none"/>
                <w:lang w:val="en-US" w:eastAsia="zh-CN" w:bidi="ar-SA"/>
              </w:rPr>
              <w:t>，其贮存过程应满足相应防渗漏、防雨淋、防扬尘等环境保护要求</w:t>
            </w:r>
            <w:r>
              <w:rPr>
                <w:rFonts w:hint="eastAsia" w:cs="Times New Roman"/>
                <w:color w:val="auto"/>
                <w:kern w:val="44"/>
                <w:sz w:val="24"/>
                <w:szCs w:val="24"/>
                <w:highlight w:val="none"/>
                <w:lang w:val="en-US" w:eastAsia="zh-CN" w:bidi="ar-SA"/>
              </w:rPr>
              <w:t>，</w:t>
            </w:r>
            <w:r>
              <w:rPr>
                <w:rFonts w:hint="eastAsia" w:ascii="Times New Roman" w:hAnsi="Times New Roman" w:eastAsia="宋体" w:cs="Times New Roman"/>
                <w:color w:val="auto"/>
                <w:kern w:val="44"/>
                <w:sz w:val="24"/>
                <w:szCs w:val="24"/>
                <w:highlight w:val="none"/>
                <w:lang w:val="en-US" w:eastAsia="zh-CN" w:bidi="ar-SA"/>
              </w:rPr>
              <w:t>建成后用于一般工业固体废物废包装袋、</w:t>
            </w:r>
            <w:r>
              <w:rPr>
                <w:rFonts w:hint="eastAsia" w:cs="Times New Roman"/>
                <w:color w:val="auto"/>
                <w:kern w:val="44"/>
                <w:sz w:val="24"/>
                <w:szCs w:val="24"/>
                <w:highlight w:val="none"/>
                <w:lang w:val="en-US" w:eastAsia="zh-CN" w:bidi="ar-SA"/>
              </w:rPr>
              <w:t>边角料和不合格品等</w:t>
            </w:r>
            <w:r>
              <w:rPr>
                <w:rFonts w:hint="eastAsia" w:ascii="Times New Roman" w:hAnsi="Times New Roman" w:eastAsia="宋体" w:cs="Times New Roman"/>
                <w:color w:val="auto"/>
                <w:kern w:val="44"/>
                <w:sz w:val="24"/>
                <w:szCs w:val="24"/>
                <w:highlight w:val="none"/>
                <w:lang w:val="en-US" w:eastAsia="zh-CN" w:bidi="ar-SA"/>
              </w:rPr>
              <w:t>临时贮存，除尘灰</w:t>
            </w:r>
            <w:r>
              <w:rPr>
                <w:rFonts w:hint="eastAsia" w:cs="Times New Roman"/>
                <w:color w:val="auto"/>
                <w:kern w:val="44"/>
                <w:sz w:val="24"/>
                <w:szCs w:val="24"/>
                <w:highlight w:val="none"/>
                <w:lang w:val="en-US" w:eastAsia="zh-CN" w:bidi="ar-SA"/>
              </w:rPr>
              <w:t>直接回用</w:t>
            </w:r>
            <w:r>
              <w:rPr>
                <w:rFonts w:hint="eastAsia" w:ascii="Times New Roman" w:hAnsi="Times New Roman" w:eastAsia="宋体" w:cs="Times New Roman"/>
                <w:color w:val="auto"/>
                <w:kern w:val="44"/>
                <w:sz w:val="24"/>
                <w:szCs w:val="24"/>
                <w:highlight w:val="none"/>
                <w:lang w:val="en-US" w:eastAsia="zh-CN" w:bidi="ar-SA"/>
              </w:rPr>
              <w:t>生产工序。具体贮存情况见下表。</w:t>
            </w:r>
          </w:p>
          <w:p w14:paraId="5704AE30">
            <w:pPr>
              <w:pStyle w:val="3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color w:val="auto"/>
                <w:highlight w:val="none"/>
              </w:rPr>
            </w:pPr>
            <w:r>
              <w:rPr>
                <w:color w:val="auto"/>
                <w:highlight w:val="none"/>
              </w:rPr>
              <w:t>表4-</w:t>
            </w:r>
            <w:r>
              <w:rPr>
                <w:rFonts w:hint="eastAsia"/>
                <w:color w:val="auto"/>
                <w:highlight w:val="none"/>
                <w:lang w:val="en-US" w:eastAsia="zh-CN"/>
              </w:rPr>
              <w:t xml:space="preserve">16 </w:t>
            </w:r>
            <w:r>
              <w:rPr>
                <w:color w:val="auto"/>
                <w:highlight w:val="none"/>
              </w:rPr>
              <w:t xml:space="preserve"> 一般</w:t>
            </w:r>
            <w:r>
              <w:rPr>
                <w:rFonts w:hint="eastAsia"/>
                <w:color w:val="auto"/>
                <w:highlight w:val="none"/>
                <w:lang w:val="en-US" w:eastAsia="zh-CN"/>
              </w:rPr>
              <w:t>工业固</w:t>
            </w:r>
            <w:r>
              <w:rPr>
                <w:color w:val="auto"/>
                <w:highlight w:val="none"/>
              </w:rPr>
              <w:t>废贮存场所（设施）基本情况表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374"/>
              <w:gridCol w:w="662"/>
              <w:gridCol w:w="881"/>
              <w:gridCol w:w="881"/>
              <w:gridCol w:w="765"/>
              <w:gridCol w:w="1100"/>
              <w:gridCol w:w="1313"/>
              <w:gridCol w:w="670"/>
            </w:tblGrid>
            <w:tr w14:paraId="6DF8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tcBorders>
                    <w:tl2br w:val="nil"/>
                    <w:tr2bl w:val="nil"/>
                  </w:tcBorders>
                  <w:noWrap w:val="0"/>
                  <w:vAlign w:val="center"/>
                </w:tcPr>
                <w:p w14:paraId="5554F46B">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b/>
                      <w:color w:val="auto"/>
                      <w:kern w:val="44"/>
                      <w:sz w:val="21"/>
                      <w:szCs w:val="22"/>
                      <w:highlight w:val="none"/>
                      <w:lang w:val="en-US" w:eastAsia="zh-CN" w:bidi="ar-SA"/>
                    </w:rPr>
                  </w:pPr>
                  <w:r>
                    <w:rPr>
                      <w:rFonts w:ascii="Times New Roman" w:hAnsi="Times New Roman" w:eastAsia="宋体" w:cs="Times New Roman"/>
                      <w:b/>
                      <w:color w:val="auto"/>
                      <w:kern w:val="44"/>
                      <w:sz w:val="21"/>
                      <w:szCs w:val="22"/>
                      <w:highlight w:val="none"/>
                      <w:lang w:val="en-US" w:eastAsia="zh-CN" w:bidi="ar-SA"/>
                    </w:rPr>
                    <w:t>贮存场所名称</w:t>
                  </w:r>
                </w:p>
              </w:tc>
              <w:tc>
                <w:tcPr>
                  <w:tcW w:w="814" w:type="pct"/>
                  <w:tcBorders>
                    <w:tl2br w:val="nil"/>
                    <w:tr2bl w:val="nil"/>
                  </w:tcBorders>
                  <w:noWrap w:val="0"/>
                  <w:vAlign w:val="center"/>
                </w:tcPr>
                <w:p w14:paraId="745337A1">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b/>
                      <w:color w:val="auto"/>
                      <w:kern w:val="44"/>
                      <w:sz w:val="21"/>
                      <w:szCs w:val="22"/>
                      <w:highlight w:val="none"/>
                      <w:lang w:val="en-US" w:eastAsia="zh-CN" w:bidi="ar-SA"/>
                    </w:rPr>
                  </w:pPr>
                  <w:r>
                    <w:rPr>
                      <w:rFonts w:ascii="Times New Roman" w:hAnsi="Times New Roman" w:eastAsia="宋体" w:cs="Times New Roman"/>
                      <w:b/>
                      <w:color w:val="auto"/>
                      <w:kern w:val="44"/>
                      <w:sz w:val="21"/>
                      <w:szCs w:val="22"/>
                      <w:highlight w:val="none"/>
                      <w:lang w:val="en-US" w:eastAsia="zh-CN" w:bidi="ar-SA"/>
                    </w:rPr>
                    <w:t>废物名称</w:t>
                  </w:r>
                </w:p>
              </w:tc>
              <w:tc>
                <w:tcPr>
                  <w:tcW w:w="392" w:type="pct"/>
                  <w:tcBorders>
                    <w:tl2br w:val="nil"/>
                    <w:tr2bl w:val="nil"/>
                  </w:tcBorders>
                  <w:noWrap w:val="0"/>
                  <w:vAlign w:val="center"/>
                </w:tcPr>
                <w:p w14:paraId="26F4F70E">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b/>
                      <w:color w:val="auto"/>
                      <w:kern w:val="44"/>
                      <w:sz w:val="21"/>
                      <w:szCs w:val="22"/>
                      <w:highlight w:val="none"/>
                      <w:lang w:val="en-US" w:eastAsia="zh-CN" w:bidi="ar-SA"/>
                    </w:rPr>
                  </w:pPr>
                  <w:r>
                    <w:rPr>
                      <w:rFonts w:ascii="Times New Roman" w:hAnsi="Times New Roman" w:eastAsia="宋体" w:cs="Times New Roman"/>
                      <w:b/>
                      <w:color w:val="auto"/>
                      <w:kern w:val="44"/>
                      <w:sz w:val="21"/>
                      <w:szCs w:val="22"/>
                      <w:highlight w:val="none"/>
                      <w:lang w:val="en-US" w:eastAsia="zh-CN" w:bidi="ar-SA"/>
                    </w:rPr>
                    <w:t>位置</w:t>
                  </w:r>
                </w:p>
              </w:tc>
              <w:tc>
                <w:tcPr>
                  <w:tcW w:w="522" w:type="pct"/>
                  <w:tcBorders>
                    <w:tl2br w:val="nil"/>
                    <w:tr2bl w:val="nil"/>
                  </w:tcBorders>
                  <w:noWrap w:val="0"/>
                  <w:vAlign w:val="center"/>
                </w:tcPr>
                <w:p w14:paraId="5627EB20">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b/>
                      <w:color w:val="auto"/>
                      <w:kern w:val="44"/>
                      <w:sz w:val="21"/>
                      <w:szCs w:val="22"/>
                      <w:highlight w:val="none"/>
                      <w:lang w:val="en-US" w:eastAsia="zh-CN" w:bidi="ar-SA"/>
                    </w:rPr>
                  </w:pPr>
                  <w:r>
                    <w:rPr>
                      <w:rFonts w:ascii="Times New Roman" w:hAnsi="Times New Roman" w:eastAsia="宋体" w:cs="Times New Roman"/>
                      <w:b/>
                      <w:color w:val="auto"/>
                      <w:kern w:val="44"/>
                      <w:sz w:val="21"/>
                      <w:szCs w:val="22"/>
                      <w:highlight w:val="none"/>
                      <w:lang w:val="en-US" w:eastAsia="zh-CN" w:bidi="ar-SA"/>
                    </w:rPr>
                    <w:t>占地面积（m</w:t>
                  </w:r>
                  <w:r>
                    <w:rPr>
                      <w:rFonts w:ascii="Times New Roman" w:hAnsi="Times New Roman" w:eastAsia="宋体" w:cs="Times New Roman"/>
                      <w:b/>
                      <w:color w:val="auto"/>
                      <w:kern w:val="44"/>
                      <w:sz w:val="21"/>
                      <w:szCs w:val="22"/>
                      <w:highlight w:val="none"/>
                      <w:vertAlign w:val="superscript"/>
                      <w:lang w:val="en-US" w:eastAsia="zh-CN" w:bidi="ar-SA"/>
                    </w:rPr>
                    <w:t>2</w:t>
                  </w:r>
                  <w:r>
                    <w:rPr>
                      <w:rFonts w:ascii="Times New Roman" w:hAnsi="Times New Roman" w:eastAsia="宋体" w:cs="Times New Roman"/>
                      <w:b/>
                      <w:color w:val="auto"/>
                      <w:kern w:val="44"/>
                      <w:sz w:val="21"/>
                      <w:szCs w:val="22"/>
                      <w:highlight w:val="none"/>
                      <w:lang w:val="en-US" w:eastAsia="zh-CN" w:bidi="ar-SA"/>
                    </w:rPr>
                    <w:t>）</w:t>
                  </w:r>
                </w:p>
              </w:tc>
              <w:tc>
                <w:tcPr>
                  <w:tcW w:w="522" w:type="pct"/>
                  <w:tcBorders>
                    <w:tl2br w:val="nil"/>
                    <w:tr2bl w:val="nil"/>
                  </w:tcBorders>
                  <w:noWrap w:val="0"/>
                  <w:vAlign w:val="center"/>
                </w:tcPr>
                <w:p w14:paraId="5A1F8BC0">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b/>
                      <w:color w:val="auto"/>
                      <w:kern w:val="44"/>
                      <w:sz w:val="21"/>
                      <w:szCs w:val="22"/>
                      <w:highlight w:val="none"/>
                      <w:lang w:val="en-US" w:eastAsia="zh-CN" w:bidi="ar-SA"/>
                    </w:rPr>
                  </w:pPr>
                  <w:r>
                    <w:rPr>
                      <w:rFonts w:ascii="Times New Roman" w:hAnsi="Times New Roman" w:eastAsia="宋体" w:cs="Times New Roman"/>
                      <w:b/>
                      <w:color w:val="auto"/>
                      <w:kern w:val="44"/>
                      <w:sz w:val="21"/>
                      <w:szCs w:val="22"/>
                      <w:highlight w:val="none"/>
                      <w:lang w:val="en-US" w:eastAsia="zh-CN" w:bidi="ar-SA"/>
                    </w:rPr>
                    <w:t>贮存能力（t）</w:t>
                  </w:r>
                </w:p>
              </w:tc>
              <w:tc>
                <w:tcPr>
                  <w:tcW w:w="453" w:type="pct"/>
                  <w:tcBorders>
                    <w:tl2br w:val="nil"/>
                    <w:tr2bl w:val="nil"/>
                  </w:tcBorders>
                  <w:noWrap w:val="0"/>
                  <w:vAlign w:val="center"/>
                </w:tcPr>
                <w:p w14:paraId="7A78A469">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b/>
                      <w:color w:val="auto"/>
                      <w:kern w:val="44"/>
                      <w:sz w:val="21"/>
                      <w:szCs w:val="22"/>
                      <w:highlight w:val="none"/>
                      <w:lang w:val="en-US" w:eastAsia="zh-CN" w:bidi="ar-SA"/>
                    </w:rPr>
                  </w:pPr>
                  <w:r>
                    <w:rPr>
                      <w:rFonts w:ascii="Times New Roman" w:hAnsi="Times New Roman" w:eastAsia="宋体" w:cs="Times New Roman"/>
                      <w:b/>
                      <w:color w:val="auto"/>
                      <w:kern w:val="44"/>
                      <w:sz w:val="21"/>
                      <w:szCs w:val="22"/>
                      <w:highlight w:val="none"/>
                      <w:lang w:val="en-US" w:eastAsia="zh-CN" w:bidi="ar-SA"/>
                    </w:rPr>
                    <w:t>贮存周期</w:t>
                  </w:r>
                </w:p>
              </w:tc>
              <w:tc>
                <w:tcPr>
                  <w:tcW w:w="650" w:type="pct"/>
                  <w:tcBorders>
                    <w:tl2br w:val="nil"/>
                    <w:tr2bl w:val="nil"/>
                  </w:tcBorders>
                  <w:noWrap w:val="0"/>
                  <w:vAlign w:val="center"/>
                </w:tcPr>
                <w:p w14:paraId="1359BD28">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b/>
                      <w:color w:val="auto"/>
                      <w:kern w:val="44"/>
                      <w:sz w:val="21"/>
                      <w:szCs w:val="22"/>
                      <w:highlight w:val="none"/>
                      <w:lang w:val="en-US" w:eastAsia="zh-CN" w:bidi="ar-SA"/>
                    </w:rPr>
                  </w:pPr>
                  <w:r>
                    <w:rPr>
                      <w:rFonts w:hint="eastAsia" w:ascii="Times New Roman" w:hAnsi="Times New Roman" w:eastAsia="宋体" w:cs="Times New Roman"/>
                      <w:b/>
                      <w:color w:val="auto"/>
                      <w:kern w:val="44"/>
                      <w:sz w:val="21"/>
                      <w:szCs w:val="22"/>
                      <w:highlight w:val="none"/>
                      <w:lang w:val="en-US" w:eastAsia="zh-CN" w:bidi="ar-SA"/>
                    </w:rPr>
                    <w:t>贮存</w:t>
                  </w:r>
                  <w:r>
                    <w:rPr>
                      <w:rFonts w:hint="eastAsia" w:cs="Times New Roman"/>
                      <w:b/>
                      <w:color w:val="auto"/>
                      <w:kern w:val="44"/>
                      <w:sz w:val="21"/>
                      <w:szCs w:val="22"/>
                      <w:highlight w:val="none"/>
                      <w:lang w:val="en-US" w:eastAsia="zh-CN" w:bidi="ar-SA"/>
                    </w:rPr>
                    <w:t>要求</w:t>
                  </w:r>
                </w:p>
              </w:tc>
              <w:tc>
                <w:tcPr>
                  <w:tcW w:w="778" w:type="pct"/>
                  <w:tcBorders>
                    <w:tl2br w:val="nil"/>
                    <w:tr2bl w:val="nil"/>
                  </w:tcBorders>
                  <w:noWrap w:val="0"/>
                  <w:vAlign w:val="center"/>
                </w:tcPr>
                <w:p w14:paraId="29703D9D">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b/>
                      <w:color w:val="auto"/>
                      <w:kern w:val="44"/>
                      <w:sz w:val="21"/>
                      <w:szCs w:val="22"/>
                      <w:highlight w:val="none"/>
                      <w:lang w:val="en-US" w:eastAsia="zh-CN" w:bidi="ar-SA"/>
                    </w:rPr>
                  </w:pPr>
                  <w:r>
                    <w:rPr>
                      <w:rFonts w:hint="eastAsia" w:ascii="Times New Roman" w:hAnsi="Times New Roman" w:eastAsia="宋体" w:cs="Times New Roman"/>
                      <w:b/>
                      <w:color w:val="auto"/>
                      <w:kern w:val="44"/>
                      <w:sz w:val="21"/>
                      <w:szCs w:val="22"/>
                      <w:highlight w:val="none"/>
                      <w:lang w:val="en-US" w:eastAsia="zh-CN" w:bidi="ar-SA"/>
                    </w:rPr>
                    <w:t>所需贮存量</w:t>
                  </w:r>
                  <w:r>
                    <w:rPr>
                      <w:rFonts w:ascii="Times New Roman" w:hAnsi="Times New Roman" w:eastAsia="宋体" w:cs="Times New Roman"/>
                      <w:b/>
                      <w:color w:val="auto"/>
                      <w:kern w:val="44"/>
                      <w:sz w:val="21"/>
                      <w:szCs w:val="22"/>
                      <w:highlight w:val="none"/>
                      <w:lang w:val="en-US" w:eastAsia="zh-CN" w:bidi="ar-SA"/>
                    </w:rPr>
                    <w:t>（t</w:t>
                  </w:r>
                  <w:r>
                    <w:rPr>
                      <w:rFonts w:hint="eastAsia" w:ascii="Times New Roman" w:hAnsi="Times New Roman" w:eastAsia="宋体" w:cs="Times New Roman"/>
                      <w:b/>
                      <w:color w:val="auto"/>
                      <w:kern w:val="44"/>
                      <w:sz w:val="21"/>
                      <w:szCs w:val="22"/>
                      <w:highlight w:val="none"/>
                      <w:lang w:val="en-US" w:eastAsia="zh-CN" w:bidi="ar-SA"/>
                    </w:rPr>
                    <w:t>）</w:t>
                  </w:r>
                </w:p>
              </w:tc>
              <w:tc>
                <w:tcPr>
                  <w:tcW w:w="397" w:type="pct"/>
                  <w:tcBorders>
                    <w:tl2br w:val="nil"/>
                    <w:tr2bl w:val="nil"/>
                  </w:tcBorders>
                  <w:noWrap w:val="0"/>
                  <w:vAlign w:val="center"/>
                </w:tcPr>
                <w:p w14:paraId="5F330FCD">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b/>
                      <w:color w:val="auto"/>
                      <w:kern w:val="44"/>
                      <w:sz w:val="21"/>
                      <w:szCs w:val="22"/>
                      <w:highlight w:val="none"/>
                      <w:lang w:val="en-US" w:eastAsia="zh-CN" w:bidi="ar-SA"/>
                    </w:rPr>
                  </w:pPr>
                  <w:r>
                    <w:rPr>
                      <w:rFonts w:ascii="Times New Roman" w:hAnsi="Times New Roman" w:eastAsia="宋体" w:cs="Times New Roman"/>
                      <w:b/>
                      <w:color w:val="auto"/>
                      <w:kern w:val="44"/>
                      <w:sz w:val="21"/>
                      <w:szCs w:val="22"/>
                      <w:highlight w:val="none"/>
                      <w:lang w:val="en-US" w:eastAsia="zh-CN" w:bidi="ar-SA"/>
                    </w:rPr>
                    <w:t>是否满足要求</w:t>
                  </w:r>
                </w:p>
              </w:tc>
            </w:tr>
            <w:tr w14:paraId="7D11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Merge w:val="restart"/>
                  <w:tcBorders>
                    <w:tl2br w:val="nil"/>
                    <w:tr2bl w:val="nil"/>
                  </w:tcBorders>
                  <w:noWrap w:val="0"/>
                  <w:vAlign w:val="center"/>
                </w:tcPr>
                <w:p w14:paraId="67D3FCB8">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r>
                    <w:rPr>
                      <w:rFonts w:ascii="Times New Roman" w:hAnsi="Times New Roman" w:eastAsia="宋体" w:cs="Times New Roman"/>
                      <w:color w:val="auto"/>
                      <w:kern w:val="44"/>
                      <w:sz w:val="21"/>
                      <w:szCs w:val="22"/>
                      <w:highlight w:val="none"/>
                      <w:lang w:val="en-US" w:eastAsia="zh-CN" w:bidi="ar-SA"/>
                    </w:rPr>
                    <w:t>一般固废</w:t>
                  </w:r>
                  <w:r>
                    <w:rPr>
                      <w:rFonts w:hint="eastAsia" w:cs="Times New Roman"/>
                      <w:color w:val="auto"/>
                      <w:kern w:val="44"/>
                      <w:sz w:val="21"/>
                      <w:szCs w:val="22"/>
                      <w:highlight w:val="none"/>
                      <w:lang w:val="en-US" w:eastAsia="zh-CN" w:bidi="ar-SA"/>
                    </w:rPr>
                    <w:t>间</w:t>
                  </w:r>
                </w:p>
              </w:tc>
              <w:tc>
                <w:tcPr>
                  <w:tcW w:w="814" w:type="pct"/>
                  <w:tcBorders>
                    <w:tl2br w:val="nil"/>
                    <w:tr2bl w:val="nil"/>
                  </w:tcBorders>
                  <w:shd w:val="clear" w:color="auto" w:fill="auto"/>
                  <w:noWrap w:val="0"/>
                  <w:vAlign w:val="center"/>
                </w:tcPr>
                <w:p w14:paraId="62185839">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PVC</w:t>
                  </w:r>
                  <w:r>
                    <w:rPr>
                      <w:rFonts w:hint="default" w:ascii="Times New Roman" w:hAnsi="Times New Roman" w:eastAsia="宋体" w:cs="Times New Roman"/>
                      <w:color w:val="auto"/>
                      <w:sz w:val="21"/>
                      <w:szCs w:val="21"/>
                      <w:highlight w:val="none"/>
                    </w:rPr>
                    <w:t>边角料</w:t>
                  </w:r>
                  <w:r>
                    <w:rPr>
                      <w:rFonts w:hint="eastAsia" w:ascii="Times New Roman" w:hAnsi="Times New Roman" w:eastAsia="宋体" w:cs="Times New Roman"/>
                      <w:color w:val="auto"/>
                      <w:sz w:val="21"/>
                      <w:szCs w:val="21"/>
                      <w:highlight w:val="none"/>
                      <w:lang w:val="en-US" w:eastAsia="zh-CN"/>
                    </w:rPr>
                    <w:t>和不合格品</w:t>
                  </w:r>
                </w:p>
              </w:tc>
              <w:tc>
                <w:tcPr>
                  <w:tcW w:w="392" w:type="pct"/>
                  <w:vMerge w:val="restart"/>
                  <w:tcBorders>
                    <w:tl2br w:val="nil"/>
                    <w:tr2bl w:val="nil"/>
                  </w:tcBorders>
                  <w:noWrap w:val="0"/>
                  <w:vAlign w:val="center"/>
                </w:tcPr>
                <w:p w14:paraId="5F6B97BD">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hint="default" w:ascii="Times New Roman" w:hAnsi="Times New Roman" w:eastAsia="宋体" w:cs="Times New Roman"/>
                      <w:color w:val="auto"/>
                      <w:kern w:val="44"/>
                      <w:sz w:val="21"/>
                      <w:szCs w:val="22"/>
                      <w:highlight w:val="none"/>
                      <w:lang w:val="en-US" w:eastAsia="zh-CN" w:bidi="ar-SA"/>
                    </w:rPr>
                  </w:pPr>
                  <w:r>
                    <w:rPr>
                      <w:rFonts w:hint="eastAsia" w:cs="Times New Roman"/>
                      <w:color w:val="auto"/>
                      <w:kern w:val="44"/>
                      <w:sz w:val="21"/>
                      <w:szCs w:val="22"/>
                      <w:highlight w:val="none"/>
                      <w:lang w:val="en-US" w:eastAsia="zh-CN" w:bidi="ar-SA"/>
                    </w:rPr>
                    <w:t>1#厂房</w:t>
                  </w:r>
                </w:p>
              </w:tc>
              <w:tc>
                <w:tcPr>
                  <w:tcW w:w="522" w:type="pct"/>
                  <w:vMerge w:val="restart"/>
                  <w:tcBorders>
                    <w:tl2br w:val="nil"/>
                    <w:tr2bl w:val="nil"/>
                  </w:tcBorders>
                  <w:noWrap w:val="0"/>
                  <w:vAlign w:val="center"/>
                </w:tcPr>
                <w:p w14:paraId="6E0F54D6">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hint="default" w:ascii="Times New Roman" w:hAnsi="Times New Roman" w:eastAsia="宋体" w:cs="Times New Roman"/>
                      <w:color w:val="auto"/>
                      <w:kern w:val="44"/>
                      <w:sz w:val="21"/>
                      <w:szCs w:val="22"/>
                      <w:highlight w:val="none"/>
                      <w:lang w:val="en-US" w:eastAsia="zh-CN" w:bidi="ar-SA"/>
                    </w:rPr>
                  </w:pPr>
                  <w:r>
                    <w:rPr>
                      <w:rFonts w:hint="eastAsia" w:cs="Times New Roman"/>
                      <w:color w:val="auto"/>
                      <w:kern w:val="44"/>
                      <w:sz w:val="21"/>
                      <w:szCs w:val="22"/>
                      <w:highlight w:val="none"/>
                      <w:lang w:val="en-US" w:eastAsia="zh-CN" w:bidi="ar-SA"/>
                    </w:rPr>
                    <w:t>5</w:t>
                  </w:r>
                  <w:r>
                    <w:rPr>
                      <w:rFonts w:hint="eastAsia" w:ascii="Times New Roman" w:hAnsi="Times New Roman" w:eastAsia="宋体" w:cs="Times New Roman"/>
                      <w:color w:val="auto"/>
                      <w:kern w:val="44"/>
                      <w:sz w:val="21"/>
                      <w:szCs w:val="22"/>
                      <w:highlight w:val="none"/>
                      <w:lang w:val="en-US" w:eastAsia="zh-CN" w:bidi="ar-SA"/>
                    </w:rPr>
                    <w:t>0</w:t>
                  </w:r>
                </w:p>
              </w:tc>
              <w:tc>
                <w:tcPr>
                  <w:tcW w:w="522" w:type="pct"/>
                  <w:vMerge w:val="restart"/>
                  <w:tcBorders>
                    <w:tl2br w:val="nil"/>
                    <w:tr2bl w:val="nil"/>
                  </w:tcBorders>
                  <w:noWrap w:val="0"/>
                  <w:vAlign w:val="center"/>
                </w:tcPr>
                <w:p w14:paraId="6FD193DD">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hint="default" w:ascii="Times New Roman" w:hAnsi="Times New Roman" w:eastAsia="宋体" w:cs="Times New Roman"/>
                      <w:color w:val="auto"/>
                      <w:kern w:val="44"/>
                      <w:sz w:val="21"/>
                      <w:szCs w:val="22"/>
                      <w:highlight w:val="none"/>
                      <w:lang w:val="en-US" w:eastAsia="zh-CN" w:bidi="ar-SA"/>
                    </w:rPr>
                  </w:pPr>
                  <w:r>
                    <w:rPr>
                      <w:rFonts w:hint="eastAsia" w:cs="Times New Roman"/>
                      <w:color w:val="auto"/>
                      <w:kern w:val="44"/>
                      <w:sz w:val="21"/>
                      <w:szCs w:val="22"/>
                      <w:highlight w:val="none"/>
                      <w:lang w:val="en-US" w:eastAsia="zh-CN" w:bidi="ar-SA"/>
                    </w:rPr>
                    <w:t>10</w:t>
                  </w:r>
                </w:p>
              </w:tc>
              <w:tc>
                <w:tcPr>
                  <w:tcW w:w="453" w:type="pct"/>
                  <w:vMerge w:val="restart"/>
                  <w:tcBorders>
                    <w:tl2br w:val="nil"/>
                    <w:tr2bl w:val="nil"/>
                  </w:tcBorders>
                  <w:noWrap w:val="0"/>
                  <w:vAlign w:val="center"/>
                </w:tcPr>
                <w:p w14:paraId="6D849917">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hint="default" w:ascii="Times New Roman" w:hAnsi="Times New Roman" w:eastAsia="宋体" w:cs="Times New Roman"/>
                      <w:color w:val="auto"/>
                      <w:kern w:val="44"/>
                      <w:sz w:val="21"/>
                      <w:szCs w:val="22"/>
                      <w:highlight w:val="none"/>
                      <w:lang w:val="en-US" w:eastAsia="zh-CN" w:bidi="ar-SA"/>
                    </w:rPr>
                  </w:pPr>
                  <w:r>
                    <w:rPr>
                      <w:rFonts w:hint="eastAsia" w:cs="Times New Roman"/>
                      <w:color w:val="auto"/>
                      <w:kern w:val="44"/>
                      <w:sz w:val="21"/>
                      <w:szCs w:val="22"/>
                      <w:highlight w:val="none"/>
                      <w:lang w:val="en-US" w:eastAsia="zh-CN" w:bidi="ar-SA"/>
                    </w:rPr>
                    <w:t>1个月</w:t>
                  </w:r>
                </w:p>
              </w:tc>
              <w:tc>
                <w:tcPr>
                  <w:tcW w:w="650" w:type="pct"/>
                  <w:vMerge w:val="restart"/>
                  <w:tcBorders>
                    <w:tl2br w:val="nil"/>
                    <w:tr2bl w:val="nil"/>
                  </w:tcBorders>
                  <w:noWrap w:val="0"/>
                  <w:vAlign w:val="center"/>
                </w:tcPr>
                <w:p w14:paraId="216402D6">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r>
                    <w:rPr>
                      <w:rFonts w:hint="eastAsia" w:ascii="Times New Roman" w:hAnsi="Times New Roman" w:eastAsia="宋体" w:cs="Times New Roman"/>
                      <w:color w:val="auto"/>
                      <w:kern w:val="44"/>
                      <w:sz w:val="24"/>
                      <w:szCs w:val="24"/>
                      <w:highlight w:val="none"/>
                      <w:lang w:val="en-US" w:eastAsia="zh-CN" w:bidi="ar-SA"/>
                    </w:rPr>
                    <w:t>防渗漏、防雨淋、防扬尘等</w:t>
                  </w:r>
                </w:p>
              </w:tc>
              <w:tc>
                <w:tcPr>
                  <w:tcW w:w="778" w:type="pct"/>
                  <w:tcBorders>
                    <w:tl2br w:val="nil"/>
                    <w:tr2bl w:val="nil"/>
                  </w:tcBorders>
                  <w:noWrap w:val="0"/>
                  <w:vAlign w:val="center"/>
                </w:tcPr>
                <w:p w14:paraId="5764272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kern w:val="2"/>
                      <w:sz w:val="21"/>
                      <w:szCs w:val="24"/>
                      <w:highlight w:val="none"/>
                      <w:lang w:val="en-US" w:eastAsia="zh-CN" w:bidi="ar-SA"/>
                    </w:rPr>
                    <w:t>0.226</w:t>
                  </w:r>
                </w:p>
              </w:tc>
              <w:tc>
                <w:tcPr>
                  <w:tcW w:w="397" w:type="pct"/>
                  <w:vMerge w:val="restart"/>
                  <w:tcBorders>
                    <w:tl2br w:val="nil"/>
                    <w:tr2bl w:val="nil"/>
                  </w:tcBorders>
                  <w:noWrap w:val="0"/>
                  <w:vAlign w:val="center"/>
                </w:tcPr>
                <w:p w14:paraId="642EE462">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r>
                    <w:rPr>
                      <w:rFonts w:ascii="Times New Roman" w:hAnsi="Times New Roman" w:eastAsia="宋体" w:cs="Times New Roman"/>
                      <w:color w:val="auto"/>
                      <w:kern w:val="44"/>
                      <w:sz w:val="21"/>
                      <w:szCs w:val="22"/>
                      <w:highlight w:val="none"/>
                      <w:lang w:val="en-US" w:eastAsia="zh-CN" w:bidi="ar-SA"/>
                    </w:rPr>
                    <w:t>满足</w:t>
                  </w:r>
                </w:p>
              </w:tc>
            </w:tr>
            <w:tr w14:paraId="597A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Merge w:val="continue"/>
                  <w:tcBorders>
                    <w:tl2br w:val="nil"/>
                    <w:tr2bl w:val="nil"/>
                  </w:tcBorders>
                  <w:noWrap w:val="0"/>
                  <w:vAlign w:val="center"/>
                </w:tcPr>
                <w:p w14:paraId="2B9EE1F0">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p>
              </w:tc>
              <w:tc>
                <w:tcPr>
                  <w:tcW w:w="814" w:type="pct"/>
                  <w:tcBorders>
                    <w:tl2br w:val="nil"/>
                    <w:tr2bl w:val="nil"/>
                  </w:tcBorders>
                  <w:shd w:val="clear" w:color="auto" w:fill="auto"/>
                  <w:noWrap w:val="0"/>
                  <w:vAlign w:val="center"/>
                </w:tcPr>
                <w:p w14:paraId="111E2D6C">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P</w:t>
                  </w:r>
                  <w:r>
                    <w:rPr>
                      <w:rFonts w:hint="eastAsia" w:ascii="Times New Roman" w:hAnsi="Times New Roman" w:cs="Times New Roman"/>
                      <w:color w:val="auto"/>
                      <w:sz w:val="21"/>
                      <w:szCs w:val="21"/>
                      <w:highlight w:val="none"/>
                      <w:lang w:val="en-US" w:eastAsia="zh-CN"/>
                    </w:rPr>
                    <w:t>U</w:t>
                  </w:r>
                  <w:r>
                    <w:rPr>
                      <w:rFonts w:hint="default" w:ascii="Times New Roman" w:hAnsi="Times New Roman" w:eastAsia="宋体" w:cs="Times New Roman"/>
                      <w:color w:val="auto"/>
                      <w:sz w:val="21"/>
                      <w:szCs w:val="21"/>
                      <w:highlight w:val="none"/>
                      <w:lang w:val="en-US" w:eastAsia="zh-CN"/>
                    </w:rPr>
                    <w:t>边角料</w:t>
                  </w:r>
                  <w:r>
                    <w:rPr>
                      <w:rFonts w:hint="eastAsia" w:ascii="Times New Roman" w:hAnsi="Times New Roman" w:eastAsia="宋体" w:cs="Times New Roman"/>
                      <w:color w:val="auto"/>
                      <w:sz w:val="21"/>
                      <w:szCs w:val="21"/>
                      <w:highlight w:val="none"/>
                      <w:lang w:val="en-US" w:eastAsia="zh-CN"/>
                    </w:rPr>
                    <w:t>和不合格品</w:t>
                  </w:r>
                </w:p>
              </w:tc>
              <w:tc>
                <w:tcPr>
                  <w:tcW w:w="392" w:type="pct"/>
                  <w:vMerge w:val="continue"/>
                  <w:tcBorders>
                    <w:tl2br w:val="nil"/>
                    <w:tr2bl w:val="nil"/>
                  </w:tcBorders>
                  <w:noWrap w:val="0"/>
                  <w:vAlign w:val="center"/>
                </w:tcPr>
                <w:p w14:paraId="4F2AD401">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hint="eastAsia" w:ascii="Times New Roman" w:hAnsi="Times New Roman" w:eastAsia="宋体" w:cs="Times New Roman"/>
                      <w:color w:val="auto"/>
                      <w:kern w:val="44"/>
                      <w:sz w:val="21"/>
                      <w:szCs w:val="22"/>
                      <w:highlight w:val="none"/>
                      <w:lang w:val="en-US" w:eastAsia="zh-CN" w:bidi="ar-SA"/>
                    </w:rPr>
                  </w:pPr>
                </w:p>
              </w:tc>
              <w:tc>
                <w:tcPr>
                  <w:tcW w:w="522" w:type="pct"/>
                  <w:vMerge w:val="continue"/>
                  <w:tcBorders>
                    <w:tl2br w:val="nil"/>
                    <w:tr2bl w:val="nil"/>
                  </w:tcBorders>
                  <w:noWrap w:val="0"/>
                  <w:vAlign w:val="center"/>
                </w:tcPr>
                <w:p w14:paraId="4F28AD44">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p>
              </w:tc>
              <w:tc>
                <w:tcPr>
                  <w:tcW w:w="522" w:type="pct"/>
                  <w:vMerge w:val="continue"/>
                  <w:tcBorders>
                    <w:tl2br w:val="nil"/>
                    <w:tr2bl w:val="nil"/>
                  </w:tcBorders>
                  <w:noWrap w:val="0"/>
                  <w:vAlign w:val="center"/>
                </w:tcPr>
                <w:p w14:paraId="3E9D719B">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p>
              </w:tc>
              <w:tc>
                <w:tcPr>
                  <w:tcW w:w="453" w:type="pct"/>
                  <w:vMerge w:val="continue"/>
                  <w:tcBorders>
                    <w:tl2br w:val="nil"/>
                    <w:tr2bl w:val="nil"/>
                  </w:tcBorders>
                  <w:noWrap w:val="0"/>
                  <w:vAlign w:val="center"/>
                </w:tcPr>
                <w:p w14:paraId="7114A947">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hint="default" w:ascii="Times New Roman" w:hAnsi="Times New Roman" w:eastAsia="宋体" w:cs="Times New Roman"/>
                      <w:color w:val="auto"/>
                      <w:kern w:val="44"/>
                      <w:sz w:val="21"/>
                      <w:szCs w:val="22"/>
                      <w:highlight w:val="none"/>
                      <w:lang w:val="en-US" w:eastAsia="zh-CN" w:bidi="ar-SA"/>
                    </w:rPr>
                  </w:pPr>
                </w:p>
              </w:tc>
              <w:tc>
                <w:tcPr>
                  <w:tcW w:w="650" w:type="pct"/>
                  <w:vMerge w:val="continue"/>
                  <w:tcBorders>
                    <w:tl2br w:val="nil"/>
                    <w:tr2bl w:val="nil"/>
                  </w:tcBorders>
                  <w:noWrap w:val="0"/>
                  <w:vAlign w:val="center"/>
                </w:tcPr>
                <w:p w14:paraId="63C8EA52">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p>
              </w:tc>
              <w:tc>
                <w:tcPr>
                  <w:tcW w:w="778" w:type="pct"/>
                  <w:tcBorders>
                    <w:tl2br w:val="nil"/>
                    <w:tr2bl w:val="nil"/>
                  </w:tcBorders>
                  <w:noWrap w:val="0"/>
                  <w:vAlign w:val="center"/>
                </w:tcPr>
                <w:p w14:paraId="2911D85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kern w:val="2"/>
                      <w:sz w:val="21"/>
                      <w:szCs w:val="24"/>
                      <w:highlight w:val="none"/>
                      <w:lang w:val="en-US" w:eastAsia="zh-CN" w:bidi="ar-SA"/>
                    </w:rPr>
                    <w:t>0.226</w:t>
                  </w:r>
                </w:p>
              </w:tc>
              <w:tc>
                <w:tcPr>
                  <w:tcW w:w="397" w:type="pct"/>
                  <w:vMerge w:val="continue"/>
                  <w:tcBorders>
                    <w:tl2br w:val="nil"/>
                    <w:tr2bl w:val="nil"/>
                  </w:tcBorders>
                  <w:noWrap w:val="0"/>
                  <w:vAlign w:val="center"/>
                </w:tcPr>
                <w:p w14:paraId="7C67C9C9">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p>
              </w:tc>
            </w:tr>
            <w:tr w14:paraId="3E7A8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Merge w:val="continue"/>
                  <w:tcBorders>
                    <w:tl2br w:val="nil"/>
                    <w:tr2bl w:val="nil"/>
                  </w:tcBorders>
                  <w:noWrap w:val="0"/>
                  <w:vAlign w:val="center"/>
                </w:tcPr>
                <w:p w14:paraId="2062576B">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p>
              </w:tc>
              <w:tc>
                <w:tcPr>
                  <w:tcW w:w="814" w:type="pct"/>
                  <w:tcBorders>
                    <w:tl2br w:val="nil"/>
                    <w:tr2bl w:val="nil"/>
                  </w:tcBorders>
                  <w:shd w:val="clear" w:color="auto" w:fill="auto"/>
                  <w:noWrap w:val="0"/>
                  <w:vAlign w:val="center"/>
                </w:tcPr>
                <w:p w14:paraId="5042C685">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皮布边角料和不合格品</w:t>
                  </w:r>
                </w:p>
              </w:tc>
              <w:tc>
                <w:tcPr>
                  <w:tcW w:w="392" w:type="pct"/>
                  <w:vMerge w:val="continue"/>
                  <w:tcBorders>
                    <w:tl2br w:val="nil"/>
                    <w:tr2bl w:val="nil"/>
                  </w:tcBorders>
                  <w:noWrap w:val="0"/>
                  <w:vAlign w:val="center"/>
                </w:tcPr>
                <w:p w14:paraId="427C4AD8">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hint="eastAsia" w:ascii="Times New Roman" w:hAnsi="Times New Roman" w:eastAsia="宋体" w:cs="Times New Roman"/>
                      <w:color w:val="auto"/>
                      <w:kern w:val="44"/>
                      <w:sz w:val="21"/>
                      <w:szCs w:val="22"/>
                      <w:highlight w:val="none"/>
                      <w:lang w:val="en-US" w:eastAsia="zh-CN" w:bidi="ar-SA"/>
                    </w:rPr>
                  </w:pPr>
                </w:p>
              </w:tc>
              <w:tc>
                <w:tcPr>
                  <w:tcW w:w="522" w:type="pct"/>
                  <w:vMerge w:val="continue"/>
                  <w:tcBorders>
                    <w:tl2br w:val="nil"/>
                    <w:tr2bl w:val="nil"/>
                  </w:tcBorders>
                  <w:noWrap w:val="0"/>
                  <w:vAlign w:val="center"/>
                </w:tcPr>
                <w:p w14:paraId="4DCBC643">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p>
              </w:tc>
              <w:tc>
                <w:tcPr>
                  <w:tcW w:w="522" w:type="pct"/>
                  <w:vMerge w:val="continue"/>
                  <w:tcBorders>
                    <w:tl2br w:val="nil"/>
                    <w:tr2bl w:val="nil"/>
                  </w:tcBorders>
                  <w:noWrap w:val="0"/>
                  <w:vAlign w:val="center"/>
                </w:tcPr>
                <w:p w14:paraId="0D8699D3">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p>
              </w:tc>
              <w:tc>
                <w:tcPr>
                  <w:tcW w:w="453" w:type="pct"/>
                  <w:vMerge w:val="continue"/>
                  <w:tcBorders>
                    <w:tl2br w:val="nil"/>
                    <w:tr2bl w:val="nil"/>
                  </w:tcBorders>
                  <w:noWrap w:val="0"/>
                  <w:vAlign w:val="center"/>
                </w:tcPr>
                <w:p w14:paraId="06446751">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p>
              </w:tc>
              <w:tc>
                <w:tcPr>
                  <w:tcW w:w="650" w:type="pct"/>
                  <w:vMerge w:val="continue"/>
                  <w:tcBorders>
                    <w:tl2br w:val="nil"/>
                    <w:tr2bl w:val="nil"/>
                  </w:tcBorders>
                  <w:noWrap w:val="0"/>
                  <w:vAlign w:val="center"/>
                </w:tcPr>
                <w:p w14:paraId="4B1BC029">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p>
              </w:tc>
              <w:tc>
                <w:tcPr>
                  <w:tcW w:w="778" w:type="pct"/>
                  <w:tcBorders>
                    <w:tl2br w:val="nil"/>
                    <w:tr2bl w:val="nil"/>
                  </w:tcBorders>
                  <w:noWrap w:val="0"/>
                  <w:vAlign w:val="center"/>
                </w:tcPr>
                <w:p w14:paraId="5ADF24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kern w:val="2"/>
                      <w:sz w:val="21"/>
                      <w:szCs w:val="24"/>
                      <w:highlight w:val="none"/>
                      <w:lang w:val="en-US" w:eastAsia="zh-CN" w:bidi="ar-SA"/>
                    </w:rPr>
                    <w:t>0.417</w:t>
                  </w:r>
                </w:p>
              </w:tc>
              <w:tc>
                <w:tcPr>
                  <w:tcW w:w="397" w:type="pct"/>
                  <w:vMerge w:val="continue"/>
                  <w:tcBorders>
                    <w:tl2br w:val="nil"/>
                    <w:tr2bl w:val="nil"/>
                  </w:tcBorders>
                  <w:noWrap w:val="0"/>
                  <w:vAlign w:val="center"/>
                </w:tcPr>
                <w:p w14:paraId="7FFA4F49">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p>
              </w:tc>
            </w:tr>
            <w:tr w14:paraId="50E3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Merge w:val="continue"/>
                  <w:tcBorders>
                    <w:tl2br w:val="nil"/>
                    <w:tr2bl w:val="nil"/>
                  </w:tcBorders>
                  <w:noWrap w:val="0"/>
                  <w:vAlign w:val="center"/>
                </w:tcPr>
                <w:p w14:paraId="04626644">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p>
              </w:tc>
              <w:tc>
                <w:tcPr>
                  <w:tcW w:w="814" w:type="pct"/>
                  <w:tcBorders>
                    <w:tl2br w:val="nil"/>
                    <w:tr2bl w:val="nil"/>
                  </w:tcBorders>
                  <w:shd w:val="clear" w:color="auto" w:fill="auto"/>
                  <w:noWrap w:val="0"/>
                  <w:vAlign w:val="center"/>
                </w:tcPr>
                <w:p w14:paraId="21D9C5B8">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default" w:ascii="Times New Roman" w:hAnsi="Times New Roman" w:eastAsia="宋体" w:cs="Times New Roman"/>
                      <w:color w:val="auto"/>
                      <w:sz w:val="21"/>
                      <w:szCs w:val="21"/>
                      <w:highlight w:val="none"/>
                    </w:rPr>
                    <w:t>废</w:t>
                  </w:r>
                  <w:r>
                    <w:rPr>
                      <w:rFonts w:hint="default" w:ascii="Times New Roman" w:hAnsi="Times New Roman" w:eastAsia="宋体" w:cs="Times New Roman"/>
                      <w:color w:val="auto"/>
                      <w:sz w:val="21"/>
                      <w:szCs w:val="21"/>
                      <w:highlight w:val="none"/>
                      <w:lang w:val="en-US" w:eastAsia="zh-CN"/>
                    </w:rPr>
                    <w:t>包装袋</w:t>
                  </w:r>
                </w:p>
              </w:tc>
              <w:tc>
                <w:tcPr>
                  <w:tcW w:w="392" w:type="pct"/>
                  <w:vMerge w:val="continue"/>
                  <w:tcBorders>
                    <w:tl2br w:val="nil"/>
                    <w:tr2bl w:val="nil"/>
                  </w:tcBorders>
                  <w:noWrap w:val="0"/>
                  <w:vAlign w:val="center"/>
                </w:tcPr>
                <w:p w14:paraId="23A0132B">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hint="eastAsia" w:ascii="Times New Roman" w:hAnsi="Times New Roman" w:eastAsia="宋体" w:cs="Times New Roman"/>
                      <w:color w:val="auto"/>
                      <w:kern w:val="44"/>
                      <w:sz w:val="21"/>
                      <w:szCs w:val="22"/>
                      <w:highlight w:val="none"/>
                      <w:lang w:val="en-US" w:eastAsia="zh-CN" w:bidi="ar-SA"/>
                    </w:rPr>
                  </w:pPr>
                </w:p>
              </w:tc>
              <w:tc>
                <w:tcPr>
                  <w:tcW w:w="522" w:type="pct"/>
                  <w:vMerge w:val="continue"/>
                  <w:tcBorders>
                    <w:tl2br w:val="nil"/>
                    <w:tr2bl w:val="nil"/>
                  </w:tcBorders>
                  <w:noWrap w:val="0"/>
                  <w:vAlign w:val="center"/>
                </w:tcPr>
                <w:p w14:paraId="5639ECD5">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p>
              </w:tc>
              <w:tc>
                <w:tcPr>
                  <w:tcW w:w="522" w:type="pct"/>
                  <w:vMerge w:val="continue"/>
                  <w:tcBorders>
                    <w:tl2br w:val="nil"/>
                    <w:tr2bl w:val="nil"/>
                  </w:tcBorders>
                  <w:noWrap w:val="0"/>
                  <w:vAlign w:val="center"/>
                </w:tcPr>
                <w:p w14:paraId="798ADDE9">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p>
              </w:tc>
              <w:tc>
                <w:tcPr>
                  <w:tcW w:w="453" w:type="pct"/>
                  <w:vMerge w:val="continue"/>
                  <w:tcBorders>
                    <w:tl2br w:val="nil"/>
                    <w:tr2bl w:val="nil"/>
                  </w:tcBorders>
                  <w:noWrap w:val="0"/>
                  <w:vAlign w:val="center"/>
                </w:tcPr>
                <w:p w14:paraId="37A6F97A">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p>
              </w:tc>
              <w:tc>
                <w:tcPr>
                  <w:tcW w:w="650" w:type="pct"/>
                  <w:vMerge w:val="continue"/>
                  <w:tcBorders>
                    <w:tl2br w:val="nil"/>
                    <w:tr2bl w:val="nil"/>
                  </w:tcBorders>
                  <w:noWrap w:val="0"/>
                  <w:vAlign w:val="center"/>
                </w:tcPr>
                <w:p w14:paraId="694D970D">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p>
              </w:tc>
              <w:tc>
                <w:tcPr>
                  <w:tcW w:w="778" w:type="pct"/>
                  <w:tcBorders>
                    <w:tl2br w:val="nil"/>
                    <w:tr2bl w:val="nil"/>
                  </w:tcBorders>
                  <w:noWrap w:val="0"/>
                  <w:vAlign w:val="center"/>
                </w:tcPr>
                <w:p w14:paraId="5615969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kern w:val="2"/>
                      <w:sz w:val="21"/>
                      <w:szCs w:val="24"/>
                      <w:highlight w:val="none"/>
                      <w:lang w:val="en-US" w:eastAsia="zh-CN" w:bidi="ar-SA"/>
                    </w:rPr>
                    <w:t>0.05</w:t>
                  </w:r>
                </w:p>
              </w:tc>
              <w:tc>
                <w:tcPr>
                  <w:tcW w:w="397" w:type="pct"/>
                  <w:vMerge w:val="continue"/>
                  <w:tcBorders>
                    <w:tl2br w:val="nil"/>
                    <w:tr2bl w:val="nil"/>
                  </w:tcBorders>
                  <w:noWrap w:val="0"/>
                  <w:vAlign w:val="center"/>
                </w:tcPr>
                <w:p w14:paraId="0FC27F7D">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p>
              </w:tc>
            </w:tr>
            <w:tr w14:paraId="606C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4" w:type="pct"/>
                  <w:gridSpan w:val="7"/>
                  <w:tcBorders>
                    <w:tl2br w:val="nil"/>
                    <w:tr2bl w:val="nil"/>
                  </w:tcBorders>
                  <w:noWrap w:val="0"/>
                  <w:vAlign w:val="center"/>
                </w:tcPr>
                <w:p w14:paraId="75F26788">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r>
                    <w:rPr>
                      <w:rFonts w:hint="eastAsia" w:ascii="Times New Roman" w:hAnsi="Times New Roman" w:eastAsia="宋体" w:cs="Times New Roman"/>
                      <w:color w:val="auto"/>
                      <w:kern w:val="44"/>
                      <w:sz w:val="21"/>
                      <w:szCs w:val="22"/>
                      <w:highlight w:val="none"/>
                      <w:lang w:val="en-US" w:eastAsia="zh-CN" w:bidi="ar-SA"/>
                    </w:rPr>
                    <w:t>合计</w:t>
                  </w:r>
                </w:p>
              </w:tc>
              <w:tc>
                <w:tcPr>
                  <w:tcW w:w="778" w:type="pct"/>
                  <w:tcBorders>
                    <w:tl2br w:val="nil"/>
                    <w:tr2bl w:val="nil"/>
                  </w:tcBorders>
                  <w:shd w:val="clear" w:color="auto" w:fill="auto"/>
                  <w:noWrap w:val="0"/>
                  <w:vAlign w:val="center"/>
                </w:tcPr>
                <w:p w14:paraId="48DD9FBA">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eastAsia" w:ascii="Times New Roman" w:hAnsi="Times New Roman" w:cs="Times New Roman"/>
                      <w:color w:val="auto"/>
                      <w:kern w:val="0"/>
                      <w:sz w:val="21"/>
                      <w:szCs w:val="21"/>
                      <w:highlight w:val="none"/>
                      <w:lang w:val="en-US" w:eastAsia="zh-CN" w:bidi="zh-CN"/>
                    </w:rPr>
                    <w:t>0.919</w:t>
                  </w:r>
                </w:p>
              </w:tc>
              <w:tc>
                <w:tcPr>
                  <w:tcW w:w="397" w:type="pct"/>
                  <w:vMerge w:val="continue"/>
                  <w:tcBorders>
                    <w:tl2br w:val="nil"/>
                    <w:tr2bl w:val="nil"/>
                  </w:tcBorders>
                  <w:noWrap w:val="0"/>
                  <w:vAlign w:val="center"/>
                </w:tcPr>
                <w:p w14:paraId="506C3BFB">
                  <w:pPr>
                    <w:keepNext/>
                    <w:keepLines/>
                    <w:widowControl w:val="0"/>
                    <w:suppressLineNumbers w:val="0"/>
                    <w:adjustRightInd w:val="0"/>
                    <w:snapToGrid w:val="0"/>
                    <w:spacing w:before="0" w:beforeLines="0" w:beforeAutospacing="0" w:after="0" w:afterLines="0" w:afterAutospacing="0" w:line="240" w:lineRule="auto"/>
                    <w:ind w:left="0" w:right="0" w:firstLine="0" w:firstLineChars="0"/>
                    <w:jc w:val="center"/>
                    <w:textAlignment w:val="baseline"/>
                    <w:outlineLvl w:val="9"/>
                    <w:rPr>
                      <w:rFonts w:ascii="Times New Roman" w:hAnsi="Times New Roman" w:eastAsia="宋体" w:cs="Times New Roman"/>
                      <w:color w:val="auto"/>
                      <w:kern w:val="44"/>
                      <w:sz w:val="21"/>
                      <w:szCs w:val="22"/>
                      <w:highlight w:val="none"/>
                      <w:lang w:val="en-US" w:eastAsia="zh-CN" w:bidi="ar-SA"/>
                    </w:rPr>
                  </w:pPr>
                </w:p>
              </w:tc>
            </w:tr>
          </w:tbl>
          <w:p w14:paraId="3D012D26">
            <w:pPr>
              <w:keepNext/>
              <w:keepLines/>
              <w:pageBreakBefore w:val="0"/>
              <w:widowControl w:val="0"/>
              <w:suppressLineNumbers w:val="0"/>
              <w:kinsoku/>
              <w:wordWrap/>
              <w:overflowPunct/>
              <w:topLinePunct w:val="0"/>
              <w:autoSpaceDE/>
              <w:autoSpaceDN/>
              <w:bidi w:val="0"/>
              <w:adjustRightInd w:val="0"/>
              <w:snapToGrid w:val="0"/>
              <w:spacing w:before="157" w:beforeLines="50" w:beforeAutospacing="0" w:after="0" w:afterLines="0" w:afterAutospacing="0" w:line="360" w:lineRule="auto"/>
              <w:ind w:left="0" w:right="0" w:firstLine="480" w:firstLineChars="200"/>
              <w:jc w:val="left"/>
              <w:textAlignment w:val="auto"/>
              <w:outlineLvl w:val="9"/>
              <w:rPr>
                <w:rFonts w:hint="eastAsia" w:ascii="Times New Roman" w:hAnsi="Times New Roman" w:eastAsia="宋体" w:cs="Times New Roman"/>
                <w:color w:val="auto"/>
                <w:kern w:val="44"/>
                <w:sz w:val="24"/>
                <w:szCs w:val="24"/>
                <w:highlight w:val="none"/>
                <w:lang w:val="en-US" w:eastAsia="zh-CN" w:bidi="ar-SA"/>
              </w:rPr>
            </w:pPr>
            <w:r>
              <w:rPr>
                <w:rFonts w:hint="eastAsia" w:ascii="Times New Roman" w:hAnsi="Times New Roman" w:eastAsia="宋体" w:cs="Times New Roman"/>
                <w:color w:val="auto"/>
                <w:kern w:val="44"/>
                <w:sz w:val="24"/>
                <w:szCs w:val="24"/>
                <w:highlight w:val="none"/>
                <w:lang w:val="en-US" w:eastAsia="zh-CN" w:bidi="ar-SA"/>
              </w:rPr>
              <w:t>（2）危险废物</w:t>
            </w:r>
            <w:r>
              <w:rPr>
                <w:rFonts w:hint="eastAsia" w:cs="Times New Roman"/>
                <w:color w:val="auto"/>
                <w:kern w:val="44"/>
                <w:sz w:val="24"/>
                <w:szCs w:val="24"/>
                <w:highlight w:val="none"/>
                <w:lang w:val="en-US" w:eastAsia="zh-CN" w:bidi="ar-SA"/>
              </w:rPr>
              <w:t>暂</w:t>
            </w:r>
            <w:r>
              <w:rPr>
                <w:rFonts w:hint="eastAsia" w:ascii="Times New Roman" w:hAnsi="Times New Roman" w:eastAsia="宋体" w:cs="Times New Roman"/>
                <w:color w:val="auto"/>
                <w:kern w:val="44"/>
                <w:sz w:val="24"/>
                <w:szCs w:val="24"/>
                <w:highlight w:val="none"/>
                <w:lang w:val="en-US" w:eastAsia="zh-CN" w:bidi="ar-SA"/>
              </w:rPr>
              <w:t>存场所（设施）环境影响分析</w:t>
            </w:r>
          </w:p>
          <w:p w14:paraId="7DD94804">
            <w:pPr>
              <w:keepNext/>
              <w:keepLines/>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480" w:firstLineChars="200"/>
              <w:jc w:val="left"/>
              <w:textAlignment w:val="auto"/>
              <w:outlineLvl w:val="9"/>
              <w:rPr>
                <w:rFonts w:ascii="Times New Roman" w:hAnsi="Times New Roman" w:eastAsia="宋体" w:cs="Times New Roman"/>
                <w:color w:val="auto"/>
                <w:kern w:val="44"/>
                <w:sz w:val="24"/>
                <w:szCs w:val="24"/>
                <w:highlight w:val="none"/>
                <w:lang w:val="en-US" w:eastAsia="zh-CN" w:bidi="ar-SA"/>
              </w:rPr>
            </w:pPr>
            <w:r>
              <w:rPr>
                <w:rFonts w:hint="eastAsia" w:ascii="Times New Roman" w:hAnsi="Times New Roman" w:eastAsia="宋体" w:cs="Times New Roman"/>
                <w:color w:val="auto"/>
                <w:kern w:val="44"/>
                <w:sz w:val="24"/>
                <w:szCs w:val="24"/>
                <w:highlight w:val="none"/>
                <w:lang w:val="en-US" w:eastAsia="zh-CN" w:bidi="ar-SA"/>
              </w:rPr>
              <w:t>建设单位在</w:t>
            </w:r>
            <w:r>
              <w:rPr>
                <w:rFonts w:hint="eastAsia" w:cs="Times New Roman"/>
                <w:color w:val="auto"/>
                <w:sz w:val="24"/>
                <w:szCs w:val="24"/>
                <w:highlight w:val="none"/>
                <w:lang w:val="en-US" w:eastAsia="zh-CN"/>
              </w:rPr>
              <w:t>厂区西南角新</w:t>
            </w:r>
            <w:r>
              <w:rPr>
                <w:rFonts w:ascii="Times New Roman" w:hAnsi="Times New Roman" w:cs="Times New Roman"/>
                <w:color w:val="auto"/>
                <w:sz w:val="24"/>
                <w:szCs w:val="24"/>
                <w:highlight w:val="none"/>
              </w:rPr>
              <w:t>建一座</w:t>
            </w:r>
            <w:r>
              <w:rPr>
                <w:rFonts w:hint="eastAsia" w:cs="Times New Roman"/>
                <w:color w:val="auto"/>
                <w:sz w:val="24"/>
                <w:szCs w:val="24"/>
                <w:highlight w:val="none"/>
                <w:lang w:eastAsia="zh-CN"/>
              </w:rPr>
              <w:t>危废暂存库</w:t>
            </w:r>
            <w:r>
              <w:rPr>
                <w:rFonts w:hint="eastAsia" w:ascii="Times New Roman" w:hAnsi="Times New Roman" w:eastAsia="宋体" w:cs="Times New Roman"/>
                <w:color w:val="auto"/>
                <w:kern w:val="44"/>
                <w:sz w:val="24"/>
                <w:szCs w:val="24"/>
                <w:highlight w:val="none"/>
                <w:lang w:val="en-US" w:eastAsia="zh-CN" w:bidi="ar-SA"/>
              </w:rPr>
              <w:t>，占地面积</w:t>
            </w:r>
            <w:r>
              <w:rPr>
                <w:rFonts w:hint="eastAsia" w:cs="Times New Roman"/>
                <w:color w:val="auto"/>
                <w:kern w:val="44"/>
                <w:sz w:val="24"/>
                <w:szCs w:val="24"/>
                <w:highlight w:val="none"/>
                <w:lang w:val="en-US" w:eastAsia="zh-CN" w:bidi="ar-SA"/>
              </w:rPr>
              <w:t>约20</w:t>
            </w:r>
            <w:r>
              <w:rPr>
                <w:rFonts w:ascii="Times New Roman" w:hAnsi="Times New Roman" w:eastAsia="宋体" w:cs="Times New Roman"/>
                <w:color w:val="auto"/>
                <w:kern w:val="44"/>
                <w:sz w:val="24"/>
                <w:szCs w:val="24"/>
                <w:highlight w:val="none"/>
                <w:lang w:val="en-US" w:eastAsia="zh-CN" w:bidi="ar-SA"/>
              </w:rPr>
              <w:t>m</w:t>
            </w:r>
            <w:r>
              <w:rPr>
                <w:rFonts w:ascii="Times New Roman" w:hAnsi="Times New Roman" w:eastAsia="宋体" w:cs="Times New Roman"/>
                <w:color w:val="auto"/>
                <w:kern w:val="44"/>
                <w:sz w:val="24"/>
                <w:szCs w:val="24"/>
                <w:highlight w:val="none"/>
                <w:vertAlign w:val="superscript"/>
                <w:lang w:val="en-US" w:eastAsia="zh-CN" w:bidi="ar-SA"/>
              </w:rPr>
              <w:t>2</w:t>
            </w:r>
            <w:r>
              <w:rPr>
                <w:rFonts w:hint="eastAsia" w:ascii="Times New Roman" w:hAnsi="Times New Roman" w:eastAsia="宋体" w:cs="Times New Roman"/>
                <w:color w:val="auto"/>
                <w:kern w:val="44"/>
                <w:sz w:val="24"/>
                <w:szCs w:val="24"/>
                <w:highlight w:val="none"/>
                <w:lang w:val="en-US" w:eastAsia="zh-CN" w:bidi="ar-SA"/>
              </w:rPr>
              <w:t>。按照《危险废物贮存污染物控制标准》（GB18597-2023）</w:t>
            </w:r>
            <w:r>
              <w:rPr>
                <w:rFonts w:hint="default" w:ascii="Times New Roman" w:hAnsi="Times New Roman" w:cs="Times New Roman"/>
                <w:color w:val="auto"/>
                <w:sz w:val="24"/>
                <w:szCs w:val="22"/>
                <w:highlight w:val="none"/>
              </w:rPr>
              <w:t>和《危险废物收集 贮存 运输技术规范》（HJ2025-2012）</w:t>
            </w:r>
            <w:r>
              <w:rPr>
                <w:rFonts w:hint="eastAsia" w:ascii="Times New Roman" w:hAnsi="Times New Roman" w:eastAsia="宋体" w:cs="Times New Roman"/>
                <w:color w:val="auto"/>
                <w:kern w:val="44"/>
                <w:sz w:val="24"/>
                <w:szCs w:val="24"/>
                <w:highlight w:val="none"/>
                <w:lang w:val="en-US" w:eastAsia="zh-CN" w:bidi="ar-SA"/>
              </w:rPr>
              <w:t>相关规定进行建设，建成后用于废机油</w:t>
            </w:r>
            <w:r>
              <w:rPr>
                <w:rFonts w:hint="eastAsia" w:cs="Times New Roman"/>
                <w:color w:val="auto"/>
                <w:kern w:val="44"/>
                <w:sz w:val="24"/>
                <w:szCs w:val="24"/>
                <w:highlight w:val="none"/>
                <w:lang w:val="en-US" w:eastAsia="zh-CN" w:bidi="ar-SA"/>
              </w:rPr>
              <w:t>和</w:t>
            </w:r>
            <w:r>
              <w:rPr>
                <w:rFonts w:hint="eastAsia" w:ascii="Times New Roman" w:hAnsi="Times New Roman" w:eastAsia="宋体" w:cs="Times New Roman"/>
                <w:color w:val="auto"/>
                <w:kern w:val="44"/>
                <w:sz w:val="24"/>
                <w:szCs w:val="24"/>
                <w:highlight w:val="none"/>
                <w:lang w:val="en-US" w:eastAsia="zh-CN" w:bidi="ar-SA"/>
              </w:rPr>
              <w:t>废活性炭</w:t>
            </w:r>
            <w:r>
              <w:rPr>
                <w:rFonts w:hint="eastAsia" w:cs="Times New Roman"/>
                <w:color w:val="auto"/>
                <w:kern w:val="44"/>
                <w:sz w:val="24"/>
                <w:szCs w:val="24"/>
                <w:highlight w:val="none"/>
                <w:lang w:val="en-US" w:eastAsia="zh-CN" w:bidi="ar-SA"/>
              </w:rPr>
              <w:t>等危废的</w:t>
            </w:r>
            <w:r>
              <w:rPr>
                <w:rFonts w:hint="eastAsia" w:ascii="Times New Roman" w:hAnsi="Times New Roman" w:eastAsia="宋体" w:cs="Times New Roman"/>
                <w:color w:val="auto"/>
                <w:kern w:val="44"/>
                <w:sz w:val="24"/>
                <w:szCs w:val="24"/>
                <w:highlight w:val="none"/>
                <w:lang w:val="en-US" w:eastAsia="zh-CN" w:bidi="ar-SA"/>
              </w:rPr>
              <w:t>临时贮存。</w:t>
            </w:r>
          </w:p>
          <w:p w14:paraId="508F84C3">
            <w:pPr>
              <w:keepNext/>
              <w:keepLines/>
              <w:widowControl w:val="0"/>
              <w:suppressLineNumbers w:val="0"/>
              <w:bidi w:val="0"/>
              <w:adjustRightInd w:val="0"/>
              <w:snapToGrid w:val="0"/>
              <w:spacing w:before="0" w:beforeLines="0" w:beforeAutospacing="0" w:after="0" w:afterLines="0" w:afterAutospacing="0" w:line="360" w:lineRule="auto"/>
              <w:ind w:left="0" w:right="0" w:firstLine="480" w:firstLineChars="200"/>
              <w:jc w:val="left"/>
              <w:outlineLvl w:val="9"/>
              <w:rPr>
                <w:rFonts w:hint="eastAsia" w:ascii="Times New Roman" w:hAnsi="Times New Roman" w:eastAsia="宋体" w:cs="Times New Roman"/>
                <w:color w:val="auto"/>
                <w:kern w:val="44"/>
                <w:sz w:val="24"/>
                <w:szCs w:val="24"/>
                <w:highlight w:val="none"/>
                <w:lang w:val="en-US" w:eastAsia="zh-CN" w:bidi="ar-SA"/>
              </w:rPr>
            </w:pPr>
            <w:r>
              <w:rPr>
                <w:rFonts w:hint="eastAsia" w:ascii="Times New Roman" w:hAnsi="Times New Roman" w:eastAsia="宋体" w:cs="Times New Roman"/>
                <w:color w:val="auto"/>
                <w:kern w:val="44"/>
                <w:sz w:val="24"/>
                <w:szCs w:val="24"/>
                <w:highlight w:val="none"/>
                <w:lang w:val="en-US" w:eastAsia="zh-CN" w:bidi="ar-SA"/>
              </w:rPr>
              <w:t>①选址可行性分析</w:t>
            </w:r>
          </w:p>
          <w:p w14:paraId="0A193564">
            <w:pPr>
              <w:keepNext/>
              <w:keepLines/>
              <w:widowControl w:val="0"/>
              <w:suppressLineNumbers w:val="0"/>
              <w:bidi w:val="0"/>
              <w:adjustRightInd w:val="0"/>
              <w:snapToGrid w:val="0"/>
              <w:spacing w:before="0" w:beforeLines="0" w:beforeAutospacing="0" w:after="0" w:afterLines="0" w:afterAutospacing="0" w:line="360" w:lineRule="auto"/>
              <w:ind w:left="0" w:right="0" w:firstLine="480" w:firstLineChars="200"/>
              <w:jc w:val="left"/>
              <w:outlineLvl w:val="9"/>
              <w:rPr>
                <w:rFonts w:ascii="Times New Roman" w:hAnsi="Times New Roman" w:eastAsia="宋体" w:cs="Times New Roman"/>
                <w:color w:val="auto"/>
                <w:kern w:val="44"/>
                <w:sz w:val="24"/>
                <w:szCs w:val="24"/>
                <w:highlight w:val="none"/>
                <w:lang w:val="en-US" w:eastAsia="zh-CN" w:bidi="ar-SA"/>
              </w:rPr>
            </w:pPr>
            <w:r>
              <w:rPr>
                <w:rFonts w:hint="eastAsia" w:ascii="Times New Roman" w:hAnsi="Times New Roman" w:eastAsia="宋体" w:cs="Times New Roman"/>
                <w:color w:val="auto"/>
                <w:kern w:val="44"/>
                <w:sz w:val="24"/>
                <w:szCs w:val="24"/>
                <w:highlight w:val="none"/>
                <w:lang w:val="en-US" w:eastAsia="zh-CN" w:bidi="ar-SA"/>
              </w:rPr>
              <w:t>根据《建设项目危险废物环境影响评价指南》、《危险废物贮存污染控制标准》（GB18597-2023），</w:t>
            </w:r>
            <w:r>
              <w:rPr>
                <w:rFonts w:hint="eastAsia" w:cs="Times New Roman"/>
                <w:color w:val="auto"/>
                <w:kern w:val="44"/>
                <w:sz w:val="24"/>
                <w:szCs w:val="24"/>
                <w:highlight w:val="none"/>
                <w:lang w:val="en-US" w:eastAsia="zh-CN" w:bidi="ar-SA"/>
              </w:rPr>
              <w:t>危废暂存库</w:t>
            </w:r>
            <w:r>
              <w:rPr>
                <w:rFonts w:hint="eastAsia" w:ascii="Times New Roman" w:hAnsi="Times New Roman" w:eastAsia="宋体" w:cs="Times New Roman"/>
                <w:color w:val="auto"/>
                <w:kern w:val="44"/>
                <w:sz w:val="24"/>
                <w:szCs w:val="24"/>
                <w:highlight w:val="none"/>
                <w:lang w:val="en-US" w:eastAsia="zh-CN" w:bidi="ar-SA"/>
              </w:rPr>
              <w:t>位于</w:t>
            </w:r>
            <w:r>
              <w:rPr>
                <w:rFonts w:hint="eastAsia" w:cs="Times New Roman"/>
                <w:color w:val="auto"/>
                <w:kern w:val="44"/>
                <w:sz w:val="24"/>
                <w:szCs w:val="24"/>
                <w:highlight w:val="none"/>
                <w:lang w:val="en-US" w:eastAsia="zh-CN" w:bidi="ar-SA"/>
              </w:rPr>
              <w:t>厂区西南角</w:t>
            </w:r>
            <w:r>
              <w:rPr>
                <w:rFonts w:hint="eastAsia" w:ascii="Times New Roman" w:hAnsi="Times New Roman" w:eastAsia="宋体" w:cs="Times New Roman"/>
                <w:color w:val="auto"/>
                <w:kern w:val="44"/>
                <w:sz w:val="24"/>
                <w:szCs w:val="24"/>
                <w:highlight w:val="none"/>
                <w:lang w:val="en-US" w:eastAsia="zh-CN" w:bidi="ar-SA"/>
              </w:rPr>
              <w:t>，危废仓库单独设置，地质结构稳定；设施底部进行重点防渗处理，设施底部高于厂区地下水最高水位，危废仓库周边无敏感点，危废暂存库选址合理可行。</w:t>
            </w:r>
          </w:p>
          <w:p w14:paraId="6EBF9C9B">
            <w:pPr>
              <w:keepNext/>
              <w:keepLines/>
              <w:widowControl w:val="0"/>
              <w:suppressLineNumbers w:val="0"/>
              <w:bidi w:val="0"/>
              <w:adjustRightInd w:val="0"/>
              <w:snapToGrid w:val="0"/>
              <w:spacing w:before="0" w:beforeLines="0" w:beforeAutospacing="0" w:after="0" w:afterLines="0" w:afterAutospacing="0" w:line="360" w:lineRule="auto"/>
              <w:ind w:left="0" w:right="0" w:firstLine="480" w:firstLineChars="200"/>
              <w:jc w:val="left"/>
              <w:outlineLvl w:val="9"/>
              <w:rPr>
                <w:rFonts w:hint="eastAsia" w:ascii="Times New Roman" w:hAnsi="Times New Roman" w:eastAsia="宋体" w:cs="Times New Roman"/>
                <w:color w:val="auto"/>
                <w:kern w:val="44"/>
                <w:sz w:val="24"/>
                <w:szCs w:val="24"/>
                <w:highlight w:val="none"/>
                <w:lang w:val="en-US" w:eastAsia="zh-CN" w:bidi="ar-SA"/>
              </w:rPr>
            </w:pPr>
            <w:r>
              <w:rPr>
                <w:rFonts w:hint="eastAsia" w:ascii="Times New Roman" w:hAnsi="Times New Roman" w:eastAsia="宋体" w:cs="Times New Roman"/>
                <w:color w:val="auto"/>
                <w:kern w:val="44"/>
                <w:sz w:val="24"/>
                <w:szCs w:val="24"/>
                <w:highlight w:val="none"/>
                <w:lang w:val="en-US" w:eastAsia="zh-CN" w:bidi="ar-SA"/>
              </w:rPr>
              <w:t>②贮存能力可行性分析</w:t>
            </w:r>
          </w:p>
          <w:p w14:paraId="69F4F79D">
            <w:pPr>
              <w:keepNext/>
              <w:keepLines/>
              <w:widowControl w:val="0"/>
              <w:suppressLineNumbers w:val="0"/>
              <w:bidi w:val="0"/>
              <w:adjustRightInd w:val="0"/>
              <w:snapToGrid w:val="0"/>
              <w:spacing w:before="0" w:beforeLines="0" w:beforeAutospacing="0" w:after="0" w:afterLines="0" w:afterAutospacing="0" w:line="360" w:lineRule="auto"/>
              <w:ind w:left="0" w:right="0" w:firstLine="480" w:firstLineChars="200"/>
              <w:jc w:val="left"/>
              <w:outlineLvl w:val="9"/>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kern w:val="44"/>
                <w:sz w:val="24"/>
                <w:szCs w:val="24"/>
                <w:highlight w:val="none"/>
                <w:lang w:val="en-US" w:eastAsia="zh-CN" w:bidi="ar-SA"/>
              </w:rPr>
              <w:t>危废暂存库贮存情况具体见下表。</w:t>
            </w:r>
          </w:p>
          <w:p w14:paraId="03E4F1E3">
            <w:pPr>
              <w:keepNext w:val="0"/>
              <w:keepLines w:val="0"/>
              <w:widowControl/>
              <w:suppressLineNumbers w:val="0"/>
              <w:spacing w:before="0" w:beforeAutospacing="0" w:after="0" w:afterAutospacing="0" w:line="240" w:lineRule="auto"/>
              <w:ind w:left="0" w:right="0" w:firstLine="422" w:firstLineChars="20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17</w:t>
            </w:r>
            <w:r>
              <w:rPr>
                <w:rFonts w:hint="eastAsia" w:ascii="Times New Roman" w:hAnsi="Times New Roman" w:eastAsia="宋体" w:cs="Times New Roman"/>
                <w:b/>
                <w:bCs/>
                <w:color w:val="auto"/>
                <w:sz w:val="21"/>
                <w:szCs w:val="21"/>
                <w:highlight w:val="none"/>
              </w:rPr>
              <w:t xml:space="preserve">  危险废物贮存场所基本情况表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141"/>
              <w:gridCol w:w="968"/>
              <w:gridCol w:w="823"/>
              <w:gridCol w:w="910"/>
              <w:gridCol w:w="1651"/>
              <w:gridCol w:w="863"/>
              <w:gridCol w:w="1178"/>
            </w:tblGrid>
            <w:tr w14:paraId="475D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3" w:type="dxa"/>
                  <w:tcBorders>
                    <w:tl2br w:val="nil"/>
                    <w:tr2bl w:val="nil"/>
                  </w:tcBorders>
                  <w:noWrap w:val="0"/>
                  <w:vAlign w:val="center"/>
                </w:tcPr>
                <w:p w14:paraId="4FC4238C">
                  <w:pPr>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
                      <w:color w:val="auto"/>
                      <w:sz w:val="21"/>
                      <w:szCs w:val="22"/>
                      <w:highlight w:val="none"/>
                    </w:rPr>
                  </w:pPr>
                  <w:r>
                    <w:rPr>
                      <w:rFonts w:ascii="Times New Roman" w:hAnsi="Times New Roman" w:eastAsia="宋体" w:cs="Times New Roman"/>
                      <w:b/>
                      <w:color w:val="auto"/>
                      <w:sz w:val="21"/>
                      <w:szCs w:val="22"/>
                      <w:highlight w:val="none"/>
                    </w:rPr>
                    <w:t>贮存场所名称</w:t>
                  </w:r>
                </w:p>
              </w:tc>
              <w:tc>
                <w:tcPr>
                  <w:tcW w:w="1141" w:type="dxa"/>
                  <w:tcBorders>
                    <w:tl2br w:val="nil"/>
                    <w:tr2bl w:val="nil"/>
                  </w:tcBorders>
                  <w:noWrap w:val="0"/>
                  <w:vAlign w:val="center"/>
                </w:tcPr>
                <w:p w14:paraId="50F97ADE">
                  <w:pPr>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
                      <w:color w:val="auto"/>
                      <w:sz w:val="21"/>
                      <w:szCs w:val="22"/>
                      <w:highlight w:val="none"/>
                    </w:rPr>
                  </w:pPr>
                  <w:r>
                    <w:rPr>
                      <w:rFonts w:ascii="Times New Roman" w:hAnsi="Times New Roman" w:eastAsia="宋体" w:cs="Times New Roman"/>
                      <w:b/>
                      <w:color w:val="auto"/>
                      <w:sz w:val="21"/>
                      <w:szCs w:val="22"/>
                      <w:highlight w:val="none"/>
                    </w:rPr>
                    <w:t>危险废物名称</w:t>
                  </w:r>
                </w:p>
              </w:tc>
              <w:tc>
                <w:tcPr>
                  <w:tcW w:w="0" w:type="auto"/>
                  <w:tcBorders>
                    <w:tl2br w:val="nil"/>
                    <w:tr2bl w:val="nil"/>
                  </w:tcBorders>
                  <w:noWrap w:val="0"/>
                  <w:vAlign w:val="center"/>
                </w:tcPr>
                <w:p w14:paraId="363FB44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2"/>
                      <w:highlight w:val="none"/>
                      <w:lang w:val="en-US" w:eastAsia="zh-CN"/>
                    </w:rPr>
                  </w:pPr>
                  <w:r>
                    <w:rPr>
                      <w:rFonts w:hint="eastAsia" w:ascii="Times New Roman" w:hAnsi="Times New Roman" w:eastAsia="宋体" w:cs="Times New Roman"/>
                      <w:b/>
                      <w:color w:val="auto"/>
                      <w:sz w:val="21"/>
                      <w:szCs w:val="22"/>
                      <w:highlight w:val="none"/>
                      <w:lang w:val="en-US" w:eastAsia="zh-CN"/>
                    </w:rPr>
                    <w:t>产生量</w:t>
                  </w:r>
                  <w:r>
                    <w:rPr>
                      <w:rFonts w:hint="eastAsia" w:cs="Times New Roman"/>
                      <w:b/>
                      <w:color w:val="auto"/>
                      <w:sz w:val="21"/>
                      <w:szCs w:val="22"/>
                      <w:highlight w:val="none"/>
                      <w:lang w:val="en-US" w:eastAsia="zh-CN"/>
                    </w:rPr>
                    <w:t>t/a</w:t>
                  </w:r>
                </w:p>
              </w:tc>
              <w:tc>
                <w:tcPr>
                  <w:tcW w:w="0" w:type="auto"/>
                  <w:tcBorders>
                    <w:tl2br w:val="nil"/>
                    <w:tr2bl w:val="nil"/>
                  </w:tcBorders>
                  <w:noWrap w:val="0"/>
                  <w:vAlign w:val="center"/>
                </w:tcPr>
                <w:p w14:paraId="2807261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2"/>
                      <w:highlight w:val="none"/>
                      <w:lang w:val="en-US" w:eastAsia="zh-CN"/>
                    </w:rPr>
                  </w:pPr>
                  <w:r>
                    <w:rPr>
                      <w:rFonts w:hint="eastAsia" w:ascii="Times New Roman" w:hAnsi="Times New Roman" w:eastAsia="宋体" w:cs="Times New Roman"/>
                      <w:b/>
                      <w:color w:val="auto"/>
                      <w:sz w:val="21"/>
                      <w:szCs w:val="22"/>
                      <w:highlight w:val="none"/>
                      <w:lang w:val="en-US" w:eastAsia="zh-CN"/>
                    </w:rPr>
                    <w:t>产废周期</w:t>
                  </w:r>
                </w:p>
              </w:tc>
              <w:tc>
                <w:tcPr>
                  <w:tcW w:w="0" w:type="auto"/>
                  <w:tcBorders>
                    <w:tl2br w:val="nil"/>
                    <w:tr2bl w:val="nil"/>
                  </w:tcBorders>
                  <w:noWrap w:val="0"/>
                  <w:vAlign w:val="center"/>
                </w:tcPr>
                <w:p w14:paraId="57F742BD">
                  <w:pPr>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
                      <w:color w:val="auto"/>
                      <w:sz w:val="21"/>
                      <w:szCs w:val="22"/>
                      <w:highlight w:val="none"/>
                    </w:rPr>
                  </w:pPr>
                  <w:r>
                    <w:rPr>
                      <w:rFonts w:ascii="Times New Roman" w:hAnsi="Times New Roman" w:eastAsia="宋体" w:cs="Times New Roman"/>
                      <w:b/>
                      <w:color w:val="auto"/>
                      <w:sz w:val="21"/>
                      <w:szCs w:val="22"/>
                      <w:highlight w:val="none"/>
                    </w:rPr>
                    <w:t>占地面积</w:t>
                  </w:r>
                </w:p>
              </w:tc>
              <w:tc>
                <w:tcPr>
                  <w:tcW w:w="1651" w:type="dxa"/>
                  <w:tcBorders>
                    <w:tl2br w:val="nil"/>
                    <w:tr2bl w:val="nil"/>
                  </w:tcBorders>
                  <w:noWrap w:val="0"/>
                  <w:vAlign w:val="center"/>
                </w:tcPr>
                <w:p w14:paraId="6FDD024D">
                  <w:pPr>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
                      <w:color w:val="auto"/>
                      <w:sz w:val="21"/>
                      <w:szCs w:val="22"/>
                      <w:highlight w:val="none"/>
                    </w:rPr>
                  </w:pPr>
                  <w:r>
                    <w:rPr>
                      <w:rFonts w:ascii="Times New Roman" w:hAnsi="Times New Roman" w:eastAsia="宋体" w:cs="Times New Roman"/>
                      <w:b/>
                      <w:color w:val="auto"/>
                      <w:sz w:val="21"/>
                      <w:szCs w:val="22"/>
                      <w:highlight w:val="none"/>
                    </w:rPr>
                    <w:t>贮存方式</w:t>
                  </w:r>
                </w:p>
              </w:tc>
              <w:tc>
                <w:tcPr>
                  <w:tcW w:w="863" w:type="dxa"/>
                  <w:tcBorders>
                    <w:tl2br w:val="nil"/>
                    <w:tr2bl w:val="nil"/>
                  </w:tcBorders>
                  <w:noWrap w:val="0"/>
                  <w:vAlign w:val="center"/>
                </w:tcPr>
                <w:p w14:paraId="554B04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2"/>
                      <w:highlight w:val="none"/>
                      <w:lang w:val="en-US" w:eastAsia="zh-CN"/>
                    </w:rPr>
                  </w:pPr>
                  <w:r>
                    <w:rPr>
                      <w:rFonts w:hint="eastAsia" w:ascii="Times New Roman" w:hAnsi="Times New Roman" w:eastAsia="宋体" w:cs="Times New Roman"/>
                      <w:b/>
                      <w:color w:val="auto"/>
                      <w:sz w:val="21"/>
                      <w:szCs w:val="22"/>
                      <w:highlight w:val="none"/>
                      <w:lang w:val="en-US" w:eastAsia="zh-CN"/>
                    </w:rPr>
                    <w:t>周转周期</w:t>
                  </w:r>
                </w:p>
              </w:tc>
              <w:tc>
                <w:tcPr>
                  <w:tcW w:w="1178" w:type="dxa"/>
                  <w:tcBorders>
                    <w:tl2br w:val="nil"/>
                    <w:tr2bl w:val="nil"/>
                  </w:tcBorders>
                  <w:noWrap w:val="0"/>
                  <w:vAlign w:val="center"/>
                </w:tcPr>
                <w:p w14:paraId="7153BD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2"/>
                      <w:highlight w:val="none"/>
                      <w:lang w:val="en-US" w:eastAsia="zh-CN"/>
                    </w:rPr>
                  </w:pPr>
                  <w:r>
                    <w:rPr>
                      <w:rFonts w:hint="eastAsia" w:ascii="Times New Roman" w:hAnsi="Times New Roman" w:eastAsia="宋体" w:cs="Times New Roman"/>
                      <w:b/>
                      <w:color w:val="auto"/>
                      <w:sz w:val="21"/>
                      <w:szCs w:val="22"/>
                      <w:highlight w:val="none"/>
                      <w:lang w:val="en-US" w:eastAsia="zh-CN"/>
                    </w:rPr>
                    <w:t>所需占地面积</w:t>
                  </w:r>
                </w:p>
              </w:tc>
            </w:tr>
            <w:tr w14:paraId="3FB9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3" w:type="dxa"/>
                  <w:vMerge w:val="restart"/>
                  <w:tcBorders>
                    <w:tl2br w:val="nil"/>
                    <w:tr2bl w:val="nil"/>
                  </w:tcBorders>
                  <w:noWrap w:val="0"/>
                  <w:vAlign w:val="center"/>
                </w:tcPr>
                <w:p w14:paraId="12C00A7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z w:val="21"/>
                      <w:szCs w:val="22"/>
                      <w:highlight w:val="none"/>
                      <w:lang w:val="en-US" w:eastAsia="zh-CN"/>
                    </w:rPr>
                  </w:pPr>
                  <w:r>
                    <w:rPr>
                      <w:rFonts w:hint="eastAsia" w:ascii="Times New Roman" w:hAnsi="Times New Roman" w:eastAsia="宋体" w:cs="Times New Roman"/>
                      <w:bCs/>
                      <w:color w:val="auto"/>
                      <w:sz w:val="21"/>
                      <w:szCs w:val="22"/>
                      <w:highlight w:val="none"/>
                      <w:lang w:eastAsia="zh-CN"/>
                    </w:rPr>
                    <w:t>危废暂存库</w:t>
                  </w:r>
                </w:p>
              </w:tc>
              <w:tc>
                <w:tcPr>
                  <w:tcW w:w="1141" w:type="dxa"/>
                  <w:tcBorders>
                    <w:tl2br w:val="nil"/>
                    <w:tr2bl w:val="nil"/>
                  </w:tcBorders>
                  <w:shd w:val="clear" w:color="auto" w:fill="auto"/>
                  <w:noWrap w:val="0"/>
                  <w:vAlign w:val="center"/>
                </w:tcPr>
                <w:p w14:paraId="058CD9EA">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废包装桶</w:t>
                  </w:r>
                </w:p>
              </w:tc>
              <w:tc>
                <w:tcPr>
                  <w:tcW w:w="0" w:type="auto"/>
                  <w:tcBorders>
                    <w:tl2br w:val="nil"/>
                    <w:tr2bl w:val="nil"/>
                  </w:tcBorders>
                  <w:shd w:val="clear" w:color="auto" w:fill="auto"/>
                  <w:noWrap w:val="0"/>
                  <w:vAlign w:val="center"/>
                </w:tcPr>
                <w:p w14:paraId="127F2E89">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zh-CN"/>
                    </w:rPr>
                  </w:pPr>
                  <w:r>
                    <w:rPr>
                      <w:rFonts w:hint="eastAsia" w:ascii="Times New Roman" w:hAnsi="Times New Roman" w:cs="Times New Roman"/>
                      <w:color w:val="auto"/>
                      <w:kern w:val="0"/>
                      <w:sz w:val="21"/>
                      <w:szCs w:val="21"/>
                      <w:highlight w:val="none"/>
                      <w:lang w:val="en-US" w:eastAsia="zh-CN" w:bidi="zh-CN"/>
                    </w:rPr>
                    <w:t>6.635</w:t>
                  </w:r>
                </w:p>
              </w:tc>
              <w:tc>
                <w:tcPr>
                  <w:tcW w:w="0" w:type="auto"/>
                  <w:tcBorders>
                    <w:tl2br w:val="nil"/>
                    <w:tr2bl w:val="nil"/>
                  </w:tcBorders>
                  <w:noWrap w:val="0"/>
                  <w:vAlign w:val="center"/>
                </w:tcPr>
                <w:p w14:paraId="285E0042">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每天</w:t>
                  </w:r>
                </w:p>
              </w:tc>
              <w:tc>
                <w:tcPr>
                  <w:tcW w:w="0" w:type="auto"/>
                  <w:vMerge w:val="restart"/>
                  <w:tcBorders>
                    <w:tl2br w:val="nil"/>
                    <w:tr2bl w:val="nil"/>
                  </w:tcBorders>
                  <w:noWrap w:val="0"/>
                  <w:vAlign w:val="center"/>
                </w:tcPr>
                <w:p w14:paraId="6CF5101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z w:val="21"/>
                      <w:szCs w:val="22"/>
                      <w:highlight w:val="none"/>
                    </w:rPr>
                  </w:pPr>
                  <w:r>
                    <w:rPr>
                      <w:rFonts w:hint="eastAsia" w:cs="Times New Roman"/>
                      <w:bCs/>
                      <w:color w:val="auto"/>
                      <w:sz w:val="21"/>
                      <w:szCs w:val="22"/>
                      <w:highlight w:val="none"/>
                      <w:lang w:val="en-US" w:eastAsia="zh-CN"/>
                    </w:rPr>
                    <w:t>20</w:t>
                  </w:r>
                  <w:r>
                    <w:rPr>
                      <w:rFonts w:hint="eastAsia" w:ascii="Times New Roman" w:hAnsi="Times New Roman" w:eastAsia="宋体" w:cs="Times New Roman"/>
                      <w:bCs/>
                      <w:color w:val="auto"/>
                      <w:sz w:val="21"/>
                      <w:szCs w:val="22"/>
                      <w:highlight w:val="none"/>
                    </w:rPr>
                    <w:t>m</w:t>
                  </w:r>
                  <w:r>
                    <w:rPr>
                      <w:rFonts w:hint="eastAsia" w:ascii="Times New Roman" w:hAnsi="Times New Roman" w:eastAsia="宋体" w:cs="Times New Roman"/>
                      <w:bCs/>
                      <w:color w:val="auto"/>
                      <w:sz w:val="21"/>
                      <w:szCs w:val="22"/>
                      <w:highlight w:val="none"/>
                      <w:vertAlign w:val="superscript"/>
                    </w:rPr>
                    <w:t>2</w:t>
                  </w:r>
                </w:p>
              </w:tc>
              <w:tc>
                <w:tcPr>
                  <w:tcW w:w="1651" w:type="dxa"/>
                  <w:tcBorders>
                    <w:tl2br w:val="nil"/>
                    <w:tr2bl w:val="nil"/>
                  </w:tcBorders>
                  <w:noWrap w:val="0"/>
                  <w:vAlign w:val="center"/>
                </w:tcPr>
                <w:p w14:paraId="7AAB7F9A">
                  <w:pPr>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21"/>
                      <w:szCs w:val="22"/>
                      <w:highlight w:val="none"/>
                    </w:rPr>
                  </w:pPr>
                  <w:r>
                    <w:rPr>
                      <w:rFonts w:hint="eastAsia" w:ascii="Times New Roman" w:hAnsi="Times New Roman" w:eastAsia="宋体" w:cs="Times New Roman"/>
                      <w:bCs/>
                      <w:color w:val="auto"/>
                      <w:sz w:val="21"/>
                      <w:szCs w:val="22"/>
                      <w:highlight w:val="none"/>
                      <w:lang w:val="en-US" w:eastAsia="zh-CN"/>
                    </w:rPr>
                    <w:t>密封</w:t>
                  </w:r>
                </w:p>
              </w:tc>
              <w:tc>
                <w:tcPr>
                  <w:tcW w:w="863" w:type="dxa"/>
                  <w:vMerge w:val="restart"/>
                  <w:tcBorders>
                    <w:tl2br w:val="nil"/>
                    <w:tr2bl w:val="nil"/>
                  </w:tcBorders>
                  <w:noWrap w:val="0"/>
                  <w:vAlign w:val="center"/>
                </w:tcPr>
                <w:p w14:paraId="3EB68C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2"/>
                      <w:highlight w:val="none"/>
                      <w:lang w:val="en-US" w:eastAsia="zh-CN"/>
                    </w:rPr>
                  </w:pPr>
                  <w:r>
                    <w:rPr>
                      <w:rFonts w:hint="eastAsia" w:cs="Times New Roman"/>
                      <w:bCs/>
                      <w:color w:val="auto"/>
                      <w:sz w:val="21"/>
                      <w:szCs w:val="22"/>
                      <w:highlight w:val="none"/>
                      <w:lang w:val="en-US" w:eastAsia="zh-CN"/>
                    </w:rPr>
                    <w:t>一季度</w:t>
                  </w:r>
                </w:p>
              </w:tc>
              <w:tc>
                <w:tcPr>
                  <w:tcW w:w="1178" w:type="dxa"/>
                  <w:tcBorders>
                    <w:tl2br w:val="nil"/>
                    <w:tr2bl w:val="nil"/>
                  </w:tcBorders>
                  <w:noWrap w:val="0"/>
                  <w:vAlign w:val="center"/>
                </w:tcPr>
                <w:p w14:paraId="1699877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2"/>
                      <w:highlight w:val="none"/>
                      <w:lang w:val="en-US" w:eastAsia="zh-CN"/>
                    </w:rPr>
                  </w:pPr>
                  <w:r>
                    <w:rPr>
                      <w:rFonts w:hint="eastAsia" w:cs="Times New Roman"/>
                      <w:bCs/>
                      <w:color w:val="auto"/>
                      <w:sz w:val="21"/>
                      <w:szCs w:val="22"/>
                      <w:highlight w:val="none"/>
                      <w:lang w:val="en-US" w:eastAsia="zh-CN"/>
                    </w:rPr>
                    <w:t>15</w:t>
                  </w:r>
                  <w:r>
                    <w:rPr>
                      <w:rFonts w:hint="eastAsia" w:ascii="Times New Roman" w:hAnsi="Times New Roman" w:eastAsia="宋体" w:cs="Times New Roman"/>
                      <w:bCs/>
                      <w:color w:val="auto"/>
                      <w:sz w:val="21"/>
                      <w:szCs w:val="22"/>
                      <w:highlight w:val="none"/>
                      <w:lang w:val="en-US" w:eastAsia="zh-CN"/>
                    </w:rPr>
                    <w:t>m</w:t>
                  </w:r>
                  <w:r>
                    <w:rPr>
                      <w:rFonts w:hint="eastAsia" w:ascii="Times New Roman" w:hAnsi="Times New Roman" w:eastAsia="宋体" w:cs="Times New Roman"/>
                      <w:bCs/>
                      <w:color w:val="auto"/>
                      <w:sz w:val="21"/>
                      <w:szCs w:val="22"/>
                      <w:highlight w:val="none"/>
                      <w:vertAlign w:val="superscript"/>
                      <w:lang w:val="en-US" w:eastAsia="zh-CN"/>
                    </w:rPr>
                    <w:t>2</w:t>
                  </w:r>
                </w:p>
              </w:tc>
            </w:tr>
            <w:tr w14:paraId="0310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3" w:type="dxa"/>
                  <w:vMerge w:val="continue"/>
                  <w:tcBorders>
                    <w:tl2br w:val="nil"/>
                    <w:tr2bl w:val="nil"/>
                  </w:tcBorders>
                  <w:noWrap w:val="0"/>
                  <w:vAlign w:val="center"/>
                </w:tcPr>
                <w:p w14:paraId="58582198">
                  <w:pPr>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21"/>
                      <w:szCs w:val="22"/>
                      <w:highlight w:val="none"/>
                    </w:rPr>
                  </w:pPr>
                </w:p>
              </w:tc>
              <w:tc>
                <w:tcPr>
                  <w:tcW w:w="1141" w:type="dxa"/>
                  <w:tcBorders>
                    <w:tl2br w:val="nil"/>
                    <w:tr2bl w:val="nil"/>
                  </w:tcBorders>
                  <w:shd w:val="clear" w:color="auto" w:fill="auto"/>
                  <w:noWrap w:val="0"/>
                  <w:vAlign w:val="center"/>
                </w:tcPr>
                <w:p w14:paraId="5CE07804">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清洗废液</w:t>
                  </w:r>
                </w:p>
              </w:tc>
              <w:tc>
                <w:tcPr>
                  <w:tcW w:w="0" w:type="auto"/>
                  <w:tcBorders>
                    <w:tl2br w:val="nil"/>
                    <w:tr2bl w:val="nil"/>
                  </w:tcBorders>
                  <w:shd w:val="clear" w:color="auto" w:fill="auto"/>
                  <w:noWrap w:val="0"/>
                  <w:vAlign w:val="center"/>
                </w:tcPr>
                <w:p w14:paraId="40BFD29B">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zh-CN"/>
                    </w:rPr>
                  </w:pPr>
                  <w:r>
                    <w:rPr>
                      <w:rFonts w:hint="eastAsia" w:ascii="Times New Roman" w:hAnsi="Times New Roman" w:cs="Times New Roman"/>
                      <w:color w:val="auto"/>
                      <w:sz w:val="21"/>
                      <w:szCs w:val="21"/>
                      <w:highlight w:val="none"/>
                      <w:lang w:val="en-US" w:eastAsia="zh-CN"/>
                    </w:rPr>
                    <w:t>0.188</w:t>
                  </w:r>
                </w:p>
              </w:tc>
              <w:tc>
                <w:tcPr>
                  <w:tcW w:w="0" w:type="auto"/>
                  <w:tcBorders>
                    <w:tl2br w:val="nil"/>
                    <w:tr2bl w:val="nil"/>
                  </w:tcBorders>
                  <w:noWrap w:val="0"/>
                  <w:vAlign w:val="center"/>
                </w:tcPr>
                <w:p w14:paraId="6A7A5C30">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每天</w:t>
                  </w:r>
                </w:p>
              </w:tc>
              <w:tc>
                <w:tcPr>
                  <w:tcW w:w="0" w:type="auto"/>
                  <w:vMerge w:val="continue"/>
                  <w:tcBorders>
                    <w:tl2br w:val="nil"/>
                    <w:tr2bl w:val="nil"/>
                  </w:tcBorders>
                  <w:noWrap w:val="0"/>
                  <w:vAlign w:val="center"/>
                </w:tcPr>
                <w:p w14:paraId="67998BD1">
                  <w:pPr>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21"/>
                      <w:szCs w:val="22"/>
                      <w:highlight w:val="none"/>
                    </w:rPr>
                  </w:pPr>
                </w:p>
              </w:tc>
              <w:tc>
                <w:tcPr>
                  <w:tcW w:w="1651" w:type="dxa"/>
                  <w:tcBorders>
                    <w:tl2br w:val="nil"/>
                    <w:tr2bl w:val="nil"/>
                  </w:tcBorders>
                  <w:noWrap w:val="0"/>
                  <w:vAlign w:val="center"/>
                </w:tcPr>
                <w:p w14:paraId="46076F6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z w:val="21"/>
                      <w:szCs w:val="22"/>
                      <w:highlight w:val="none"/>
                      <w:lang w:val="en-US" w:eastAsia="zh-CN"/>
                    </w:rPr>
                  </w:pPr>
                  <w:r>
                    <w:rPr>
                      <w:rFonts w:hint="eastAsia" w:ascii="Times New Roman" w:hAnsi="Times New Roman" w:eastAsia="宋体" w:cs="Times New Roman"/>
                      <w:bCs/>
                      <w:color w:val="auto"/>
                      <w:sz w:val="21"/>
                      <w:szCs w:val="22"/>
                      <w:highlight w:val="none"/>
                    </w:rPr>
                    <w:t>桶装</w:t>
                  </w:r>
                  <w:r>
                    <w:rPr>
                      <w:rFonts w:hint="eastAsia" w:ascii="Times New Roman" w:hAnsi="Times New Roman" w:eastAsia="宋体" w:cs="Times New Roman"/>
                      <w:bCs/>
                      <w:color w:val="auto"/>
                      <w:sz w:val="21"/>
                      <w:szCs w:val="22"/>
                      <w:highlight w:val="none"/>
                      <w:lang w:val="en-US" w:eastAsia="zh-CN"/>
                    </w:rPr>
                    <w:t>+防渗托盘</w:t>
                  </w:r>
                </w:p>
              </w:tc>
              <w:tc>
                <w:tcPr>
                  <w:tcW w:w="863" w:type="dxa"/>
                  <w:vMerge w:val="continue"/>
                  <w:tcBorders>
                    <w:tl2br w:val="nil"/>
                    <w:tr2bl w:val="nil"/>
                  </w:tcBorders>
                  <w:noWrap w:val="0"/>
                  <w:vAlign w:val="center"/>
                </w:tcPr>
                <w:p w14:paraId="03F646F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2"/>
                      <w:highlight w:val="none"/>
                      <w:lang w:val="en-US" w:eastAsia="zh-CN"/>
                    </w:rPr>
                  </w:pPr>
                </w:p>
              </w:tc>
              <w:tc>
                <w:tcPr>
                  <w:tcW w:w="1178" w:type="dxa"/>
                  <w:tcBorders>
                    <w:tl2br w:val="nil"/>
                    <w:tr2bl w:val="nil"/>
                  </w:tcBorders>
                  <w:noWrap w:val="0"/>
                  <w:vAlign w:val="center"/>
                </w:tcPr>
                <w:p w14:paraId="5D3AEA7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2"/>
                      <w:highlight w:val="none"/>
                      <w:lang w:val="en-US" w:eastAsia="zh-CN"/>
                    </w:rPr>
                  </w:pPr>
                  <w:r>
                    <w:rPr>
                      <w:rFonts w:hint="eastAsia" w:cs="Times New Roman"/>
                      <w:bCs/>
                      <w:color w:val="auto"/>
                      <w:sz w:val="21"/>
                      <w:szCs w:val="22"/>
                      <w:highlight w:val="none"/>
                      <w:lang w:val="en-US" w:eastAsia="zh-CN"/>
                    </w:rPr>
                    <w:t>0.5</w:t>
                  </w:r>
                  <w:r>
                    <w:rPr>
                      <w:rFonts w:hint="eastAsia" w:ascii="Times New Roman" w:hAnsi="Times New Roman" w:eastAsia="宋体" w:cs="Times New Roman"/>
                      <w:bCs/>
                      <w:color w:val="auto"/>
                      <w:sz w:val="21"/>
                      <w:szCs w:val="22"/>
                      <w:highlight w:val="none"/>
                      <w:lang w:val="en-US" w:eastAsia="zh-CN"/>
                    </w:rPr>
                    <w:t>m</w:t>
                  </w:r>
                  <w:r>
                    <w:rPr>
                      <w:rFonts w:hint="eastAsia" w:ascii="Times New Roman" w:hAnsi="Times New Roman" w:eastAsia="宋体" w:cs="Times New Roman"/>
                      <w:bCs/>
                      <w:color w:val="auto"/>
                      <w:sz w:val="21"/>
                      <w:szCs w:val="22"/>
                      <w:highlight w:val="none"/>
                      <w:vertAlign w:val="superscript"/>
                      <w:lang w:val="en-US" w:eastAsia="zh-CN"/>
                    </w:rPr>
                    <w:t>2</w:t>
                  </w:r>
                </w:p>
              </w:tc>
            </w:tr>
            <w:tr w14:paraId="5844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3" w:type="dxa"/>
                  <w:vMerge w:val="continue"/>
                  <w:tcBorders>
                    <w:tl2br w:val="nil"/>
                    <w:tr2bl w:val="nil"/>
                  </w:tcBorders>
                  <w:noWrap w:val="0"/>
                  <w:vAlign w:val="center"/>
                </w:tcPr>
                <w:p w14:paraId="1CCC1AC5">
                  <w:pPr>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21"/>
                      <w:szCs w:val="22"/>
                      <w:highlight w:val="none"/>
                    </w:rPr>
                  </w:pPr>
                </w:p>
              </w:tc>
              <w:tc>
                <w:tcPr>
                  <w:tcW w:w="1141" w:type="dxa"/>
                  <w:tcBorders>
                    <w:tl2br w:val="nil"/>
                    <w:tr2bl w:val="nil"/>
                  </w:tcBorders>
                  <w:shd w:val="clear" w:color="auto" w:fill="auto"/>
                  <w:noWrap w:val="0"/>
                  <w:vAlign w:val="center"/>
                </w:tcPr>
                <w:p w14:paraId="320354A8">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废活性炭</w:t>
                  </w:r>
                </w:p>
              </w:tc>
              <w:tc>
                <w:tcPr>
                  <w:tcW w:w="0" w:type="auto"/>
                  <w:tcBorders>
                    <w:tl2br w:val="nil"/>
                    <w:tr2bl w:val="nil"/>
                  </w:tcBorders>
                  <w:shd w:val="clear" w:color="auto" w:fill="auto"/>
                  <w:noWrap w:val="0"/>
                  <w:vAlign w:val="center"/>
                </w:tcPr>
                <w:p w14:paraId="45142305">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eastAsia" w:ascii="Times New Roman" w:hAnsi="Times New Roman" w:cs="Times New Roman"/>
                      <w:color w:val="auto"/>
                      <w:sz w:val="21"/>
                      <w:szCs w:val="21"/>
                      <w:highlight w:val="none"/>
                      <w:lang w:val="en-US" w:eastAsia="zh-CN"/>
                    </w:rPr>
                    <w:t>4.235</w:t>
                  </w:r>
                </w:p>
              </w:tc>
              <w:tc>
                <w:tcPr>
                  <w:tcW w:w="0" w:type="auto"/>
                  <w:tcBorders>
                    <w:tl2br w:val="nil"/>
                    <w:tr2bl w:val="nil"/>
                  </w:tcBorders>
                  <w:noWrap w:val="0"/>
                  <w:vAlign w:val="center"/>
                </w:tcPr>
                <w:p w14:paraId="4D5F5052">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一季度</w:t>
                  </w:r>
                </w:p>
              </w:tc>
              <w:tc>
                <w:tcPr>
                  <w:tcW w:w="0" w:type="auto"/>
                  <w:vMerge w:val="continue"/>
                  <w:tcBorders>
                    <w:tl2br w:val="nil"/>
                    <w:tr2bl w:val="nil"/>
                  </w:tcBorders>
                  <w:noWrap w:val="0"/>
                  <w:vAlign w:val="center"/>
                </w:tcPr>
                <w:p w14:paraId="3016A8F0">
                  <w:pPr>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21"/>
                      <w:szCs w:val="22"/>
                      <w:highlight w:val="none"/>
                    </w:rPr>
                  </w:pPr>
                </w:p>
              </w:tc>
              <w:tc>
                <w:tcPr>
                  <w:tcW w:w="1651" w:type="dxa"/>
                  <w:tcBorders>
                    <w:tl2br w:val="nil"/>
                    <w:tr2bl w:val="nil"/>
                  </w:tcBorders>
                  <w:noWrap w:val="0"/>
                  <w:vAlign w:val="center"/>
                </w:tcPr>
                <w:p w14:paraId="0C253D9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eastAsia="宋体" w:cs="Times New Roman"/>
                      <w:bCs/>
                      <w:color w:val="auto"/>
                      <w:sz w:val="21"/>
                      <w:szCs w:val="22"/>
                      <w:highlight w:val="none"/>
                    </w:rPr>
                    <w:t>袋装</w:t>
                  </w:r>
                  <w:r>
                    <w:rPr>
                      <w:rFonts w:hint="eastAsia" w:cs="Times New Roman"/>
                      <w:bCs/>
                      <w:color w:val="auto"/>
                      <w:sz w:val="21"/>
                      <w:szCs w:val="22"/>
                      <w:highlight w:val="none"/>
                      <w:lang w:val="en-US" w:eastAsia="zh-CN"/>
                    </w:rPr>
                    <w:t>密封</w:t>
                  </w:r>
                </w:p>
              </w:tc>
              <w:tc>
                <w:tcPr>
                  <w:tcW w:w="863" w:type="dxa"/>
                  <w:tcBorders>
                    <w:tl2br w:val="nil"/>
                    <w:tr2bl w:val="nil"/>
                  </w:tcBorders>
                  <w:noWrap w:val="0"/>
                  <w:vAlign w:val="center"/>
                </w:tcPr>
                <w:p w14:paraId="25AB5524">
                  <w:pPr>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21"/>
                      <w:szCs w:val="22"/>
                      <w:highlight w:val="none"/>
                    </w:rPr>
                  </w:pPr>
                  <w:r>
                    <w:rPr>
                      <w:rFonts w:hint="eastAsia" w:ascii="Times New Roman" w:hAnsi="Times New Roman" w:cs="Times New Roman"/>
                      <w:color w:val="auto"/>
                      <w:sz w:val="21"/>
                      <w:szCs w:val="21"/>
                      <w:highlight w:val="none"/>
                      <w:lang w:val="en-US" w:eastAsia="zh-CN"/>
                    </w:rPr>
                    <w:t>一季度</w:t>
                  </w:r>
                </w:p>
              </w:tc>
              <w:tc>
                <w:tcPr>
                  <w:tcW w:w="1178" w:type="dxa"/>
                  <w:tcBorders>
                    <w:tl2br w:val="nil"/>
                    <w:tr2bl w:val="nil"/>
                  </w:tcBorders>
                  <w:noWrap w:val="0"/>
                  <w:vAlign w:val="center"/>
                </w:tcPr>
                <w:p w14:paraId="2F75735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z w:val="21"/>
                      <w:szCs w:val="22"/>
                      <w:highlight w:val="none"/>
                      <w:lang w:val="en-US" w:eastAsia="zh-CN"/>
                    </w:rPr>
                  </w:pPr>
                  <w:r>
                    <w:rPr>
                      <w:rFonts w:hint="eastAsia" w:cs="Times New Roman"/>
                      <w:bCs/>
                      <w:color w:val="auto"/>
                      <w:sz w:val="21"/>
                      <w:szCs w:val="22"/>
                      <w:highlight w:val="none"/>
                      <w:lang w:val="en-US" w:eastAsia="zh-CN"/>
                    </w:rPr>
                    <w:t>3</w:t>
                  </w:r>
                  <w:r>
                    <w:rPr>
                      <w:rFonts w:hint="eastAsia" w:ascii="Times New Roman" w:hAnsi="Times New Roman" w:eastAsia="宋体" w:cs="Times New Roman"/>
                      <w:bCs/>
                      <w:color w:val="auto"/>
                      <w:sz w:val="21"/>
                      <w:szCs w:val="22"/>
                      <w:highlight w:val="none"/>
                      <w:lang w:val="en-US" w:eastAsia="zh-CN"/>
                    </w:rPr>
                    <w:t>m</w:t>
                  </w:r>
                  <w:r>
                    <w:rPr>
                      <w:rFonts w:hint="eastAsia" w:ascii="Times New Roman" w:hAnsi="Times New Roman" w:eastAsia="宋体" w:cs="Times New Roman"/>
                      <w:bCs/>
                      <w:color w:val="auto"/>
                      <w:sz w:val="21"/>
                      <w:szCs w:val="22"/>
                      <w:highlight w:val="none"/>
                      <w:vertAlign w:val="superscript"/>
                      <w:lang w:val="en-US" w:eastAsia="zh-CN"/>
                    </w:rPr>
                    <w:t>2</w:t>
                  </w:r>
                </w:p>
              </w:tc>
            </w:tr>
            <w:tr w14:paraId="2071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3" w:type="dxa"/>
                  <w:vMerge w:val="continue"/>
                  <w:tcBorders>
                    <w:tl2br w:val="nil"/>
                    <w:tr2bl w:val="nil"/>
                  </w:tcBorders>
                  <w:noWrap w:val="0"/>
                  <w:vAlign w:val="center"/>
                </w:tcPr>
                <w:p w14:paraId="38655323">
                  <w:pPr>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21"/>
                      <w:szCs w:val="22"/>
                      <w:highlight w:val="none"/>
                    </w:rPr>
                  </w:pPr>
                </w:p>
              </w:tc>
              <w:tc>
                <w:tcPr>
                  <w:tcW w:w="1141" w:type="dxa"/>
                  <w:tcBorders>
                    <w:tl2br w:val="nil"/>
                    <w:tr2bl w:val="nil"/>
                  </w:tcBorders>
                  <w:shd w:val="clear" w:color="auto" w:fill="auto"/>
                  <w:noWrap w:val="0"/>
                  <w:vAlign w:val="center"/>
                </w:tcPr>
                <w:p w14:paraId="4C801108">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zh-CN"/>
                    </w:rPr>
                  </w:pPr>
                  <w:r>
                    <w:rPr>
                      <w:rFonts w:hint="default" w:ascii="Times New Roman" w:hAnsi="Times New Roman" w:eastAsia="宋体" w:cs="Times New Roman"/>
                      <w:color w:val="auto"/>
                      <w:sz w:val="21"/>
                      <w:szCs w:val="21"/>
                      <w:highlight w:val="none"/>
                      <w:lang w:eastAsia="zh-CN"/>
                    </w:rPr>
                    <w:t>废机油</w:t>
                  </w:r>
                  <w:r>
                    <w:rPr>
                      <w:rFonts w:hint="default" w:ascii="Times New Roman" w:hAnsi="Times New Roman" w:eastAsia="宋体" w:cs="Times New Roman"/>
                      <w:color w:val="auto"/>
                      <w:sz w:val="21"/>
                      <w:szCs w:val="21"/>
                      <w:highlight w:val="none"/>
                      <w:lang w:val="en-US" w:eastAsia="zh-CN"/>
                    </w:rPr>
                    <w:t>及油桶</w:t>
                  </w:r>
                </w:p>
              </w:tc>
              <w:tc>
                <w:tcPr>
                  <w:tcW w:w="0" w:type="auto"/>
                  <w:tcBorders>
                    <w:tl2br w:val="nil"/>
                    <w:tr2bl w:val="nil"/>
                  </w:tcBorders>
                  <w:shd w:val="clear" w:color="auto" w:fill="auto"/>
                  <w:noWrap w:val="0"/>
                  <w:vAlign w:val="center"/>
                </w:tcPr>
                <w:p w14:paraId="49CEA18B">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1</w:t>
                  </w:r>
                </w:p>
              </w:tc>
              <w:tc>
                <w:tcPr>
                  <w:tcW w:w="0" w:type="auto"/>
                  <w:tcBorders>
                    <w:tl2br w:val="nil"/>
                    <w:tr2bl w:val="nil"/>
                  </w:tcBorders>
                  <w:noWrap w:val="0"/>
                  <w:vAlign w:val="center"/>
                </w:tcPr>
                <w:p w14:paraId="6E8C0783">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半年</w:t>
                  </w:r>
                </w:p>
              </w:tc>
              <w:tc>
                <w:tcPr>
                  <w:tcW w:w="0" w:type="auto"/>
                  <w:vMerge w:val="continue"/>
                  <w:tcBorders>
                    <w:tl2br w:val="nil"/>
                    <w:tr2bl w:val="nil"/>
                  </w:tcBorders>
                  <w:noWrap w:val="0"/>
                  <w:vAlign w:val="center"/>
                </w:tcPr>
                <w:p w14:paraId="1530AF56">
                  <w:pPr>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21"/>
                      <w:szCs w:val="22"/>
                      <w:highlight w:val="none"/>
                    </w:rPr>
                  </w:pPr>
                </w:p>
              </w:tc>
              <w:tc>
                <w:tcPr>
                  <w:tcW w:w="1651" w:type="dxa"/>
                  <w:tcBorders>
                    <w:tl2br w:val="nil"/>
                    <w:tr2bl w:val="nil"/>
                  </w:tcBorders>
                  <w:noWrap w:val="0"/>
                  <w:vAlign w:val="center"/>
                </w:tcPr>
                <w:p w14:paraId="766F0F79">
                  <w:pPr>
                    <w:keepNext w:val="0"/>
                    <w:keepLines w:val="0"/>
                    <w:suppressLineNumbers w:val="0"/>
                    <w:spacing w:before="0" w:beforeAutospacing="0" w:after="0" w:afterAutospacing="0" w:line="240" w:lineRule="auto"/>
                    <w:ind w:left="0" w:right="0" w:firstLine="0" w:firstLineChars="0"/>
                    <w:jc w:val="center"/>
                    <w:rPr>
                      <w:rFonts w:hint="eastAsia" w:cs="Times New Roman"/>
                      <w:bCs/>
                      <w:color w:val="auto"/>
                      <w:sz w:val="21"/>
                      <w:szCs w:val="22"/>
                      <w:highlight w:val="none"/>
                      <w:lang w:val="en-US" w:eastAsia="zh-CN"/>
                    </w:rPr>
                  </w:pPr>
                  <w:r>
                    <w:rPr>
                      <w:rFonts w:hint="eastAsia" w:ascii="Times New Roman" w:hAnsi="Times New Roman" w:eastAsia="宋体" w:cs="Times New Roman"/>
                      <w:bCs/>
                      <w:color w:val="auto"/>
                      <w:sz w:val="21"/>
                      <w:szCs w:val="22"/>
                      <w:highlight w:val="none"/>
                    </w:rPr>
                    <w:t>桶装</w:t>
                  </w:r>
                  <w:r>
                    <w:rPr>
                      <w:rFonts w:hint="eastAsia" w:ascii="Times New Roman" w:hAnsi="Times New Roman" w:eastAsia="宋体" w:cs="Times New Roman"/>
                      <w:bCs/>
                      <w:color w:val="auto"/>
                      <w:sz w:val="21"/>
                      <w:szCs w:val="22"/>
                      <w:highlight w:val="none"/>
                      <w:lang w:val="en-US" w:eastAsia="zh-CN"/>
                    </w:rPr>
                    <w:t>+防渗托盘</w:t>
                  </w:r>
                </w:p>
              </w:tc>
              <w:tc>
                <w:tcPr>
                  <w:tcW w:w="863" w:type="dxa"/>
                  <w:tcBorders>
                    <w:tl2br w:val="nil"/>
                    <w:tr2bl w:val="nil"/>
                  </w:tcBorders>
                  <w:noWrap w:val="0"/>
                  <w:vAlign w:val="center"/>
                </w:tcPr>
                <w:p w14:paraId="264CAB1D">
                  <w:pPr>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21"/>
                      <w:szCs w:val="22"/>
                      <w:highlight w:val="none"/>
                    </w:rPr>
                  </w:pPr>
                  <w:r>
                    <w:rPr>
                      <w:rFonts w:hint="eastAsia" w:cs="Times New Roman"/>
                      <w:color w:val="auto"/>
                      <w:sz w:val="21"/>
                      <w:szCs w:val="21"/>
                      <w:highlight w:val="none"/>
                      <w:lang w:val="en-US" w:eastAsia="zh-CN"/>
                    </w:rPr>
                    <w:t>半年</w:t>
                  </w:r>
                </w:p>
              </w:tc>
              <w:tc>
                <w:tcPr>
                  <w:tcW w:w="1178" w:type="dxa"/>
                  <w:tcBorders>
                    <w:tl2br w:val="nil"/>
                    <w:tr2bl w:val="nil"/>
                  </w:tcBorders>
                  <w:noWrap w:val="0"/>
                  <w:vAlign w:val="center"/>
                </w:tcPr>
                <w:p w14:paraId="2583593A">
                  <w:pPr>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21"/>
                      <w:szCs w:val="22"/>
                      <w:highlight w:val="none"/>
                    </w:rPr>
                  </w:pPr>
                  <w:r>
                    <w:rPr>
                      <w:rFonts w:hint="eastAsia" w:cs="Times New Roman"/>
                      <w:bCs/>
                      <w:color w:val="auto"/>
                      <w:sz w:val="21"/>
                      <w:szCs w:val="22"/>
                      <w:highlight w:val="none"/>
                      <w:lang w:val="en-US" w:eastAsia="zh-CN"/>
                    </w:rPr>
                    <w:t>0.5</w:t>
                  </w:r>
                  <w:r>
                    <w:rPr>
                      <w:rFonts w:hint="eastAsia" w:ascii="Times New Roman" w:hAnsi="Times New Roman" w:eastAsia="宋体" w:cs="Times New Roman"/>
                      <w:bCs/>
                      <w:color w:val="auto"/>
                      <w:sz w:val="21"/>
                      <w:szCs w:val="22"/>
                      <w:highlight w:val="none"/>
                      <w:lang w:val="en-US" w:eastAsia="zh-CN"/>
                    </w:rPr>
                    <w:t>m</w:t>
                  </w:r>
                  <w:r>
                    <w:rPr>
                      <w:rFonts w:hint="eastAsia" w:ascii="Times New Roman" w:hAnsi="Times New Roman" w:eastAsia="宋体" w:cs="Times New Roman"/>
                      <w:bCs/>
                      <w:color w:val="auto"/>
                      <w:sz w:val="21"/>
                      <w:szCs w:val="22"/>
                      <w:highlight w:val="none"/>
                      <w:vertAlign w:val="superscript"/>
                      <w:lang w:val="en-US" w:eastAsia="zh-CN"/>
                    </w:rPr>
                    <w:t>2</w:t>
                  </w:r>
                </w:p>
              </w:tc>
            </w:tr>
          </w:tbl>
          <w:p w14:paraId="5F3B7E20">
            <w:pPr>
              <w:keepNext/>
              <w:keepLines/>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left"/>
              <w:textAlignment w:val="auto"/>
              <w:outlineLvl w:val="9"/>
              <w:rPr>
                <w:rFonts w:hint="eastAsia" w:ascii="Times New Roman" w:hAnsi="Times New Roman" w:eastAsia="宋体" w:cs="Times New Roman"/>
                <w:color w:val="auto"/>
                <w:kern w:val="44"/>
                <w:sz w:val="24"/>
                <w:szCs w:val="24"/>
                <w:highlight w:val="none"/>
                <w:lang w:val="en-US" w:eastAsia="zh-CN" w:bidi="ar-SA"/>
              </w:rPr>
            </w:pPr>
            <w:r>
              <w:rPr>
                <w:rFonts w:hint="eastAsia"/>
                <w:color w:val="auto"/>
                <w:sz w:val="24"/>
                <w:szCs w:val="24"/>
                <w:highlight w:val="none"/>
                <w:lang w:eastAsia="zh-CN"/>
              </w:rPr>
              <w:t>厂区危废委托</w:t>
            </w:r>
            <w:r>
              <w:rPr>
                <w:rFonts w:hint="eastAsia" w:cs="Times New Roman"/>
                <w:color w:val="auto"/>
                <w:sz w:val="24"/>
                <w:szCs w:val="24"/>
                <w:highlight w:val="none"/>
                <w:lang w:val="en-US" w:eastAsia="zh-CN"/>
              </w:rPr>
              <w:t>有资质单位</w:t>
            </w:r>
            <w:r>
              <w:rPr>
                <w:color w:val="auto"/>
                <w:sz w:val="24"/>
                <w:szCs w:val="24"/>
                <w:highlight w:val="none"/>
              </w:rPr>
              <w:t>定期上门接收并外运处置，</w:t>
            </w:r>
            <w:r>
              <w:rPr>
                <w:rFonts w:hint="eastAsia"/>
                <w:color w:val="auto"/>
                <w:sz w:val="24"/>
                <w:szCs w:val="24"/>
                <w:highlight w:val="none"/>
                <w:lang w:eastAsia="zh-CN"/>
              </w:rPr>
              <w:t>本</w:t>
            </w:r>
            <w:r>
              <w:rPr>
                <w:color w:val="auto"/>
                <w:sz w:val="24"/>
                <w:szCs w:val="24"/>
                <w:highlight w:val="none"/>
              </w:rPr>
              <w:t>项目危废</w:t>
            </w:r>
            <w:r>
              <w:rPr>
                <w:rFonts w:hint="eastAsia"/>
                <w:color w:val="auto"/>
                <w:sz w:val="24"/>
                <w:szCs w:val="24"/>
                <w:highlight w:val="none"/>
              </w:rPr>
              <w:t>暂存</w:t>
            </w:r>
            <w:r>
              <w:rPr>
                <w:rFonts w:hint="eastAsia"/>
                <w:color w:val="auto"/>
                <w:sz w:val="24"/>
                <w:szCs w:val="24"/>
                <w:highlight w:val="none"/>
                <w:lang w:eastAsia="zh-CN"/>
              </w:rPr>
              <w:t>所需</w:t>
            </w:r>
            <w:r>
              <w:rPr>
                <w:color w:val="auto"/>
                <w:sz w:val="24"/>
                <w:szCs w:val="24"/>
                <w:highlight w:val="none"/>
              </w:rPr>
              <w:t>占地面积合计</w:t>
            </w:r>
            <w:r>
              <w:rPr>
                <w:rFonts w:hint="eastAsia"/>
                <w:color w:val="auto"/>
                <w:sz w:val="24"/>
                <w:szCs w:val="24"/>
                <w:highlight w:val="none"/>
              </w:rPr>
              <w:t>约</w:t>
            </w:r>
            <w:r>
              <w:rPr>
                <w:rFonts w:hint="eastAsia"/>
                <w:color w:val="auto"/>
                <w:sz w:val="24"/>
                <w:szCs w:val="24"/>
                <w:highlight w:val="none"/>
                <w:lang w:val="en-US" w:eastAsia="zh-CN"/>
              </w:rPr>
              <w:t>19</w:t>
            </w:r>
            <w:r>
              <w:rPr>
                <w:color w:val="auto"/>
                <w:sz w:val="24"/>
                <w:szCs w:val="24"/>
                <w:highlight w:val="none"/>
              </w:rPr>
              <w:t>m</w:t>
            </w:r>
            <w:r>
              <w:rPr>
                <w:color w:val="auto"/>
                <w:sz w:val="24"/>
                <w:szCs w:val="24"/>
                <w:highlight w:val="none"/>
                <w:vertAlign w:val="superscript"/>
              </w:rPr>
              <w:t>2</w:t>
            </w:r>
            <w:r>
              <w:rPr>
                <w:color w:val="auto"/>
                <w:sz w:val="24"/>
                <w:szCs w:val="24"/>
                <w:highlight w:val="none"/>
              </w:rPr>
              <w:t>，</w:t>
            </w:r>
            <w:r>
              <w:rPr>
                <w:rFonts w:hint="eastAsia"/>
                <w:color w:val="auto"/>
                <w:sz w:val="24"/>
                <w:szCs w:val="24"/>
                <w:highlight w:val="none"/>
                <w:lang w:val="en-US" w:eastAsia="zh-CN"/>
              </w:rPr>
              <w:t>厂区</w:t>
            </w:r>
            <w:r>
              <w:rPr>
                <w:rFonts w:hint="eastAsia" w:ascii="Times New Roman" w:hAnsi="Times New Roman" w:cs="Times New Roman"/>
                <w:color w:val="auto"/>
                <w:sz w:val="24"/>
                <w:szCs w:val="24"/>
                <w:highlight w:val="none"/>
                <w:lang w:eastAsia="zh-CN"/>
              </w:rPr>
              <w:t>危废暂存库</w:t>
            </w:r>
            <w:r>
              <w:rPr>
                <w:rFonts w:hint="eastAsia" w:ascii="Times New Roman" w:hAnsi="Times New Roman" w:cs="Times New Roman"/>
                <w:bCs/>
                <w:color w:val="auto"/>
                <w:sz w:val="24"/>
                <w:szCs w:val="24"/>
                <w:highlight w:val="none"/>
                <w:lang w:val="en-US" w:eastAsia="zh-CN"/>
              </w:rPr>
              <w:t>占地面积</w:t>
            </w:r>
            <w:r>
              <w:rPr>
                <w:rFonts w:hint="eastAsia" w:cs="Times New Roman"/>
                <w:bCs/>
                <w:color w:val="auto"/>
                <w:sz w:val="24"/>
                <w:szCs w:val="24"/>
                <w:highlight w:val="none"/>
                <w:lang w:val="en-US" w:eastAsia="zh-CN"/>
              </w:rPr>
              <w:t>20</w:t>
            </w:r>
            <w:r>
              <w:rPr>
                <w:rFonts w:hint="eastAsia" w:ascii="Times New Roman" w:hAnsi="Times New Roman" w:cs="Times New Roman"/>
                <w:bCs/>
                <w:color w:val="auto"/>
                <w:sz w:val="24"/>
                <w:szCs w:val="24"/>
                <w:highlight w:val="none"/>
                <w:lang w:val="en-US" w:eastAsia="zh-CN"/>
              </w:rPr>
              <w:t>m</w:t>
            </w:r>
            <w:r>
              <w:rPr>
                <w:rFonts w:hint="eastAsia" w:ascii="Times New Roman" w:hAnsi="Times New Roman" w:cs="Times New Roman"/>
                <w:bCs/>
                <w:color w:val="auto"/>
                <w:sz w:val="24"/>
                <w:szCs w:val="24"/>
                <w:highlight w:val="none"/>
                <w:vertAlign w:val="superscript"/>
                <w:lang w:val="en-US" w:eastAsia="zh-CN"/>
              </w:rPr>
              <w:t>2</w:t>
            </w:r>
            <w:r>
              <w:rPr>
                <w:rFonts w:hint="eastAsia" w:ascii="Times New Roman" w:hAnsi="Times New Roman" w:cs="Times New Roman"/>
                <w:bCs/>
                <w:color w:val="auto"/>
                <w:sz w:val="24"/>
                <w:szCs w:val="24"/>
                <w:highlight w:val="none"/>
                <w:vertAlign w:val="baseline"/>
                <w:lang w:val="en-US" w:eastAsia="zh-CN"/>
              </w:rPr>
              <w:t>，</w:t>
            </w:r>
            <w:r>
              <w:rPr>
                <w:rFonts w:hint="eastAsia" w:ascii="Times New Roman" w:hAnsi="Times New Roman" w:eastAsia="宋体" w:cs="Times New Roman"/>
                <w:color w:val="auto"/>
                <w:kern w:val="2"/>
                <w:sz w:val="24"/>
                <w:szCs w:val="24"/>
                <w:highlight w:val="none"/>
                <w:lang w:val="en-US" w:eastAsia="zh-CN" w:bidi="ar-SA"/>
              </w:rPr>
              <w:t>可满足本项目</w:t>
            </w:r>
            <w:r>
              <w:rPr>
                <w:rFonts w:hint="eastAsia" w:cs="Times New Roman"/>
                <w:color w:val="auto"/>
                <w:kern w:val="2"/>
                <w:sz w:val="24"/>
                <w:szCs w:val="24"/>
                <w:highlight w:val="none"/>
                <w:lang w:val="en-US" w:eastAsia="zh-CN" w:bidi="ar-SA"/>
              </w:rPr>
              <w:t>产生的</w:t>
            </w:r>
            <w:r>
              <w:rPr>
                <w:rFonts w:hint="eastAsia" w:ascii="Times New Roman" w:hAnsi="Times New Roman" w:eastAsia="宋体" w:cs="Times New Roman"/>
                <w:color w:val="auto"/>
                <w:kern w:val="2"/>
                <w:sz w:val="24"/>
                <w:szCs w:val="24"/>
                <w:highlight w:val="none"/>
                <w:lang w:val="en-US" w:eastAsia="zh-CN" w:bidi="ar-SA"/>
              </w:rPr>
              <w:t>危废暂存</w:t>
            </w:r>
            <w:r>
              <w:rPr>
                <w:rFonts w:hint="eastAsia" w:ascii="Times New Roman" w:hAnsi="Times New Roman" w:eastAsia="宋体" w:cs="Times New Roman"/>
                <w:color w:val="auto"/>
                <w:kern w:val="44"/>
                <w:sz w:val="24"/>
                <w:szCs w:val="24"/>
                <w:highlight w:val="none"/>
                <w:lang w:val="en-US" w:eastAsia="zh-CN" w:bidi="ar-SA"/>
              </w:rPr>
              <w:t>。</w:t>
            </w:r>
          </w:p>
          <w:p w14:paraId="54CBA465">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9"/>
              <w:rPr>
                <w:rFonts w:hint="eastAsia"/>
                <w:b w:val="0"/>
                <w:bCs w:val="0"/>
                <w:color w:val="auto"/>
                <w:sz w:val="24"/>
                <w:szCs w:val="22"/>
                <w:highlight w:val="none"/>
                <w:lang w:eastAsia="zh-CN"/>
              </w:rPr>
            </w:pPr>
            <w:r>
              <w:rPr>
                <w:rFonts w:hint="eastAsia"/>
                <w:b w:val="0"/>
                <w:bCs w:val="0"/>
                <w:color w:val="auto"/>
                <w:sz w:val="24"/>
                <w:szCs w:val="22"/>
                <w:highlight w:val="none"/>
                <w:lang w:val="en-US" w:eastAsia="zh-CN"/>
              </w:rPr>
              <w:t>五、</w:t>
            </w:r>
            <w:r>
              <w:rPr>
                <w:b w:val="0"/>
                <w:bCs w:val="0"/>
                <w:color w:val="auto"/>
                <w:sz w:val="24"/>
                <w:szCs w:val="22"/>
                <w:highlight w:val="none"/>
              </w:rPr>
              <w:t>危险废物贮存过程对环境的影响</w:t>
            </w:r>
          </w:p>
          <w:p w14:paraId="0471A7D4">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9"/>
              <w:rPr>
                <w:color w:val="auto"/>
                <w:sz w:val="24"/>
                <w:szCs w:val="22"/>
                <w:highlight w:val="none"/>
              </w:rPr>
            </w:pPr>
            <w:r>
              <w:rPr>
                <w:rFonts w:hint="eastAsia"/>
                <w:color w:val="auto"/>
                <w:sz w:val="24"/>
                <w:szCs w:val="22"/>
                <w:highlight w:val="none"/>
                <w:lang w:eastAsia="zh-CN"/>
              </w:rPr>
              <w:t>（</w:t>
            </w:r>
            <w:r>
              <w:rPr>
                <w:rFonts w:hint="eastAsia"/>
                <w:color w:val="auto"/>
                <w:sz w:val="24"/>
                <w:szCs w:val="22"/>
                <w:highlight w:val="none"/>
                <w:lang w:val="en-US" w:eastAsia="zh-CN"/>
              </w:rPr>
              <w:t>1</w:t>
            </w:r>
            <w:r>
              <w:rPr>
                <w:rFonts w:hint="eastAsia"/>
                <w:color w:val="auto"/>
                <w:sz w:val="24"/>
                <w:szCs w:val="22"/>
                <w:highlight w:val="none"/>
                <w:lang w:eastAsia="zh-CN"/>
              </w:rPr>
              <w:t>）</w:t>
            </w:r>
            <w:r>
              <w:rPr>
                <w:color w:val="auto"/>
                <w:sz w:val="24"/>
                <w:szCs w:val="22"/>
                <w:highlight w:val="none"/>
              </w:rPr>
              <w:t>对环境空气的影响：</w:t>
            </w:r>
          </w:p>
          <w:p w14:paraId="39F7FF8D">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9"/>
              <w:rPr>
                <w:color w:val="auto"/>
                <w:sz w:val="24"/>
                <w:szCs w:val="22"/>
                <w:highlight w:val="none"/>
              </w:rPr>
            </w:pPr>
            <w:r>
              <w:rPr>
                <w:color w:val="auto"/>
                <w:sz w:val="24"/>
                <w:szCs w:val="22"/>
                <w:highlight w:val="none"/>
              </w:rPr>
              <w:t>本项目危险废物均是以密封的</w:t>
            </w:r>
            <w:r>
              <w:rPr>
                <w:rFonts w:hint="eastAsia"/>
                <w:color w:val="auto"/>
                <w:sz w:val="24"/>
                <w:szCs w:val="22"/>
                <w:highlight w:val="none"/>
              </w:rPr>
              <w:t>包装袋或者</w:t>
            </w:r>
            <w:r>
              <w:rPr>
                <w:color w:val="auto"/>
                <w:sz w:val="24"/>
                <w:szCs w:val="22"/>
                <w:highlight w:val="none"/>
              </w:rPr>
              <w:t>包装桶包装贮存，</w:t>
            </w:r>
            <w:r>
              <w:rPr>
                <w:rFonts w:hint="eastAsia"/>
                <w:color w:val="auto"/>
                <w:sz w:val="24"/>
                <w:szCs w:val="22"/>
                <w:highlight w:val="none"/>
                <w:lang w:val="en-US" w:eastAsia="zh-CN"/>
              </w:rPr>
              <w:t>正常状态下</w:t>
            </w:r>
            <w:r>
              <w:rPr>
                <w:color w:val="auto"/>
                <w:sz w:val="24"/>
                <w:szCs w:val="22"/>
                <w:highlight w:val="none"/>
              </w:rPr>
              <w:t>挥发性</w:t>
            </w:r>
            <w:r>
              <w:rPr>
                <w:rFonts w:hint="eastAsia"/>
                <w:color w:val="auto"/>
                <w:sz w:val="24"/>
                <w:szCs w:val="22"/>
                <w:highlight w:val="none"/>
                <w:lang w:val="en-US" w:eastAsia="zh-CN"/>
              </w:rPr>
              <w:t>量很小</w:t>
            </w:r>
            <w:r>
              <w:rPr>
                <w:color w:val="auto"/>
                <w:sz w:val="24"/>
                <w:szCs w:val="22"/>
                <w:highlight w:val="none"/>
              </w:rPr>
              <w:t>。</w:t>
            </w:r>
          </w:p>
          <w:p w14:paraId="68A98948">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9"/>
              <w:rPr>
                <w:color w:val="auto"/>
                <w:sz w:val="24"/>
                <w:szCs w:val="22"/>
                <w:highlight w:val="none"/>
              </w:rPr>
            </w:pPr>
            <w:r>
              <w:rPr>
                <w:rFonts w:hint="eastAsia"/>
                <w:color w:val="auto"/>
                <w:sz w:val="24"/>
                <w:szCs w:val="22"/>
                <w:highlight w:val="none"/>
                <w:lang w:eastAsia="zh-CN"/>
              </w:rPr>
              <w:t>（</w:t>
            </w:r>
            <w:r>
              <w:rPr>
                <w:rFonts w:hint="eastAsia"/>
                <w:color w:val="auto"/>
                <w:sz w:val="24"/>
                <w:szCs w:val="22"/>
                <w:highlight w:val="none"/>
                <w:lang w:val="en-US" w:eastAsia="zh-CN"/>
              </w:rPr>
              <w:t>2</w:t>
            </w:r>
            <w:r>
              <w:rPr>
                <w:rFonts w:hint="eastAsia"/>
                <w:color w:val="auto"/>
                <w:sz w:val="24"/>
                <w:szCs w:val="22"/>
                <w:highlight w:val="none"/>
                <w:lang w:eastAsia="zh-CN"/>
              </w:rPr>
              <w:t>）</w:t>
            </w:r>
            <w:r>
              <w:rPr>
                <w:color w:val="auto"/>
                <w:sz w:val="24"/>
                <w:szCs w:val="22"/>
                <w:highlight w:val="none"/>
              </w:rPr>
              <w:t>对地表水的影响：</w:t>
            </w:r>
          </w:p>
          <w:p w14:paraId="2238AE4D">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9"/>
              <w:rPr>
                <w:color w:val="auto"/>
                <w:sz w:val="24"/>
                <w:szCs w:val="22"/>
                <w:highlight w:val="none"/>
              </w:rPr>
            </w:pPr>
            <w:r>
              <w:rPr>
                <w:rFonts w:hint="eastAsia"/>
                <w:color w:val="auto"/>
                <w:sz w:val="24"/>
                <w:szCs w:val="22"/>
                <w:highlight w:val="none"/>
                <w:lang w:val="en-US" w:eastAsia="zh-CN"/>
              </w:rPr>
              <w:t>危废</w:t>
            </w:r>
            <w:r>
              <w:rPr>
                <w:rFonts w:hint="eastAsia"/>
                <w:color w:val="auto"/>
                <w:sz w:val="24"/>
                <w:szCs w:val="22"/>
                <w:highlight w:val="none"/>
                <w:lang w:eastAsia="zh-CN"/>
              </w:rPr>
              <w:t>暂存于</w:t>
            </w:r>
            <w:r>
              <w:rPr>
                <w:rFonts w:hint="eastAsia"/>
                <w:color w:val="auto"/>
                <w:sz w:val="24"/>
                <w:szCs w:val="22"/>
                <w:highlight w:val="none"/>
                <w:lang w:val="en-US" w:eastAsia="zh-CN"/>
              </w:rPr>
              <w:t>厂区</w:t>
            </w:r>
            <w:r>
              <w:rPr>
                <w:rFonts w:hint="eastAsia"/>
                <w:color w:val="auto"/>
                <w:sz w:val="24"/>
                <w:szCs w:val="22"/>
                <w:highlight w:val="none"/>
                <w:lang w:eastAsia="zh-CN"/>
              </w:rPr>
              <w:t>危废暂存库，</w:t>
            </w:r>
            <w:r>
              <w:rPr>
                <w:color w:val="auto"/>
                <w:sz w:val="24"/>
                <w:szCs w:val="22"/>
                <w:highlight w:val="none"/>
              </w:rPr>
              <w:t>室内具有防风、防雨、防晒、防渗漏措施，</w:t>
            </w:r>
            <w:r>
              <w:rPr>
                <w:rFonts w:hint="eastAsia"/>
                <w:color w:val="auto"/>
                <w:sz w:val="24"/>
                <w:szCs w:val="22"/>
                <w:highlight w:val="none"/>
                <w:lang w:eastAsia="zh-CN"/>
              </w:rPr>
              <w:t>并设置导流槽和收集池，</w:t>
            </w:r>
            <w:r>
              <w:rPr>
                <w:color w:val="auto"/>
                <w:sz w:val="24"/>
                <w:szCs w:val="22"/>
                <w:highlight w:val="none"/>
              </w:rPr>
              <w:t>当事故发生时，不会</w:t>
            </w:r>
            <w:r>
              <w:rPr>
                <w:rFonts w:hint="eastAsia"/>
                <w:color w:val="auto"/>
                <w:sz w:val="24"/>
                <w:szCs w:val="22"/>
                <w:highlight w:val="none"/>
                <w:lang w:eastAsia="zh-CN"/>
              </w:rPr>
              <w:t>泄露</w:t>
            </w:r>
            <w:r>
              <w:rPr>
                <w:color w:val="auto"/>
                <w:sz w:val="24"/>
                <w:szCs w:val="22"/>
                <w:highlight w:val="none"/>
              </w:rPr>
              <w:t>废液进入厂区雨水系统，因此对地表水影响不大。</w:t>
            </w:r>
          </w:p>
          <w:p w14:paraId="0446AB7C">
            <w:pPr>
              <w:keepNext/>
              <w:keepLines/>
              <w:pageBreakBefore w:val="0"/>
              <w:widowControl w:val="0"/>
              <w:numPr>
                <w:ilvl w:val="0"/>
                <w:numId w:val="8"/>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outlineLvl w:val="9"/>
              <w:rPr>
                <w:color w:val="auto"/>
                <w:sz w:val="24"/>
                <w:szCs w:val="22"/>
                <w:highlight w:val="none"/>
              </w:rPr>
            </w:pPr>
            <w:r>
              <w:rPr>
                <w:color w:val="auto"/>
                <w:sz w:val="24"/>
                <w:szCs w:val="22"/>
                <w:highlight w:val="none"/>
              </w:rPr>
              <w:t>对地下水的影响：</w:t>
            </w:r>
          </w:p>
          <w:p w14:paraId="77125116">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9"/>
              <w:rPr>
                <w:color w:val="auto"/>
                <w:sz w:val="24"/>
                <w:szCs w:val="22"/>
                <w:highlight w:val="none"/>
              </w:rPr>
            </w:pPr>
            <w:r>
              <w:rPr>
                <w:rFonts w:hint="eastAsia"/>
                <w:color w:val="auto"/>
                <w:sz w:val="24"/>
                <w:szCs w:val="22"/>
                <w:highlight w:val="none"/>
                <w:lang w:eastAsia="zh-CN"/>
              </w:rPr>
              <w:t>危废暂存库等</w:t>
            </w:r>
            <w:r>
              <w:rPr>
                <w:color w:val="auto"/>
                <w:sz w:val="24"/>
                <w:szCs w:val="22"/>
                <w:highlight w:val="none"/>
              </w:rPr>
              <w:t>地面</w:t>
            </w:r>
            <w:r>
              <w:rPr>
                <w:rFonts w:hint="eastAsia"/>
                <w:color w:val="auto"/>
                <w:sz w:val="24"/>
                <w:szCs w:val="22"/>
                <w:highlight w:val="none"/>
                <w:lang w:val="en-US" w:eastAsia="zh-CN"/>
              </w:rPr>
              <w:t>拟采取</w:t>
            </w:r>
            <w:r>
              <w:rPr>
                <w:rFonts w:hint="eastAsia"/>
                <w:color w:val="auto"/>
                <w:sz w:val="24"/>
                <w:szCs w:val="22"/>
                <w:highlight w:val="none"/>
                <w:lang w:eastAsia="zh-CN"/>
              </w:rPr>
              <w:t>重点</w:t>
            </w:r>
            <w:r>
              <w:rPr>
                <w:color w:val="auto"/>
                <w:sz w:val="24"/>
                <w:szCs w:val="22"/>
                <w:highlight w:val="none"/>
              </w:rPr>
              <w:t>防渗措施，铺设的防渗层防渗性能不低于等效1</w:t>
            </w:r>
            <w:r>
              <w:rPr>
                <w:rFonts w:hint="eastAsia"/>
                <w:color w:val="auto"/>
                <w:sz w:val="24"/>
                <w:szCs w:val="22"/>
                <w:highlight w:val="none"/>
                <w:lang w:val="en-US" w:eastAsia="zh-CN"/>
              </w:rPr>
              <w:t>.5</w:t>
            </w:r>
            <w:r>
              <w:rPr>
                <w:color w:val="auto"/>
                <w:sz w:val="24"/>
                <w:szCs w:val="22"/>
                <w:highlight w:val="none"/>
              </w:rPr>
              <w:t>m厚、渗透系数≤10</w:t>
            </w:r>
            <w:r>
              <w:rPr>
                <w:color w:val="auto"/>
                <w:sz w:val="24"/>
                <w:szCs w:val="22"/>
                <w:highlight w:val="none"/>
                <w:vertAlign w:val="superscript"/>
              </w:rPr>
              <w:t>-7</w:t>
            </w:r>
            <w:r>
              <w:rPr>
                <w:color w:val="auto"/>
                <w:sz w:val="24"/>
                <w:szCs w:val="22"/>
                <w:highlight w:val="none"/>
              </w:rPr>
              <w:t>cm/s粘土层的防渗性能，或2mm厚高密度聚乙烯，或至少2mm厚的其它人工材料，渗透系数≤10</w:t>
            </w:r>
            <w:r>
              <w:rPr>
                <w:color w:val="auto"/>
                <w:sz w:val="24"/>
                <w:szCs w:val="22"/>
                <w:highlight w:val="none"/>
                <w:vertAlign w:val="superscript"/>
              </w:rPr>
              <w:t>-10</w:t>
            </w:r>
            <w:r>
              <w:rPr>
                <w:color w:val="auto"/>
                <w:sz w:val="24"/>
                <w:szCs w:val="22"/>
                <w:highlight w:val="none"/>
              </w:rPr>
              <w:t>cm/s；危废暂存</w:t>
            </w:r>
            <w:r>
              <w:rPr>
                <w:rFonts w:hint="eastAsia"/>
                <w:color w:val="auto"/>
                <w:sz w:val="24"/>
                <w:szCs w:val="22"/>
                <w:highlight w:val="none"/>
                <w:lang w:eastAsia="zh-CN"/>
              </w:rPr>
              <w:t>库</w:t>
            </w:r>
            <w:r>
              <w:rPr>
                <w:color w:val="auto"/>
                <w:sz w:val="24"/>
                <w:szCs w:val="22"/>
                <w:highlight w:val="none"/>
              </w:rPr>
              <w:t>设置</w:t>
            </w:r>
            <w:r>
              <w:rPr>
                <w:rFonts w:hint="eastAsia"/>
                <w:color w:val="auto"/>
                <w:sz w:val="24"/>
                <w:szCs w:val="22"/>
                <w:highlight w:val="none"/>
                <w:lang w:val="en-US" w:eastAsia="zh-CN"/>
              </w:rPr>
              <w:t>导流槽和</w:t>
            </w:r>
            <w:r>
              <w:rPr>
                <w:color w:val="auto"/>
                <w:sz w:val="24"/>
                <w:szCs w:val="22"/>
                <w:highlight w:val="none"/>
              </w:rPr>
              <w:t>泄露液体收集装置，装载危险废物的容器应完好无损，发现破损，及时采取措施清理更换，正常情况下不会泄漏至室外污染土壤和地下水，不会对区域地下水环境产生影响。</w:t>
            </w:r>
          </w:p>
          <w:p w14:paraId="452E3C91">
            <w:pPr>
              <w:keepNext/>
              <w:keepLines/>
              <w:pageBreakBefore w:val="0"/>
              <w:widowControl w:val="0"/>
              <w:numPr>
                <w:ilvl w:val="0"/>
                <w:numId w:val="8"/>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outlineLvl w:val="9"/>
              <w:rPr>
                <w:color w:val="auto"/>
                <w:sz w:val="24"/>
                <w:szCs w:val="22"/>
                <w:highlight w:val="none"/>
              </w:rPr>
            </w:pPr>
            <w:r>
              <w:rPr>
                <w:color w:val="auto"/>
                <w:sz w:val="24"/>
                <w:szCs w:val="22"/>
                <w:highlight w:val="none"/>
              </w:rPr>
              <w:t>运输过程的环境影响分析</w:t>
            </w:r>
          </w:p>
          <w:p w14:paraId="6FD74EAF">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9"/>
              <w:rPr>
                <w:color w:val="auto"/>
                <w:sz w:val="24"/>
                <w:szCs w:val="22"/>
                <w:highlight w:val="none"/>
              </w:rPr>
            </w:pPr>
            <w:r>
              <w:rPr>
                <w:color w:val="auto"/>
                <w:sz w:val="24"/>
                <w:szCs w:val="22"/>
                <w:highlight w:val="none"/>
              </w:rPr>
              <w:t>项目危险废物在处置单位来厂收货或运输的过程中，如不按照有关规范和要求对危险废物进行包装，会污染厂区土壤和地下水，遇下雨经地表径流进入河流会引起地表水体的污染。将</w:t>
            </w:r>
            <w:r>
              <w:rPr>
                <w:rFonts w:hint="eastAsia"/>
                <w:color w:val="auto"/>
                <w:sz w:val="24"/>
                <w:szCs w:val="22"/>
                <w:highlight w:val="none"/>
                <w:lang w:eastAsia="zh-CN"/>
              </w:rPr>
              <w:t>液态或半固态</w:t>
            </w:r>
            <w:r>
              <w:rPr>
                <w:color w:val="auto"/>
                <w:sz w:val="24"/>
                <w:szCs w:val="22"/>
                <w:highlight w:val="none"/>
              </w:rPr>
              <w:t>危险废物全部采用加盖桶装，顶部的出料口旋紧后整体密闭，可以有效避免危险废物在厂区内收货、运输过程中的溢出和渗漏。</w:t>
            </w:r>
          </w:p>
          <w:p w14:paraId="315D6BD0">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9"/>
              <w:rPr>
                <w:color w:val="auto"/>
                <w:sz w:val="24"/>
                <w:szCs w:val="22"/>
                <w:highlight w:val="none"/>
              </w:rPr>
            </w:pPr>
            <w:r>
              <w:rPr>
                <w:rFonts w:hint="eastAsia"/>
                <w:color w:val="auto"/>
                <w:sz w:val="24"/>
                <w:szCs w:val="22"/>
                <w:highlight w:val="none"/>
                <w:lang w:eastAsia="zh-CN"/>
              </w:rPr>
              <w:t>（</w:t>
            </w:r>
            <w:r>
              <w:rPr>
                <w:rFonts w:hint="eastAsia"/>
                <w:color w:val="auto"/>
                <w:sz w:val="24"/>
                <w:szCs w:val="22"/>
                <w:highlight w:val="none"/>
                <w:lang w:val="en-US" w:eastAsia="zh-CN"/>
              </w:rPr>
              <w:t>5</w:t>
            </w:r>
            <w:r>
              <w:rPr>
                <w:rFonts w:hint="eastAsia"/>
                <w:color w:val="auto"/>
                <w:sz w:val="24"/>
                <w:szCs w:val="22"/>
                <w:highlight w:val="none"/>
                <w:lang w:eastAsia="zh-CN"/>
              </w:rPr>
              <w:t>）</w:t>
            </w:r>
            <w:r>
              <w:rPr>
                <w:color w:val="auto"/>
                <w:sz w:val="24"/>
                <w:szCs w:val="22"/>
                <w:highlight w:val="none"/>
              </w:rPr>
              <w:t>危险废物委托利用或者处置</w:t>
            </w:r>
          </w:p>
          <w:p w14:paraId="4E567C9E">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9"/>
              <w:rPr>
                <w:color w:val="auto"/>
                <w:sz w:val="24"/>
                <w:szCs w:val="24"/>
                <w:highlight w:val="none"/>
              </w:rPr>
            </w:pPr>
            <w:r>
              <w:rPr>
                <w:color w:val="auto"/>
                <w:sz w:val="24"/>
                <w:szCs w:val="22"/>
                <w:highlight w:val="none"/>
              </w:rPr>
              <w:t>本项目</w:t>
            </w:r>
            <w:r>
              <w:rPr>
                <w:rFonts w:hint="eastAsia"/>
                <w:color w:val="auto"/>
                <w:sz w:val="24"/>
                <w:szCs w:val="22"/>
                <w:highlight w:val="none"/>
              </w:rPr>
              <w:t>建成后，</w:t>
            </w:r>
            <w:r>
              <w:rPr>
                <w:rFonts w:ascii="Times New Roman" w:hAnsi="Times New Roman" w:eastAsia="宋体" w:cs="Times New Roman"/>
                <w:color w:val="auto"/>
                <w:sz w:val="24"/>
                <w:szCs w:val="22"/>
                <w:highlight w:val="none"/>
              </w:rPr>
              <w:t>危险废物</w:t>
            </w:r>
            <w:r>
              <w:rPr>
                <w:rFonts w:ascii="Times New Roman" w:hAnsi="Times New Roman" w:eastAsia="宋体" w:cs="Times New Roman"/>
                <w:color w:val="auto"/>
                <w:sz w:val="24"/>
                <w:szCs w:val="24"/>
                <w:highlight w:val="none"/>
              </w:rPr>
              <w:t>类别有HW49</w:t>
            </w:r>
            <w:r>
              <w:rPr>
                <w:rFonts w:hint="eastAsia" w:ascii="Times New Roman" w:hAnsi="Times New Roman" w:eastAsia="宋体" w:cs="Times New Roman"/>
                <w:color w:val="auto"/>
                <w:sz w:val="24"/>
                <w:szCs w:val="24"/>
                <w:highlight w:val="none"/>
              </w:rPr>
              <w:t>其他废物</w:t>
            </w:r>
            <w:r>
              <w:rPr>
                <w:rFonts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val="en-US" w:eastAsia="zh-CN" w:bidi="ar"/>
              </w:rPr>
              <w:t>HW</w:t>
            </w:r>
            <w:r>
              <w:rPr>
                <w:rFonts w:hint="eastAsia" w:ascii="Times New Roman" w:hAnsi="Times New Roman" w:eastAsia="宋体" w:cs="Times New Roman"/>
                <w:color w:val="auto"/>
                <w:kern w:val="0"/>
                <w:sz w:val="24"/>
                <w:szCs w:val="24"/>
                <w:highlight w:val="none"/>
                <w:lang w:val="en-US" w:eastAsia="zh-CN" w:bidi="ar"/>
              </w:rPr>
              <w:t>08废矿物油与含矿物油废物</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zh-CN"/>
              </w:rPr>
              <w:t>HW</w:t>
            </w:r>
            <w:r>
              <w:rPr>
                <w:rFonts w:hint="eastAsia" w:cs="Times New Roman"/>
                <w:color w:val="auto"/>
                <w:sz w:val="24"/>
                <w:szCs w:val="24"/>
                <w:highlight w:val="none"/>
                <w:lang w:val="en-US" w:eastAsia="zh-CN"/>
              </w:rPr>
              <w:t>06废有机溶剂与含有机溶剂废物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应</w:t>
            </w:r>
            <w:r>
              <w:rPr>
                <w:rFonts w:hint="eastAsia" w:eastAsia="宋体"/>
                <w:color w:val="auto"/>
                <w:sz w:val="24"/>
                <w:szCs w:val="24"/>
                <w:highlight w:val="none"/>
                <w:lang w:eastAsia="zh-CN"/>
              </w:rPr>
              <w:t>与</w:t>
            </w:r>
            <w:r>
              <w:rPr>
                <w:rFonts w:hint="eastAsia"/>
                <w:color w:val="auto"/>
                <w:sz w:val="24"/>
                <w:szCs w:val="24"/>
                <w:highlight w:val="none"/>
                <w:lang w:eastAsia="zh-CN"/>
              </w:rPr>
              <w:t>危废有资质单位签订以上</w:t>
            </w:r>
            <w:r>
              <w:rPr>
                <w:rFonts w:hint="eastAsia"/>
                <w:color w:val="auto"/>
                <w:sz w:val="24"/>
                <w:szCs w:val="24"/>
                <w:highlight w:val="none"/>
              </w:rPr>
              <w:t>危废类别</w:t>
            </w:r>
            <w:r>
              <w:rPr>
                <w:color w:val="auto"/>
                <w:sz w:val="24"/>
                <w:szCs w:val="24"/>
                <w:highlight w:val="none"/>
              </w:rPr>
              <w:t>。</w:t>
            </w:r>
          </w:p>
          <w:p w14:paraId="7D754629">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9"/>
              <w:rPr>
                <w:color w:val="auto"/>
                <w:sz w:val="24"/>
                <w:szCs w:val="22"/>
                <w:highlight w:val="none"/>
              </w:rPr>
            </w:pPr>
            <w:r>
              <w:rPr>
                <w:rFonts w:hint="eastAsia"/>
                <w:color w:val="auto"/>
                <w:sz w:val="24"/>
                <w:szCs w:val="22"/>
                <w:highlight w:val="none"/>
                <w:lang w:val="en-US" w:eastAsia="zh-CN"/>
              </w:rPr>
              <w:t>六、</w:t>
            </w:r>
            <w:r>
              <w:rPr>
                <w:color w:val="auto"/>
                <w:sz w:val="24"/>
                <w:szCs w:val="22"/>
                <w:highlight w:val="none"/>
              </w:rPr>
              <w:t>危险废物暂存管理要求</w:t>
            </w:r>
          </w:p>
          <w:p w14:paraId="29F4F18C">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9"/>
              <w:rPr>
                <w:rFonts w:hint="eastAsia"/>
                <w:color w:val="auto"/>
                <w:sz w:val="24"/>
                <w:szCs w:val="22"/>
                <w:highlight w:val="none"/>
              </w:rPr>
            </w:pPr>
            <w:r>
              <w:rPr>
                <w:rFonts w:hint="eastAsia"/>
                <w:color w:val="auto"/>
                <w:sz w:val="24"/>
                <w:szCs w:val="22"/>
                <w:highlight w:val="none"/>
              </w:rPr>
              <w:t xml:space="preserve">本项目危险废物环境管理要求如下： </w:t>
            </w:r>
          </w:p>
          <w:p w14:paraId="7BF7A8DB">
            <w:pPr>
              <w:keepNext/>
              <w:keepLines/>
              <w:pageBreakBefore w:val="0"/>
              <w:widowControl w:val="0"/>
              <w:numPr>
                <w:ilvl w:val="0"/>
                <w:numId w:val="9"/>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9"/>
              <w:rPr>
                <w:rFonts w:hint="eastAsia"/>
                <w:color w:val="auto"/>
                <w:sz w:val="24"/>
                <w:szCs w:val="22"/>
                <w:highlight w:val="none"/>
              </w:rPr>
            </w:pPr>
            <w:r>
              <w:rPr>
                <w:rFonts w:hint="eastAsia"/>
                <w:color w:val="auto"/>
                <w:sz w:val="24"/>
                <w:szCs w:val="22"/>
                <w:highlight w:val="none"/>
              </w:rPr>
              <w:t xml:space="preserve">贮存要求 </w:t>
            </w:r>
          </w:p>
          <w:p w14:paraId="7A308CC3">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color w:val="auto"/>
                <w:sz w:val="24"/>
                <w:szCs w:val="22"/>
                <w:highlight w:val="none"/>
              </w:rPr>
            </w:pPr>
            <w:r>
              <w:rPr>
                <w:rFonts w:hint="eastAsia"/>
                <w:color w:val="auto"/>
                <w:sz w:val="24"/>
                <w:szCs w:val="22"/>
                <w:highlight w:val="none"/>
                <w:lang w:eastAsia="zh-CN"/>
              </w:rPr>
              <w:t>本次</w:t>
            </w:r>
            <w:r>
              <w:rPr>
                <w:rFonts w:hint="eastAsia"/>
                <w:color w:val="auto"/>
                <w:sz w:val="24"/>
                <w:szCs w:val="22"/>
                <w:highlight w:val="none"/>
                <w:lang w:val="en-US" w:eastAsia="zh-CN"/>
              </w:rPr>
              <w:t>新建</w:t>
            </w:r>
            <w:r>
              <w:rPr>
                <w:rFonts w:hint="eastAsia"/>
                <w:color w:val="auto"/>
                <w:sz w:val="24"/>
                <w:szCs w:val="22"/>
                <w:highlight w:val="none"/>
                <w:lang w:eastAsia="zh-CN"/>
              </w:rPr>
              <w:t>的</w:t>
            </w:r>
            <w:r>
              <w:rPr>
                <w:rFonts w:hint="eastAsia"/>
                <w:color w:val="auto"/>
                <w:sz w:val="24"/>
                <w:szCs w:val="22"/>
                <w:highlight w:val="none"/>
              </w:rPr>
              <w:t>危废暂存</w:t>
            </w:r>
            <w:r>
              <w:rPr>
                <w:rFonts w:hint="eastAsia"/>
                <w:color w:val="auto"/>
                <w:sz w:val="24"/>
                <w:szCs w:val="22"/>
                <w:highlight w:val="none"/>
                <w:lang w:eastAsia="zh-CN"/>
              </w:rPr>
              <w:t>库</w:t>
            </w:r>
            <w:r>
              <w:rPr>
                <w:rFonts w:hint="eastAsia"/>
                <w:color w:val="auto"/>
                <w:sz w:val="24"/>
                <w:szCs w:val="22"/>
                <w:highlight w:val="none"/>
              </w:rPr>
              <w:t>，</w:t>
            </w:r>
            <w:r>
              <w:rPr>
                <w:rFonts w:hint="eastAsia"/>
                <w:color w:val="auto"/>
                <w:sz w:val="24"/>
                <w:szCs w:val="22"/>
                <w:highlight w:val="none"/>
                <w:lang w:val="en-US" w:eastAsia="zh-CN"/>
              </w:rPr>
              <w:t>贮存</w:t>
            </w:r>
            <w:r>
              <w:rPr>
                <w:rFonts w:hint="eastAsia"/>
                <w:color w:val="auto"/>
                <w:sz w:val="24"/>
                <w:szCs w:val="24"/>
                <w:highlight w:val="none"/>
              </w:rPr>
              <w:t>面积</w:t>
            </w:r>
            <w:r>
              <w:rPr>
                <w:rFonts w:hint="eastAsia"/>
                <w:color w:val="auto"/>
                <w:sz w:val="24"/>
                <w:szCs w:val="24"/>
                <w:highlight w:val="none"/>
                <w:lang w:val="en-US" w:eastAsia="zh-CN"/>
              </w:rPr>
              <w:t>满足本项目暂存需求</w:t>
            </w:r>
            <w:r>
              <w:rPr>
                <w:rFonts w:hint="eastAsia"/>
                <w:color w:val="auto"/>
                <w:sz w:val="24"/>
                <w:szCs w:val="24"/>
                <w:highlight w:val="none"/>
                <w:lang w:eastAsia="zh-CN"/>
              </w:rPr>
              <w:t>；厂区</w:t>
            </w:r>
            <w:r>
              <w:rPr>
                <w:rFonts w:hint="eastAsia"/>
                <w:color w:val="auto"/>
                <w:sz w:val="24"/>
                <w:szCs w:val="24"/>
                <w:highlight w:val="none"/>
              </w:rPr>
              <w:t>危废暂存</w:t>
            </w:r>
            <w:r>
              <w:rPr>
                <w:rFonts w:hint="eastAsia"/>
                <w:color w:val="auto"/>
                <w:sz w:val="24"/>
                <w:szCs w:val="24"/>
                <w:highlight w:val="none"/>
                <w:lang w:eastAsia="zh-CN"/>
              </w:rPr>
              <w:t>库</w:t>
            </w:r>
            <w:r>
              <w:rPr>
                <w:rFonts w:hint="eastAsia"/>
                <w:color w:val="auto"/>
                <w:sz w:val="24"/>
                <w:szCs w:val="24"/>
                <w:highlight w:val="none"/>
                <w:lang w:val="en-US" w:eastAsia="zh-CN"/>
              </w:rPr>
              <w:t>需</w:t>
            </w:r>
            <w:r>
              <w:rPr>
                <w:rFonts w:hint="eastAsia" w:ascii="Times New Roman" w:hAnsi="Times New Roman" w:eastAsia="宋体" w:cs="Times New Roman"/>
                <w:color w:val="auto"/>
                <w:sz w:val="24"/>
                <w:szCs w:val="24"/>
                <w:highlight w:val="none"/>
                <w:lang w:val="en-US" w:eastAsia="zh-CN"/>
              </w:rPr>
              <w:t>进行重点防渗+</w:t>
            </w:r>
            <w:r>
              <w:rPr>
                <w:rFonts w:hint="default" w:ascii="Times New Roman" w:hAnsi="Times New Roman" w:eastAsia="宋体" w:cs="Times New Roman"/>
                <w:color w:val="auto"/>
                <w:sz w:val="24"/>
                <w:szCs w:val="24"/>
                <w:highlight w:val="none"/>
                <w:lang w:val="en-US" w:eastAsia="zh-CN"/>
              </w:rPr>
              <w:t>导流槽</w:t>
            </w:r>
            <w:r>
              <w:rPr>
                <w:rFonts w:hint="eastAsia" w:ascii="Times New Roman" w:hAnsi="Times New Roman" w:eastAsia="宋体" w:cs="Times New Roman"/>
                <w:color w:val="auto"/>
                <w:sz w:val="24"/>
                <w:szCs w:val="24"/>
                <w:highlight w:val="none"/>
                <w:lang w:val="en-US" w:eastAsia="zh-CN"/>
              </w:rPr>
              <w:t>设置，</w:t>
            </w:r>
            <w:r>
              <w:rPr>
                <w:rFonts w:hint="eastAsia"/>
                <w:color w:val="auto"/>
                <w:sz w:val="24"/>
                <w:szCs w:val="24"/>
                <w:highlight w:val="none"/>
              </w:rPr>
              <w:t>建设满足《危险废物贮存污染控制标准》（</w:t>
            </w:r>
            <w:r>
              <w:rPr>
                <w:color w:val="auto"/>
                <w:sz w:val="24"/>
                <w:szCs w:val="24"/>
                <w:highlight w:val="none"/>
              </w:rPr>
              <w:t>GB18597-20</w:t>
            </w:r>
            <w:r>
              <w:rPr>
                <w:rFonts w:hint="eastAsia"/>
                <w:color w:val="auto"/>
                <w:sz w:val="24"/>
                <w:szCs w:val="24"/>
                <w:highlight w:val="none"/>
              </w:rPr>
              <w:t>23）</w:t>
            </w:r>
            <w:r>
              <w:rPr>
                <w:rFonts w:hint="eastAsia"/>
                <w:color w:val="auto"/>
                <w:sz w:val="24"/>
                <w:szCs w:val="24"/>
                <w:highlight w:val="none"/>
                <w:lang w:eastAsia="zh-CN"/>
              </w:rPr>
              <w:t>的以下</w:t>
            </w:r>
            <w:r>
              <w:rPr>
                <w:rFonts w:hint="eastAsia"/>
                <w:color w:val="auto"/>
                <w:sz w:val="24"/>
                <w:szCs w:val="24"/>
                <w:highlight w:val="none"/>
              </w:rPr>
              <w:t>要求：</w:t>
            </w:r>
          </w:p>
          <w:p w14:paraId="656357EF">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outlineLvl w:val="9"/>
              <w:rPr>
                <w:rFonts w:hint="eastAsia" w:eastAsia="宋体"/>
                <w:color w:val="auto"/>
                <w:sz w:val="24"/>
                <w:szCs w:val="22"/>
                <w:highlight w:val="none"/>
                <w:lang w:eastAsia="zh-CN"/>
              </w:rPr>
            </w:pPr>
            <w:r>
              <w:rPr>
                <w:rFonts w:hint="eastAsia"/>
                <w:color w:val="auto"/>
                <w:sz w:val="24"/>
                <w:szCs w:val="22"/>
                <w:highlight w:val="none"/>
              </w:rPr>
              <w:t>①所有产生的危险废物均应适用符合标准要求的容器盛装，装载危险废物的容器及材质要满足相应的强度要求，且必须完好无损</w:t>
            </w:r>
            <w:r>
              <w:rPr>
                <w:rFonts w:hint="eastAsia"/>
                <w:color w:val="auto"/>
                <w:sz w:val="24"/>
                <w:szCs w:val="22"/>
                <w:highlight w:val="none"/>
                <w:lang w:eastAsia="zh-CN"/>
              </w:rPr>
              <w:t>。</w:t>
            </w:r>
          </w:p>
          <w:p w14:paraId="25097B4F">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outlineLvl w:val="9"/>
              <w:rPr>
                <w:rFonts w:hint="eastAsia" w:eastAsia="宋体"/>
                <w:color w:val="auto"/>
                <w:sz w:val="24"/>
                <w:szCs w:val="22"/>
                <w:highlight w:val="none"/>
                <w:lang w:eastAsia="zh-CN"/>
              </w:rPr>
            </w:pPr>
            <w:r>
              <w:rPr>
                <w:rFonts w:hint="eastAsia"/>
                <w:color w:val="auto"/>
                <w:sz w:val="24"/>
                <w:szCs w:val="22"/>
                <w:highlight w:val="none"/>
              </w:rPr>
              <w:t>②禁止将不相容（相互反应）的危险废物在同一容器内混装，装危险废物的容器上必须粘贴</w:t>
            </w:r>
            <w:r>
              <w:rPr>
                <w:rFonts w:hint="eastAsia"/>
                <w:color w:val="auto"/>
                <w:sz w:val="24"/>
                <w:szCs w:val="22"/>
                <w:highlight w:val="none"/>
                <w:lang w:val="en-US" w:eastAsia="zh-CN"/>
              </w:rPr>
              <w:t>危险废物</w:t>
            </w:r>
            <w:r>
              <w:rPr>
                <w:rFonts w:hint="eastAsia"/>
                <w:color w:val="auto"/>
                <w:sz w:val="24"/>
                <w:szCs w:val="22"/>
                <w:highlight w:val="none"/>
              </w:rPr>
              <w:t>标签</w:t>
            </w:r>
            <w:r>
              <w:rPr>
                <w:rFonts w:hint="eastAsia"/>
                <w:color w:val="auto"/>
                <w:sz w:val="24"/>
                <w:szCs w:val="22"/>
                <w:highlight w:val="none"/>
                <w:lang w:eastAsia="zh-CN"/>
              </w:rPr>
              <w:t>。</w:t>
            </w:r>
          </w:p>
          <w:p w14:paraId="295A67A9">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outlineLvl w:val="9"/>
              <w:rPr>
                <w:rFonts w:hint="eastAsia" w:eastAsia="宋体"/>
                <w:color w:val="auto"/>
                <w:sz w:val="24"/>
                <w:szCs w:val="22"/>
                <w:highlight w:val="none"/>
                <w:lang w:eastAsia="zh-CN"/>
              </w:rPr>
            </w:pPr>
            <w:r>
              <w:rPr>
                <w:rFonts w:hint="eastAsia"/>
                <w:color w:val="auto"/>
                <w:sz w:val="24"/>
                <w:szCs w:val="22"/>
                <w:highlight w:val="none"/>
              </w:rPr>
              <w:t>③危险废物贮存</w:t>
            </w:r>
            <w:r>
              <w:rPr>
                <w:rFonts w:hint="eastAsia"/>
                <w:color w:val="auto"/>
                <w:sz w:val="24"/>
                <w:szCs w:val="22"/>
                <w:highlight w:val="none"/>
                <w:lang w:val="en-US" w:eastAsia="zh-CN"/>
              </w:rPr>
              <w:t>库</w:t>
            </w:r>
            <w:r>
              <w:rPr>
                <w:rFonts w:hint="eastAsia"/>
                <w:color w:val="auto"/>
                <w:sz w:val="24"/>
                <w:szCs w:val="22"/>
                <w:highlight w:val="none"/>
              </w:rPr>
              <w:t>的地面与裙脚要用坚固、防渗的材料建造，建筑材料必须与危险废物相容，应设计堵截泄露的裙脚，地面与裙脚所围建的溶剂不低于堵截最大容器的最大储量或总储量的五分之一，不相容的危险废物必须分开存放，并设有隔离间隔断</w:t>
            </w:r>
            <w:r>
              <w:rPr>
                <w:rFonts w:hint="eastAsia"/>
                <w:color w:val="auto"/>
                <w:sz w:val="24"/>
                <w:szCs w:val="22"/>
                <w:highlight w:val="none"/>
                <w:lang w:eastAsia="zh-CN"/>
              </w:rPr>
              <w:t>。</w:t>
            </w:r>
          </w:p>
          <w:p w14:paraId="71E7868E">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outlineLvl w:val="9"/>
              <w:rPr>
                <w:rFonts w:hint="eastAsia" w:ascii="Times New Roman" w:hAnsi="Times New Roman" w:eastAsia="宋体" w:cs="Times New Roman"/>
                <w:color w:val="auto"/>
                <w:sz w:val="24"/>
                <w:szCs w:val="22"/>
                <w:highlight w:val="none"/>
                <w:lang w:eastAsia="zh-CN"/>
              </w:rPr>
            </w:pPr>
            <w:r>
              <w:rPr>
                <w:rFonts w:hint="eastAsia"/>
                <w:color w:val="auto"/>
                <w:sz w:val="24"/>
                <w:szCs w:val="22"/>
                <w:highlight w:val="none"/>
              </w:rPr>
              <w:t>④厂内建立危险废物台账管理制度，作好危险废物情况的记录，记录上须注明危险废物的名称、来源、数量、特性和包装容器的类别、入库日期、存放库位、废物出库日期及接受单位名称，危险废物的记录和货单在危险废物回取后应继续保留三年</w:t>
            </w:r>
            <w:r>
              <w:rPr>
                <w:rFonts w:hint="eastAsia"/>
                <w:color w:val="auto"/>
                <w:sz w:val="24"/>
                <w:szCs w:val="22"/>
                <w:highlight w:val="none"/>
                <w:lang w:eastAsia="zh-CN"/>
              </w:rPr>
              <w:t>。</w:t>
            </w:r>
          </w:p>
          <w:p w14:paraId="703BBB34">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outlineLvl w:val="9"/>
              <w:rPr>
                <w:rFonts w:hint="eastAsia" w:ascii="Times New Roman" w:hAnsi="Times New Roman" w:eastAsia="宋体" w:cs="Times New Roman"/>
                <w:color w:val="auto"/>
                <w:sz w:val="24"/>
                <w:szCs w:val="22"/>
                <w:highlight w:val="none"/>
                <w:lang w:eastAsia="zh-CN"/>
              </w:rPr>
            </w:pPr>
            <w:r>
              <w:rPr>
                <w:rFonts w:hint="eastAsia" w:ascii="Times New Roman" w:hAnsi="Times New Roman" w:eastAsia="宋体" w:cs="Times New Roman"/>
                <w:color w:val="auto"/>
                <w:sz w:val="24"/>
                <w:szCs w:val="22"/>
                <w:highlight w:val="none"/>
                <w:lang w:eastAsia="zh-CN"/>
              </w:rPr>
              <w:t>⑤必须定期对贮存的危险废物包装容器及贮存设施进行检查，发现破损，应及时采取措施清理更换。</w:t>
            </w:r>
          </w:p>
          <w:p w14:paraId="5348CBEC">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outlineLvl w:val="9"/>
              <w:rPr>
                <w:rFonts w:hint="eastAsia" w:ascii="Times New Roman" w:hAnsi="Times New Roman" w:eastAsia="宋体" w:cs="Times New Roman"/>
                <w:color w:val="auto"/>
                <w:sz w:val="24"/>
                <w:szCs w:val="22"/>
                <w:highlight w:val="none"/>
                <w:lang w:eastAsia="zh-CN"/>
              </w:rPr>
            </w:pPr>
            <w:r>
              <w:rPr>
                <w:rFonts w:hint="eastAsia" w:ascii="Times New Roman" w:hAnsi="Times New Roman" w:eastAsia="宋体" w:cs="Times New Roman"/>
                <w:color w:val="auto"/>
                <w:sz w:val="24"/>
                <w:szCs w:val="22"/>
                <w:highlight w:val="none"/>
                <w:lang w:eastAsia="zh-CN"/>
              </w:rPr>
              <w:t>⑥危险废物贮存设施必须按照</w:t>
            </w:r>
            <w:r>
              <w:rPr>
                <w:rFonts w:hint="default" w:ascii="Times New Roman" w:hAnsi="Times New Roman" w:eastAsia="宋体" w:cs="Times New Roman"/>
                <w:color w:val="auto"/>
                <w:sz w:val="24"/>
                <w:szCs w:val="22"/>
                <w:highlight w:val="none"/>
                <w:lang w:eastAsia="zh-CN"/>
              </w:rPr>
              <w:t>《危险废物识别标志设置技术规范》（HJ 1276-2022）、</w:t>
            </w:r>
            <w:r>
              <w:rPr>
                <w:rFonts w:hint="eastAsia" w:ascii="Times New Roman" w:hAnsi="Times New Roman" w:eastAsia="宋体" w:cs="Times New Roman"/>
                <w:color w:val="auto"/>
                <w:sz w:val="24"/>
                <w:szCs w:val="22"/>
                <w:highlight w:val="none"/>
                <w:lang w:eastAsia="zh-CN"/>
              </w:rPr>
              <w:t>《环境保护图形标志 固体废物贮存（处置）场》（GB15562.2-1995）及2023年修改单（生态环境部公告2023年第5号）的规定设置警示标志。</w:t>
            </w:r>
          </w:p>
          <w:p w14:paraId="19C2F255">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outlineLvl w:val="9"/>
              <w:rPr>
                <w:rFonts w:hint="eastAsia" w:ascii="Times New Roman" w:hAnsi="Times New Roman" w:eastAsia="宋体" w:cs="Times New Roman"/>
                <w:color w:val="auto"/>
                <w:sz w:val="24"/>
                <w:szCs w:val="22"/>
                <w:highlight w:val="none"/>
                <w:lang w:eastAsia="zh-CN"/>
              </w:rPr>
            </w:pPr>
            <w:r>
              <w:rPr>
                <w:rFonts w:hint="eastAsia" w:ascii="Times New Roman" w:hAnsi="Times New Roman" w:eastAsia="宋体" w:cs="Times New Roman"/>
                <w:color w:val="auto"/>
                <w:sz w:val="24"/>
                <w:szCs w:val="22"/>
                <w:highlight w:val="none"/>
                <w:lang w:eastAsia="zh-CN"/>
              </w:rPr>
              <w:t>（</w:t>
            </w:r>
            <w:r>
              <w:rPr>
                <w:rFonts w:hint="eastAsia" w:ascii="Times New Roman" w:hAnsi="Times New Roman" w:eastAsia="宋体" w:cs="Times New Roman"/>
                <w:color w:val="auto"/>
                <w:sz w:val="24"/>
                <w:szCs w:val="22"/>
                <w:highlight w:val="none"/>
                <w:lang w:val="en-US" w:eastAsia="zh-CN"/>
              </w:rPr>
              <w:t>2</w:t>
            </w:r>
            <w:r>
              <w:rPr>
                <w:rFonts w:hint="eastAsia" w:ascii="Times New Roman" w:hAnsi="Times New Roman" w:eastAsia="宋体" w:cs="Times New Roman"/>
                <w:color w:val="auto"/>
                <w:sz w:val="24"/>
                <w:szCs w:val="22"/>
                <w:highlight w:val="none"/>
                <w:lang w:eastAsia="zh-CN"/>
              </w:rPr>
              <w:t xml:space="preserve">）转移和运输要求： </w:t>
            </w:r>
          </w:p>
          <w:p w14:paraId="588773ED">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outlineLvl w:val="9"/>
              <w:rPr>
                <w:rFonts w:hint="eastAsia"/>
                <w:color w:val="auto"/>
                <w:sz w:val="24"/>
                <w:szCs w:val="22"/>
                <w:highlight w:val="none"/>
              </w:rPr>
            </w:pPr>
            <w:r>
              <w:rPr>
                <w:rFonts w:hint="eastAsia"/>
                <w:color w:val="auto"/>
                <w:sz w:val="24"/>
                <w:szCs w:val="22"/>
                <w:highlight w:val="none"/>
              </w:rPr>
              <w:t xml:space="preserve">①危废厂内收集、运输应做好各项防泄漏措施。 </w:t>
            </w:r>
          </w:p>
          <w:p w14:paraId="78D37204">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outlineLvl w:val="9"/>
              <w:rPr>
                <w:rFonts w:hint="eastAsia"/>
                <w:color w:val="auto"/>
                <w:sz w:val="24"/>
                <w:szCs w:val="22"/>
                <w:highlight w:val="none"/>
                <w:lang w:eastAsia="zh-CN"/>
              </w:rPr>
            </w:pPr>
            <w:r>
              <w:rPr>
                <w:rFonts w:hint="eastAsia"/>
                <w:color w:val="auto"/>
                <w:sz w:val="24"/>
                <w:szCs w:val="22"/>
                <w:highlight w:val="none"/>
              </w:rPr>
              <w:t>②危废的转运按《危险废物转移联单管理办法》的规定报批危险废物转移计划，填写好转运联单，并必须交由有资质的单位承运，做好每次外运处置废物的运输登记</w:t>
            </w:r>
            <w:r>
              <w:rPr>
                <w:rFonts w:hint="eastAsia"/>
                <w:color w:val="auto"/>
                <w:sz w:val="24"/>
                <w:szCs w:val="22"/>
                <w:highlight w:val="none"/>
                <w:lang w:eastAsia="zh-CN"/>
              </w:rPr>
              <w:t>。</w:t>
            </w:r>
          </w:p>
          <w:p w14:paraId="4B076CEB">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outlineLvl w:val="9"/>
              <w:rPr>
                <w:color w:val="auto"/>
                <w:sz w:val="24"/>
                <w:szCs w:val="22"/>
                <w:highlight w:val="none"/>
              </w:rPr>
            </w:pPr>
            <w:r>
              <w:rPr>
                <w:color w:val="auto"/>
                <w:sz w:val="24"/>
                <w:szCs w:val="22"/>
                <w:highlight w:val="none"/>
              </w:rPr>
              <w:t>本项目强化废物产生、收集、贮运各环节的管理，杜绝固废在厂区内的散失、渗漏。做好固体废物在厂区内的收集和储存相关防护工作，收集后进行有效处置。建立完善的规章制度，以降低固体废物散落对周围环境的影响。因此，本项目产生的固体废物经有效处理和处置后对环境影响较小。</w:t>
            </w:r>
          </w:p>
          <w:p w14:paraId="094BEFA1">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outlineLvl w:val="9"/>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5、地下水、土壤</w:t>
            </w:r>
          </w:p>
          <w:p w14:paraId="14749717">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outlineLvl w:val="9"/>
              <w:rPr>
                <w:rFonts w:hint="default" w:ascii="Times New Roman" w:hAnsi="Times New Roman" w:eastAsia="宋体" w:cs="Times New Roman"/>
                <w:b/>
                <w:color w:val="auto"/>
                <w:kern w:val="0"/>
                <w:sz w:val="24"/>
                <w:szCs w:val="24"/>
                <w:highlight w:val="none"/>
              </w:rPr>
            </w:pPr>
            <w:r>
              <w:rPr>
                <w:rFonts w:hint="eastAsia" w:cs="Times New Roman"/>
                <w:b w:val="0"/>
                <w:bCs/>
                <w:color w:val="auto"/>
                <w:kern w:val="0"/>
                <w:sz w:val="24"/>
                <w:szCs w:val="22"/>
                <w:highlight w:val="none"/>
                <w:lang w:val="en-US" w:eastAsia="zh-CN"/>
              </w:rPr>
              <w:t>一、</w:t>
            </w:r>
            <w:r>
              <w:rPr>
                <w:rFonts w:hint="default" w:ascii="Times New Roman" w:hAnsi="Times New Roman" w:eastAsia="宋体" w:cs="Times New Roman"/>
                <w:b w:val="0"/>
                <w:bCs/>
                <w:color w:val="auto"/>
                <w:kern w:val="0"/>
                <w:sz w:val="24"/>
                <w:szCs w:val="24"/>
                <w:highlight w:val="none"/>
              </w:rPr>
              <w:t>地下水、土壤污染识别</w:t>
            </w:r>
          </w:p>
          <w:p w14:paraId="2B393BEC">
            <w:pPr>
              <w:keepNext/>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本项目属于</w:t>
            </w:r>
            <w:r>
              <w:rPr>
                <w:rFonts w:hint="eastAsia" w:cs="Times New Roman"/>
                <w:color w:val="auto"/>
                <w:sz w:val="24"/>
                <w:szCs w:val="24"/>
                <w:highlight w:val="none"/>
                <w:lang w:val="en-US" w:eastAsia="zh-CN"/>
              </w:rPr>
              <w:t>新建</w:t>
            </w:r>
            <w:r>
              <w:rPr>
                <w:rFonts w:hint="default" w:ascii="Times New Roman" w:hAnsi="Times New Roman" w:eastAsia="宋体" w:cs="Times New Roman"/>
                <w:color w:val="auto"/>
                <w:sz w:val="24"/>
                <w:szCs w:val="24"/>
                <w:highlight w:val="none"/>
                <w:lang w:val="en-US" w:eastAsia="zh-CN"/>
              </w:rPr>
              <w:t>项目，主要考察运营期产生废水、废气和危险废物等污染物质对所在区域地下水、土壤产生影响。运营期地下水及土壤环境影响类型与影响途径见下表。</w:t>
            </w:r>
          </w:p>
          <w:p w14:paraId="7D5F52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4</w:t>
            </w:r>
            <w:r>
              <w:rPr>
                <w:rFonts w:hint="default" w:ascii="Times New Roman" w:hAnsi="Times New Roman" w:eastAsia="宋体" w:cs="Times New Roman"/>
                <w:b/>
                <w:bCs w:val="0"/>
                <w:color w:val="auto"/>
                <w:sz w:val="21"/>
                <w:szCs w:val="21"/>
                <w:highlight w:val="none"/>
              </w:rPr>
              <w:t>-</w:t>
            </w:r>
            <w:r>
              <w:rPr>
                <w:rFonts w:hint="eastAsia" w:cs="Times New Roman"/>
                <w:b/>
                <w:bCs w:val="0"/>
                <w:color w:val="auto"/>
                <w:sz w:val="21"/>
                <w:szCs w:val="21"/>
                <w:highlight w:val="none"/>
                <w:lang w:val="en-US" w:eastAsia="zh-CN"/>
              </w:rPr>
              <w:t>18</w:t>
            </w:r>
            <w:r>
              <w:rPr>
                <w:rFonts w:hint="default" w:ascii="Times New Roman" w:hAnsi="Times New Roman" w:eastAsia="宋体" w:cs="Times New Roman"/>
                <w:b/>
                <w:bCs w:val="0"/>
                <w:color w:val="auto"/>
                <w:sz w:val="21"/>
                <w:szCs w:val="21"/>
                <w:highlight w:val="none"/>
              </w:rPr>
              <w:t xml:space="preserve">  </w:t>
            </w:r>
            <w:r>
              <w:rPr>
                <w:rFonts w:hint="default" w:ascii="Times New Roman" w:hAnsi="Times New Roman" w:eastAsia="宋体" w:cs="Times New Roman"/>
                <w:b/>
                <w:bCs w:val="0"/>
                <w:color w:val="auto"/>
                <w:sz w:val="21"/>
                <w:szCs w:val="21"/>
                <w:highlight w:val="none"/>
                <w:lang w:eastAsia="zh-CN"/>
              </w:rPr>
              <w:t>地下水、</w:t>
            </w:r>
            <w:r>
              <w:rPr>
                <w:rFonts w:hint="default" w:ascii="Times New Roman" w:hAnsi="Times New Roman" w:eastAsia="宋体" w:cs="Times New Roman"/>
                <w:b/>
                <w:bCs w:val="0"/>
                <w:color w:val="auto"/>
                <w:sz w:val="21"/>
                <w:szCs w:val="21"/>
                <w:highlight w:val="none"/>
              </w:rPr>
              <w:t>土壤环境影响类型与影响途径表</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051"/>
              <w:gridCol w:w="1027"/>
              <w:gridCol w:w="1063"/>
              <w:gridCol w:w="663"/>
              <w:gridCol w:w="1042"/>
              <w:gridCol w:w="1027"/>
              <w:gridCol w:w="1014"/>
              <w:gridCol w:w="668"/>
            </w:tblGrid>
            <w:tr w14:paraId="17A3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Merge w:val="restart"/>
                  <w:tcBorders>
                    <w:tl2br w:val="nil"/>
                    <w:tr2bl w:val="nil"/>
                  </w:tcBorders>
                  <w:noWrap w:val="0"/>
                  <w:vAlign w:val="center"/>
                </w:tcPr>
                <w:p w14:paraId="74D39C13">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不同时段</w:t>
                  </w:r>
                </w:p>
              </w:tc>
              <w:tc>
                <w:tcPr>
                  <w:tcW w:w="2255" w:type="pct"/>
                  <w:gridSpan w:val="4"/>
                  <w:tcBorders>
                    <w:tl2br w:val="nil"/>
                    <w:tr2bl w:val="nil"/>
                  </w:tcBorders>
                  <w:noWrap w:val="0"/>
                  <w:vAlign w:val="center"/>
                </w:tcPr>
                <w:p w14:paraId="4DEC8504">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污染影响型</w:t>
                  </w:r>
                </w:p>
              </w:tc>
              <w:tc>
                <w:tcPr>
                  <w:tcW w:w="2224" w:type="pct"/>
                  <w:gridSpan w:val="4"/>
                  <w:tcBorders>
                    <w:tl2br w:val="nil"/>
                    <w:tr2bl w:val="nil"/>
                  </w:tcBorders>
                  <w:noWrap w:val="0"/>
                  <w:vAlign w:val="center"/>
                </w:tcPr>
                <w:p w14:paraId="76AD6BDF">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生态影响型</w:t>
                  </w:r>
                </w:p>
              </w:tc>
            </w:tr>
            <w:tr w14:paraId="4631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Merge w:val="continue"/>
                  <w:tcBorders>
                    <w:tl2br w:val="nil"/>
                    <w:tr2bl w:val="nil"/>
                  </w:tcBorders>
                  <w:noWrap w:val="0"/>
                  <w:vAlign w:val="center"/>
                </w:tcPr>
                <w:p w14:paraId="7BB13208">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val="0"/>
                      <w:color w:val="auto"/>
                      <w:highlight w:val="none"/>
                      <w:lang w:val="en-US" w:eastAsia="zh-CN"/>
                    </w:rPr>
                  </w:pPr>
                </w:p>
              </w:tc>
              <w:tc>
                <w:tcPr>
                  <w:tcW w:w="623" w:type="pct"/>
                  <w:tcBorders>
                    <w:tl2br w:val="nil"/>
                    <w:tr2bl w:val="nil"/>
                  </w:tcBorders>
                  <w:noWrap w:val="0"/>
                  <w:vAlign w:val="center"/>
                </w:tcPr>
                <w:p w14:paraId="20CBF00A">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大气沉降</w:t>
                  </w:r>
                </w:p>
              </w:tc>
              <w:tc>
                <w:tcPr>
                  <w:tcW w:w="609" w:type="pct"/>
                  <w:tcBorders>
                    <w:tl2br w:val="nil"/>
                    <w:tr2bl w:val="nil"/>
                  </w:tcBorders>
                  <w:noWrap w:val="0"/>
                  <w:vAlign w:val="center"/>
                </w:tcPr>
                <w:p w14:paraId="5B5195C6">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地面漫流</w:t>
                  </w:r>
                </w:p>
              </w:tc>
              <w:tc>
                <w:tcPr>
                  <w:tcW w:w="630" w:type="pct"/>
                  <w:tcBorders>
                    <w:tl2br w:val="nil"/>
                    <w:tr2bl w:val="nil"/>
                  </w:tcBorders>
                  <w:noWrap w:val="0"/>
                  <w:vAlign w:val="center"/>
                </w:tcPr>
                <w:p w14:paraId="720C333F">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垂直入渗</w:t>
                  </w:r>
                </w:p>
              </w:tc>
              <w:tc>
                <w:tcPr>
                  <w:tcW w:w="392" w:type="pct"/>
                  <w:tcBorders>
                    <w:tl2br w:val="nil"/>
                    <w:tr2bl w:val="nil"/>
                  </w:tcBorders>
                  <w:noWrap w:val="0"/>
                  <w:vAlign w:val="center"/>
                </w:tcPr>
                <w:p w14:paraId="2373F61C">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其他</w:t>
                  </w:r>
                </w:p>
              </w:tc>
              <w:tc>
                <w:tcPr>
                  <w:tcW w:w="618" w:type="pct"/>
                  <w:tcBorders>
                    <w:tl2br w:val="nil"/>
                    <w:tr2bl w:val="nil"/>
                  </w:tcBorders>
                  <w:noWrap w:val="0"/>
                  <w:vAlign w:val="center"/>
                </w:tcPr>
                <w:p w14:paraId="5C5B1D6F">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大气沉降</w:t>
                  </w:r>
                </w:p>
              </w:tc>
              <w:tc>
                <w:tcPr>
                  <w:tcW w:w="609" w:type="pct"/>
                  <w:tcBorders>
                    <w:tl2br w:val="nil"/>
                    <w:tr2bl w:val="nil"/>
                  </w:tcBorders>
                  <w:noWrap w:val="0"/>
                  <w:vAlign w:val="center"/>
                </w:tcPr>
                <w:p w14:paraId="58827ADE">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地面漫流</w:t>
                  </w:r>
                </w:p>
              </w:tc>
              <w:tc>
                <w:tcPr>
                  <w:tcW w:w="601" w:type="pct"/>
                  <w:tcBorders>
                    <w:tl2br w:val="nil"/>
                    <w:tr2bl w:val="nil"/>
                  </w:tcBorders>
                  <w:noWrap w:val="0"/>
                  <w:vAlign w:val="center"/>
                </w:tcPr>
                <w:p w14:paraId="242C262A">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垂直入渗</w:t>
                  </w:r>
                </w:p>
              </w:tc>
              <w:tc>
                <w:tcPr>
                  <w:tcW w:w="395" w:type="pct"/>
                  <w:tcBorders>
                    <w:tl2br w:val="nil"/>
                    <w:tr2bl w:val="nil"/>
                  </w:tcBorders>
                  <w:noWrap w:val="0"/>
                  <w:vAlign w:val="center"/>
                </w:tcPr>
                <w:p w14:paraId="6710428F">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其他</w:t>
                  </w:r>
                </w:p>
              </w:tc>
            </w:tr>
            <w:tr w14:paraId="315E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tcBorders>
                    <w:tl2br w:val="nil"/>
                    <w:tr2bl w:val="nil"/>
                  </w:tcBorders>
                  <w:noWrap w:val="0"/>
                  <w:vAlign w:val="center"/>
                </w:tcPr>
                <w:p w14:paraId="10A931DB">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建设期</w:t>
                  </w:r>
                </w:p>
              </w:tc>
              <w:tc>
                <w:tcPr>
                  <w:tcW w:w="623" w:type="pct"/>
                  <w:tcBorders>
                    <w:tl2br w:val="nil"/>
                    <w:tr2bl w:val="nil"/>
                  </w:tcBorders>
                  <w:noWrap w:val="0"/>
                  <w:vAlign w:val="center"/>
                </w:tcPr>
                <w:p w14:paraId="255C3A76">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c>
                <w:tcPr>
                  <w:tcW w:w="609" w:type="pct"/>
                  <w:tcBorders>
                    <w:tl2br w:val="nil"/>
                    <w:tr2bl w:val="nil"/>
                  </w:tcBorders>
                  <w:noWrap w:val="0"/>
                  <w:vAlign w:val="center"/>
                </w:tcPr>
                <w:p w14:paraId="6A471FFB">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c>
                <w:tcPr>
                  <w:tcW w:w="630" w:type="pct"/>
                  <w:tcBorders>
                    <w:tl2br w:val="nil"/>
                    <w:tr2bl w:val="nil"/>
                  </w:tcBorders>
                  <w:noWrap w:val="0"/>
                  <w:vAlign w:val="center"/>
                </w:tcPr>
                <w:p w14:paraId="19F1223A">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c>
                <w:tcPr>
                  <w:tcW w:w="392" w:type="pct"/>
                  <w:tcBorders>
                    <w:tl2br w:val="nil"/>
                    <w:tr2bl w:val="nil"/>
                  </w:tcBorders>
                  <w:noWrap w:val="0"/>
                  <w:vAlign w:val="center"/>
                </w:tcPr>
                <w:p w14:paraId="5E41C268">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c>
                <w:tcPr>
                  <w:tcW w:w="618" w:type="pct"/>
                  <w:tcBorders>
                    <w:tl2br w:val="nil"/>
                    <w:tr2bl w:val="nil"/>
                  </w:tcBorders>
                  <w:noWrap w:val="0"/>
                  <w:vAlign w:val="center"/>
                </w:tcPr>
                <w:p w14:paraId="4202D4E2">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c>
                <w:tcPr>
                  <w:tcW w:w="609" w:type="pct"/>
                  <w:tcBorders>
                    <w:tl2br w:val="nil"/>
                    <w:tr2bl w:val="nil"/>
                  </w:tcBorders>
                  <w:noWrap w:val="0"/>
                  <w:vAlign w:val="center"/>
                </w:tcPr>
                <w:p w14:paraId="0BA96449">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c>
                <w:tcPr>
                  <w:tcW w:w="601" w:type="pct"/>
                  <w:tcBorders>
                    <w:tl2br w:val="nil"/>
                    <w:tr2bl w:val="nil"/>
                  </w:tcBorders>
                  <w:noWrap w:val="0"/>
                  <w:vAlign w:val="center"/>
                </w:tcPr>
                <w:p w14:paraId="36A98395">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c>
                <w:tcPr>
                  <w:tcW w:w="395" w:type="pct"/>
                  <w:tcBorders>
                    <w:tl2br w:val="nil"/>
                    <w:tr2bl w:val="nil"/>
                  </w:tcBorders>
                  <w:noWrap w:val="0"/>
                  <w:vAlign w:val="center"/>
                </w:tcPr>
                <w:p w14:paraId="4853E4E5">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r>
            <w:tr w14:paraId="6BBD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tcBorders>
                    <w:tl2br w:val="nil"/>
                    <w:tr2bl w:val="nil"/>
                  </w:tcBorders>
                  <w:noWrap w:val="0"/>
                  <w:vAlign w:val="center"/>
                </w:tcPr>
                <w:p w14:paraId="79537485">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运营期</w:t>
                  </w:r>
                </w:p>
              </w:tc>
              <w:tc>
                <w:tcPr>
                  <w:tcW w:w="623" w:type="pct"/>
                  <w:tcBorders>
                    <w:tl2br w:val="nil"/>
                    <w:tr2bl w:val="nil"/>
                  </w:tcBorders>
                  <w:noWrap w:val="0"/>
                  <w:vAlign w:val="center"/>
                </w:tcPr>
                <w:p w14:paraId="1503FBD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Cs w:val="22"/>
                      <w:highlight w:val="none"/>
                      <w:lang w:val="en-US" w:eastAsia="zh-CN"/>
                    </w:rPr>
                  </w:pPr>
                  <w:r>
                    <w:rPr>
                      <w:rFonts w:hint="default" w:ascii="Times New Roman" w:hAnsi="Times New Roman" w:eastAsia="宋体" w:cs="Times New Roman"/>
                      <w:b w:val="0"/>
                      <w:bCs/>
                      <w:color w:val="auto"/>
                      <w:szCs w:val="22"/>
                      <w:highlight w:val="none"/>
                      <w:lang w:val="en-US" w:eastAsia="zh-CN"/>
                    </w:rPr>
                    <w:t>√</w:t>
                  </w:r>
                </w:p>
              </w:tc>
              <w:tc>
                <w:tcPr>
                  <w:tcW w:w="609" w:type="pct"/>
                  <w:tcBorders>
                    <w:tl2br w:val="nil"/>
                    <w:tr2bl w:val="nil"/>
                  </w:tcBorders>
                  <w:noWrap w:val="0"/>
                  <w:vAlign w:val="center"/>
                </w:tcPr>
                <w:p w14:paraId="15FFD13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Cs w:val="22"/>
                      <w:highlight w:val="none"/>
                      <w:lang w:val="en-US" w:eastAsia="zh-CN"/>
                    </w:rPr>
                  </w:pPr>
                  <w:r>
                    <w:rPr>
                      <w:rFonts w:hint="default" w:ascii="Times New Roman" w:hAnsi="Times New Roman" w:eastAsia="宋体" w:cs="Times New Roman"/>
                      <w:b w:val="0"/>
                      <w:bCs/>
                      <w:color w:val="auto"/>
                      <w:szCs w:val="22"/>
                      <w:highlight w:val="none"/>
                      <w:lang w:val="en-US" w:eastAsia="zh-CN"/>
                    </w:rPr>
                    <w:t>√</w:t>
                  </w:r>
                </w:p>
              </w:tc>
              <w:tc>
                <w:tcPr>
                  <w:tcW w:w="630" w:type="pct"/>
                  <w:tcBorders>
                    <w:tl2br w:val="nil"/>
                    <w:tr2bl w:val="nil"/>
                  </w:tcBorders>
                  <w:noWrap w:val="0"/>
                  <w:vAlign w:val="center"/>
                </w:tcPr>
                <w:p w14:paraId="36E21D11">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w:t>
                  </w:r>
                </w:p>
              </w:tc>
              <w:tc>
                <w:tcPr>
                  <w:tcW w:w="392" w:type="pct"/>
                  <w:tcBorders>
                    <w:tl2br w:val="nil"/>
                    <w:tr2bl w:val="nil"/>
                  </w:tcBorders>
                  <w:noWrap w:val="0"/>
                  <w:vAlign w:val="center"/>
                </w:tcPr>
                <w:p w14:paraId="1B74BF44">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c>
                <w:tcPr>
                  <w:tcW w:w="618" w:type="pct"/>
                  <w:tcBorders>
                    <w:tl2br w:val="nil"/>
                    <w:tr2bl w:val="nil"/>
                  </w:tcBorders>
                  <w:noWrap w:val="0"/>
                  <w:vAlign w:val="center"/>
                </w:tcPr>
                <w:p w14:paraId="1DF1F135">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c>
                <w:tcPr>
                  <w:tcW w:w="609" w:type="pct"/>
                  <w:tcBorders>
                    <w:tl2br w:val="nil"/>
                    <w:tr2bl w:val="nil"/>
                  </w:tcBorders>
                  <w:noWrap w:val="0"/>
                  <w:vAlign w:val="center"/>
                </w:tcPr>
                <w:p w14:paraId="5E63F53D">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c>
                <w:tcPr>
                  <w:tcW w:w="601" w:type="pct"/>
                  <w:tcBorders>
                    <w:tl2br w:val="nil"/>
                    <w:tr2bl w:val="nil"/>
                  </w:tcBorders>
                  <w:noWrap w:val="0"/>
                  <w:vAlign w:val="center"/>
                </w:tcPr>
                <w:p w14:paraId="054792D3">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c>
                <w:tcPr>
                  <w:tcW w:w="395" w:type="pct"/>
                  <w:tcBorders>
                    <w:tl2br w:val="nil"/>
                    <w:tr2bl w:val="nil"/>
                  </w:tcBorders>
                  <w:noWrap w:val="0"/>
                  <w:vAlign w:val="center"/>
                </w:tcPr>
                <w:p w14:paraId="4B78E40C">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r>
            <w:tr w14:paraId="62F0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tcBorders>
                    <w:tl2br w:val="nil"/>
                    <w:tr2bl w:val="nil"/>
                  </w:tcBorders>
                  <w:noWrap w:val="0"/>
                  <w:vAlign w:val="center"/>
                </w:tcPr>
                <w:p w14:paraId="67EC1799">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服务期满后</w:t>
                  </w:r>
                </w:p>
              </w:tc>
              <w:tc>
                <w:tcPr>
                  <w:tcW w:w="623" w:type="pct"/>
                  <w:tcBorders>
                    <w:tl2br w:val="nil"/>
                    <w:tr2bl w:val="nil"/>
                  </w:tcBorders>
                  <w:noWrap w:val="0"/>
                  <w:vAlign w:val="center"/>
                </w:tcPr>
                <w:p w14:paraId="7CE6F2A8">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c>
                <w:tcPr>
                  <w:tcW w:w="609" w:type="pct"/>
                  <w:tcBorders>
                    <w:tl2br w:val="nil"/>
                    <w:tr2bl w:val="nil"/>
                  </w:tcBorders>
                  <w:noWrap w:val="0"/>
                  <w:vAlign w:val="center"/>
                </w:tcPr>
                <w:p w14:paraId="57D29004">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c>
                <w:tcPr>
                  <w:tcW w:w="630" w:type="pct"/>
                  <w:tcBorders>
                    <w:tl2br w:val="nil"/>
                    <w:tr2bl w:val="nil"/>
                  </w:tcBorders>
                  <w:noWrap w:val="0"/>
                  <w:vAlign w:val="center"/>
                </w:tcPr>
                <w:p w14:paraId="547718D4">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c>
                <w:tcPr>
                  <w:tcW w:w="392" w:type="pct"/>
                  <w:tcBorders>
                    <w:tl2br w:val="nil"/>
                    <w:tr2bl w:val="nil"/>
                  </w:tcBorders>
                  <w:noWrap w:val="0"/>
                  <w:vAlign w:val="center"/>
                </w:tcPr>
                <w:p w14:paraId="14679612">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c>
                <w:tcPr>
                  <w:tcW w:w="618" w:type="pct"/>
                  <w:tcBorders>
                    <w:tl2br w:val="nil"/>
                    <w:tr2bl w:val="nil"/>
                  </w:tcBorders>
                  <w:noWrap w:val="0"/>
                  <w:vAlign w:val="center"/>
                </w:tcPr>
                <w:p w14:paraId="1CE231B6">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c>
                <w:tcPr>
                  <w:tcW w:w="609" w:type="pct"/>
                  <w:tcBorders>
                    <w:tl2br w:val="nil"/>
                    <w:tr2bl w:val="nil"/>
                  </w:tcBorders>
                  <w:noWrap w:val="0"/>
                  <w:vAlign w:val="center"/>
                </w:tcPr>
                <w:p w14:paraId="56AC47B4">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c>
                <w:tcPr>
                  <w:tcW w:w="601" w:type="pct"/>
                  <w:tcBorders>
                    <w:tl2br w:val="nil"/>
                    <w:tr2bl w:val="nil"/>
                  </w:tcBorders>
                  <w:noWrap w:val="0"/>
                  <w:vAlign w:val="center"/>
                </w:tcPr>
                <w:p w14:paraId="5EE3B941">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c>
                <w:tcPr>
                  <w:tcW w:w="395" w:type="pct"/>
                  <w:tcBorders>
                    <w:tl2br w:val="nil"/>
                    <w:tr2bl w:val="nil"/>
                  </w:tcBorders>
                  <w:noWrap w:val="0"/>
                  <w:vAlign w:val="center"/>
                </w:tcPr>
                <w:p w14:paraId="1E067B5F">
                  <w:pPr>
                    <w:pStyle w:val="335"/>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highlight w:val="none"/>
                      <w:lang w:val="en-US" w:eastAsia="zh-CN"/>
                    </w:rPr>
                  </w:pPr>
                </w:p>
              </w:tc>
            </w:tr>
          </w:tbl>
          <w:p w14:paraId="4378BFA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szCs w:val="24"/>
                <w:highlight w:val="none"/>
                <w:lang w:eastAsia="zh-CN"/>
              </w:rPr>
            </w:pPr>
            <w:r>
              <w:rPr>
                <w:rFonts w:hint="eastAsia" w:cs="Times New Roman"/>
                <w:b w:val="0"/>
                <w:bCs/>
                <w:color w:val="auto"/>
                <w:sz w:val="24"/>
                <w:szCs w:val="22"/>
                <w:highlight w:val="none"/>
                <w:lang w:val="en-US" w:eastAsia="zh-CN"/>
              </w:rPr>
              <w:t>二、</w:t>
            </w:r>
            <w:r>
              <w:rPr>
                <w:rFonts w:hint="default" w:ascii="Times New Roman" w:hAnsi="Times New Roman" w:eastAsia="宋体" w:cs="Times New Roman"/>
                <w:b w:val="0"/>
                <w:bCs/>
                <w:color w:val="auto"/>
                <w:sz w:val="24"/>
                <w:szCs w:val="22"/>
                <w:highlight w:val="none"/>
                <w:lang w:eastAsia="zh-CN"/>
              </w:rPr>
              <w:t>土壤、</w:t>
            </w:r>
            <w:r>
              <w:rPr>
                <w:rFonts w:hint="default" w:ascii="Times New Roman" w:hAnsi="Times New Roman" w:eastAsia="宋体" w:cs="Times New Roman"/>
                <w:b w:val="0"/>
                <w:bCs/>
                <w:color w:val="auto"/>
                <w:sz w:val="24"/>
                <w:szCs w:val="22"/>
                <w:highlight w:val="none"/>
              </w:rPr>
              <w:t>地下水</w:t>
            </w:r>
            <w:r>
              <w:rPr>
                <w:rFonts w:hint="default" w:ascii="Times New Roman" w:hAnsi="Times New Roman" w:eastAsia="宋体" w:cs="Times New Roman"/>
                <w:b w:val="0"/>
                <w:bCs/>
                <w:color w:val="auto"/>
                <w:sz w:val="24"/>
                <w:szCs w:val="22"/>
                <w:highlight w:val="none"/>
                <w:lang w:eastAsia="zh-CN"/>
              </w:rPr>
              <w:t>污染</w:t>
            </w:r>
            <w:r>
              <w:rPr>
                <w:rFonts w:hint="default" w:ascii="Times New Roman" w:hAnsi="Times New Roman" w:eastAsia="宋体" w:cs="Times New Roman"/>
                <w:b w:val="0"/>
                <w:bCs/>
                <w:color w:val="auto"/>
                <w:sz w:val="24"/>
                <w:szCs w:val="24"/>
                <w:highlight w:val="none"/>
                <w:lang w:eastAsia="zh-CN"/>
              </w:rPr>
              <w:t>防治工作</w:t>
            </w:r>
          </w:p>
          <w:p w14:paraId="028833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2"/>
                <w:highlight w:val="none"/>
                <w:lang w:eastAsia="zh-CN"/>
              </w:rPr>
            </w:pPr>
            <w:r>
              <w:rPr>
                <w:rFonts w:hint="default" w:ascii="Times New Roman" w:hAnsi="Times New Roman" w:eastAsia="宋体" w:cs="Times New Roman"/>
                <w:color w:val="auto"/>
                <w:sz w:val="24"/>
                <w:szCs w:val="22"/>
                <w:highlight w:val="none"/>
                <w:lang w:eastAsia="zh-CN"/>
              </w:rPr>
              <w:t>为了防止项目潜在土壤和地下水污染源在非正常排放情况下污染土壤和地下水，评价建设从以下方面做好防治工作。</w:t>
            </w:r>
          </w:p>
          <w:p w14:paraId="1BA945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2"/>
                <w:highlight w:val="none"/>
                <w:lang w:eastAsia="zh-CN"/>
              </w:rPr>
            </w:pPr>
            <w:r>
              <w:rPr>
                <w:rFonts w:hint="eastAsia" w:cs="Times New Roman"/>
                <w:color w:val="auto"/>
                <w:sz w:val="24"/>
                <w:szCs w:val="22"/>
                <w:highlight w:val="none"/>
                <w:lang w:val="en-US" w:eastAsia="zh-CN"/>
              </w:rPr>
              <w:t>（1）</w:t>
            </w:r>
            <w:r>
              <w:rPr>
                <w:rFonts w:hint="default" w:ascii="Times New Roman" w:hAnsi="Times New Roman" w:eastAsia="宋体" w:cs="Times New Roman"/>
                <w:color w:val="auto"/>
                <w:sz w:val="24"/>
                <w:szCs w:val="22"/>
                <w:highlight w:val="none"/>
                <w:lang w:eastAsia="zh-CN"/>
              </w:rPr>
              <w:t>源头控制</w:t>
            </w:r>
          </w:p>
          <w:p w14:paraId="710262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本</w:t>
            </w:r>
            <w:r>
              <w:rPr>
                <w:rFonts w:hint="default" w:ascii="Times New Roman" w:hAnsi="Times New Roman" w:eastAsia="宋体" w:cs="Times New Roman"/>
                <w:color w:val="auto"/>
                <w:sz w:val="24"/>
                <w:szCs w:val="24"/>
                <w:highlight w:val="none"/>
              </w:rPr>
              <w:t>项目具有完备的供水系统</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隔油池和化粪池</w:t>
            </w:r>
            <w:r>
              <w:rPr>
                <w:rFonts w:hint="default" w:ascii="Times New Roman" w:hAnsi="Times New Roman" w:eastAsia="宋体" w:cs="Times New Roman"/>
                <w:color w:val="auto"/>
                <w:sz w:val="24"/>
                <w:szCs w:val="24"/>
                <w:highlight w:val="none"/>
              </w:rPr>
              <w:t>。正常工况下，项目运行不会对区域地下水环境造成不利影响，但在非正常工况或者事故状态下，如</w:t>
            </w:r>
            <w:r>
              <w:rPr>
                <w:rFonts w:hint="eastAsia" w:cs="Times New Roman"/>
                <w:color w:val="auto"/>
                <w:sz w:val="24"/>
                <w:szCs w:val="24"/>
                <w:highlight w:val="none"/>
                <w:lang w:val="en-US" w:eastAsia="zh-CN"/>
              </w:rPr>
              <w:t>化学品库</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危废暂存</w:t>
            </w:r>
            <w:r>
              <w:rPr>
                <w:rFonts w:hint="eastAsia" w:cs="Times New Roman"/>
                <w:color w:val="auto"/>
                <w:sz w:val="24"/>
                <w:szCs w:val="24"/>
                <w:highlight w:val="none"/>
                <w:lang w:val="en-US" w:eastAsia="zh-CN"/>
              </w:rPr>
              <w:t>库</w:t>
            </w:r>
            <w:r>
              <w:rPr>
                <w:rFonts w:hint="default" w:ascii="Times New Roman" w:hAnsi="Times New Roman" w:eastAsia="宋体" w:cs="Times New Roman"/>
                <w:color w:val="auto"/>
                <w:sz w:val="24"/>
                <w:szCs w:val="24"/>
                <w:highlight w:val="none"/>
              </w:rPr>
              <w:t>等</w:t>
            </w:r>
            <w:r>
              <w:rPr>
                <w:rFonts w:hint="eastAsia" w:cs="Times New Roman"/>
                <w:color w:val="auto"/>
                <w:sz w:val="24"/>
                <w:szCs w:val="24"/>
                <w:highlight w:val="none"/>
                <w:lang w:val="en-US" w:eastAsia="zh-CN"/>
              </w:rPr>
              <w:t>桶装液体物料和危废</w:t>
            </w:r>
            <w:r>
              <w:rPr>
                <w:rFonts w:hint="default" w:ascii="Times New Roman" w:hAnsi="Times New Roman" w:eastAsia="宋体" w:cs="Times New Roman"/>
                <w:color w:val="auto"/>
                <w:sz w:val="24"/>
                <w:szCs w:val="24"/>
                <w:highlight w:val="none"/>
              </w:rPr>
              <w:t>破损泄漏情况下，污染物和废水会渗入地下，对地下水造成污染。本项目将对可能产生地下水污染</w:t>
            </w:r>
            <w:r>
              <w:rPr>
                <w:rFonts w:hint="eastAsia"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源进行</w:t>
            </w:r>
            <w:r>
              <w:rPr>
                <w:rFonts w:hint="eastAsia" w:ascii="Times New Roman" w:hAnsi="Times New Roman" w:eastAsia="宋体" w:cs="Times New Roman"/>
                <w:color w:val="auto"/>
                <w:sz w:val="24"/>
                <w:szCs w:val="24"/>
                <w:highlight w:val="none"/>
                <w:lang w:val="en-US" w:eastAsia="zh-CN"/>
              </w:rPr>
              <w:t>管控</w:t>
            </w:r>
            <w:r>
              <w:rPr>
                <w:rFonts w:hint="default" w:ascii="Times New Roman" w:hAnsi="Times New Roman" w:eastAsia="宋体" w:cs="Times New Roman"/>
                <w:color w:val="auto"/>
                <w:sz w:val="24"/>
                <w:szCs w:val="24"/>
                <w:highlight w:val="none"/>
              </w:rPr>
              <w:t>，以尽可能从源头上减少污染物排放；严格按照国家相关规范要求，对工艺、管道、设备、</w:t>
            </w:r>
            <w:r>
              <w:rPr>
                <w:rFonts w:hint="default" w:ascii="Times New Roman" w:hAnsi="Times New Roman" w:eastAsia="宋体" w:cs="Times New Roman"/>
                <w:color w:val="auto"/>
                <w:sz w:val="24"/>
                <w:szCs w:val="24"/>
                <w:highlight w:val="none"/>
                <w:lang w:eastAsia="zh-CN"/>
              </w:rPr>
              <w:t>危</w:t>
            </w:r>
            <w:r>
              <w:rPr>
                <w:rFonts w:hint="eastAsia" w:cs="Times New Roman"/>
                <w:color w:val="auto"/>
                <w:sz w:val="24"/>
                <w:szCs w:val="24"/>
                <w:highlight w:val="none"/>
                <w:lang w:val="en-US" w:eastAsia="zh-CN"/>
              </w:rPr>
              <w:t>废</w:t>
            </w:r>
            <w:r>
              <w:rPr>
                <w:rFonts w:hint="default" w:ascii="Times New Roman" w:hAnsi="Times New Roman" w:eastAsia="宋体" w:cs="Times New Roman"/>
                <w:color w:val="auto"/>
                <w:sz w:val="24"/>
                <w:szCs w:val="24"/>
                <w:highlight w:val="none"/>
              </w:rPr>
              <w:t>等储存采取相应的措施，以防止和降低污染物的跑、冒、滴、漏，将污染物泄漏的环境风险事故降低到最低程度。</w:t>
            </w:r>
          </w:p>
          <w:p w14:paraId="55741D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2"/>
                <w:highlight w:val="none"/>
                <w:lang w:eastAsia="zh-CN"/>
              </w:rPr>
            </w:pPr>
            <w:r>
              <w:rPr>
                <w:rFonts w:hint="eastAsia" w:cs="Times New Roman"/>
                <w:color w:val="auto"/>
                <w:sz w:val="24"/>
                <w:szCs w:val="22"/>
                <w:highlight w:val="none"/>
                <w:lang w:val="en-US" w:eastAsia="zh-CN"/>
              </w:rPr>
              <w:t>（2）</w:t>
            </w:r>
            <w:r>
              <w:rPr>
                <w:rFonts w:hint="default" w:ascii="Times New Roman" w:hAnsi="Times New Roman" w:eastAsia="宋体" w:cs="Times New Roman"/>
                <w:color w:val="auto"/>
                <w:sz w:val="24"/>
                <w:szCs w:val="22"/>
                <w:highlight w:val="none"/>
                <w:lang w:eastAsia="zh-CN"/>
              </w:rPr>
              <w:t>分区防渗措施</w:t>
            </w:r>
          </w:p>
          <w:p w14:paraId="24C028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对厂区可能泄漏污染物的污染区地面进行防渗处理，并及时地将泄漏/渗漏的污染物收集起来进行处理，可有效防止洒落地面的污染物渗入地下。根据厂区各生产功能单元可能泄漏至地面区域的污染物性质和生产单元的构筑方式，将厂区划分为重点污染防治区、一般污染防治区。</w:t>
            </w:r>
          </w:p>
          <w:p w14:paraId="68F44C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①</w:t>
            </w:r>
            <w:r>
              <w:rPr>
                <w:rFonts w:hint="default" w:ascii="Times New Roman" w:hAnsi="Times New Roman" w:eastAsia="宋体" w:cs="Times New Roman"/>
                <w:color w:val="auto"/>
                <w:sz w:val="24"/>
                <w:szCs w:val="24"/>
                <w:highlight w:val="none"/>
              </w:rPr>
              <w:t>重点污染防治区</w:t>
            </w:r>
          </w:p>
          <w:p w14:paraId="0C7A4D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指对地下水环境有污染的物料或污染物泄漏后，不能及时发现和处理的区域或部位。根据项目特点，结合水文地质条件，建设项目重点污染防治区主要包括</w:t>
            </w:r>
            <w:r>
              <w:rPr>
                <w:rFonts w:hint="eastAsia" w:ascii="Times New Roman" w:hAnsi="Times New Roman" w:eastAsia="宋体" w:cs="Times New Roman"/>
                <w:color w:val="auto"/>
                <w:sz w:val="24"/>
                <w:szCs w:val="24"/>
                <w:highlight w:val="none"/>
                <w:lang w:val="en-US" w:eastAsia="zh-CN"/>
              </w:rPr>
              <w:t>危废暂存库、化学品库、注塑浇注区、拌料间</w:t>
            </w:r>
            <w:r>
              <w:rPr>
                <w:rFonts w:hint="default" w:ascii="Times New Roman" w:hAnsi="Times New Roman" w:eastAsia="宋体" w:cs="Times New Roman"/>
                <w:color w:val="auto"/>
                <w:sz w:val="24"/>
                <w:szCs w:val="24"/>
                <w:highlight w:val="none"/>
                <w:lang w:eastAsia="zh-CN"/>
              </w:rPr>
              <w:t>等区域</w:t>
            </w:r>
            <w:r>
              <w:rPr>
                <w:rFonts w:hint="default" w:ascii="Times New Roman" w:hAnsi="Times New Roman" w:eastAsia="宋体" w:cs="Times New Roman"/>
                <w:color w:val="auto"/>
                <w:sz w:val="24"/>
                <w:szCs w:val="24"/>
                <w:highlight w:val="none"/>
              </w:rPr>
              <w:t>。</w:t>
            </w:r>
          </w:p>
          <w:p w14:paraId="02B5D0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②</w:t>
            </w:r>
            <w:r>
              <w:rPr>
                <w:rFonts w:hint="default" w:ascii="Times New Roman" w:hAnsi="Times New Roman" w:eastAsia="宋体" w:cs="Times New Roman"/>
                <w:color w:val="auto"/>
                <w:sz w:val="24"/>
                <w:szCs w:val="24"/>
                <w:highlight w:val="none"/>
              </w:rPr>
              <w:t>一般污染防治区</w:t>
            </w:r>
          </w:p>
          <w:p w14:paraId="3EE8DF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指</w:t>
            </w:r>
            <w:r>
              <w:rPr>
                <w:rFonts w:hint="default" w:ascii="Times New Roman" w:hAnsi="Times New Roman" w:eastAsia="宋体" w:cs="Times New Roman"/>
                <w:color w:val="auto"/>
                <w:sz w:val="24"/>
                <w:szCs w:val="24"/>
                <w:highlight w:val="none"/>
                <w:lang w:eastAsia="zh-CN"/>
              </w:rPr>
              <w:t>除</w:t>
            </w:r>
            <w:r>
              <w:rPr>
                <w:rFonts w:hint="default" w:ascii="Times New Roman" w:hAnsi="Times New Roman" w:eastAsia="宋体" w:cs="Times New Roman"/>
                <w:color w:val="auto"/>
                <w:sz w:val="24"/>
                <w:szCs w:val="24"/>
                <w:highlight w:val="none"/>
              </w:rPr>
              <w:t>重点污</w:t>
            </w:r>
            <w:r>
              <w:rPr>
                <w:rFonts w:hint="default" w:ascii="Times New Roman" w:hAnsi="Times New Roman" w:eastAsia="宋体" w:cs="Times New Roman"/>
                <w:color w:val="auto"/>
                <w:sz w:val="24"/>
                <w:szCs w:val="24"/>
                <w:highlight w:val="none"/>
                <w:lang w:eastAsia="zh-CN"/>
              </w:rPr>
              <w:t>染防治区以外的其他区域，一般污染防治区包括</w:t>
            </w:r>
            <w:r>
              <w:rPr>
                <w:rFonts w:hint="eastAsia" w:ascii="Times New Roman" w:hAnsi="Times New Roman" w:eastAsia="宋体" w:cs="Times New Roman"/>
                <w:color w:val="auto"/>
                <w:sz w:val="24"/>
                <w:szCs w:val="24"/>
                <w:highlight w:val="none"/>
                <w:lang w:val="en-US" w:eastAsia="zh-CN"/>
              </w:rPr>
              <w:t>生产车间其他区域</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原料库和成品库。</w:t>
            </w:r>
          </w:p>
          <w:p w14:paraId="2BA83E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sz w:val="24"/>
                <w:szCs w:val="24"/>
                <w:highlight w:val="none"/>
                <w:lang w:val="en-US" w:eastAsia="zh-CN"/>
              </w:rPr>
              <w:t>本项目防渗分区见</w:t>
            </w:r>
            <w:r>
              <w:rPr>
                <w:rFonts w:hint="eastAsia"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lang w:val="en-US" w:eastAsia="zh-CN"/>
              </w:rPr>
              <w:t>表</w:t>
            </w:r>
            <w:r>
              <w:rPr>
                <w:rFonts w:hint="default" w:ascii="Times New Roman" w:hAnsi="Times New Roman" w:eastAsia="宋体" w:cs="Times New Roman"/>
                <w:color w:val="auto"/>
                <w:sz w:val="24"/>
                <w:szCs w:val="24"/>
                <w:highlight w:val="none"/>
              </w:rPr>
              <w:t>。</w:t>
            </w:r>
          </w:p>
          <w:p w14:paraId="2D9600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表4-</w:t>
            </w:r>
            <w:r>
              <w:rPr>
                <w:rFonts w:hint="eastAsia" w:cs="Times New Roman"/>
                <w:b/>
                <w:color w:val="auto"/>
                <w:szCs w:val="21"/>
                <w:highlight w:val="none"/>
                <w:lang w:val="en-US" w:eastAsia="zh-CN"/>
              </w:rPr>
              <w:t>19</w:t>
            </w:r>
            <w:r>
              <w:rPr>
                <w:rFonts w:hint="default" w:ascii="Times New Roman" w:hAnsi="Times New Roman" w:eastAsia="宋体" w:cs="Times New Roman"/>
                <w:b/>
                <w:color w:val="auto"/>
                <w:szCs w:val="21"/>
                <w:highlight w:val="none"/>
              </w:rPr>
              <w:t xml:space="preserve">  项目防渗分区</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1923"/>
              <w:gridCol w:w="2200"/>
              <w:gridCol w:w="3393"/>
            </w:tblGrid>
            <w:tr w14:paraId="23E0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noWrap w:val="0"/>
                  <w:vAlign w:val="center"/>
                </w:tcPr>
                <w:p w14:paraId="2D2E5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防渗区</w:t>
                  </w:r>
                </w:p>
              </w:tc>
              <w:tc>
                <w:tcPr>
                  <w:tcW w:w="1140" w:type="pct"/>
                  <w:noWrap w:val="0"/>
                  <w:vAlign w:val="center"/>
                </w:tcPr>
                <w:p w14:paraId="2FD859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构筑物名称</w:t>
                  </w:r>
                </w:p>
              </w:tc>
              <w:tc>
                <w:tcPr>
                  <w:tcW w:w="1304" w:type="pct"/>
                  <w:noWrap w:val="0"/>
                  <w:vAlign w:val="center"/>
                </w:tcPr>
                <w:p w14:paraId="426812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防腐防渗措施</w:t>
                  </w:r>
                </w:p>
              </w:tc>
              <w:tc>
                <w:tcPr>
                  <w:tcW w:w="2011" w:type="pct"/>
                  <w:noWrap w:val="0"/>
                  <w:vAlign w:val="center"/>
                </w:tcPr>
                <w:p w14:paraId="105C4C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防渗技术要求</w:t>
                  </w:r>
                </w:p>
              </w:tc>
            </w:tr>
            <w:tr w14:paraId="2152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noWrap w:val="0"/>
                  <w:vAlign w:val="center"/>
                </w:tcPr>
                <w:p w14:paraId="16CFB4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重点防渗区</w:t>
                  </w:r>
                </w:p>
              </w:tc>
              <w:tc>
                <w:tcPr>
                  <w:tcW w:w="1140" w:type="pct"/>
                  <w:noWrap w:val="0"/>
                  <w:vAlign w:val="center"/>
                </w:tcPr>
                <w:p w14:paraId="2C3914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危废暂存库</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化学品库、注塑浇注区、拌料间</w:t>
                  </w:r>
                </w:p>
              </w:tc>
              <w:tc>
                <w:tcPr>
                  <w:tcW w:w="1304" w:type="pct"/>
                  <w:noWrap w:val="0"/>
                  <w:vAlign w:val="center"/>
                </w:tcPr>
                <w:p w14:paraId="652F88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抗渗混凝土+</w:t>
                  </w:r>
                  <w:r>
                    <w:rPr>
                      <w:rFonts w:hint="eastAsia"/>
                      <w:color w:val="auto"/>
                      <w:sz w:val="21"/>
                      <w:szCs w:val="21"/>
                      <w:highlight w:val="none"/>
                    </w:rPr>
                    <w:t>防</w:t>
                  </w:r>
                  <w:r>
                    <w:rPr>
                      <w:rFonts w:hint="eastAsia"/>
                      <w:color w:val="auto"/>
                      <w:sz w:val="21"/>
                      <w:szCs w:val="21"/>
                      <w:highlight w:val="none"/>
                      <w:lang w:eastAsia="zh-CN"/>
                    </w:rPr>
                    <w:t>渗膜</w:t>
                  </w:r>
                  <w:r>
                    <w:rPr>
                      <w:rFonts w:hint="eastAsia"/>
                      <w:color w:val="auto"/>
                      <w:sz w:val="21"/>
                      <w:szCs w:val="21"/>
                      <w:highlight w:val="none"/>
                    </w:rPr>
                    <w:t>+</w:t>
                  </w:r>
                  <w:r>
                    <w:rPr>
                      <w:rFonts w:hint="default" w:ascii="Times New Roman" w:hAnsi="Times New Roman" w:eastAsia="宋体" w:cs="Times New Roman"/>
                      <w:color w:val="auto"/>
                      <w:szCs w:val="21"/>
                      <w:highlight w:val="none"/>
                    </w:rPr>
                    <w:t>环氧树脂</w:t>
                  </w:r>
                </w:p>
              </w:tc>
              <w:tc>
                <w:tcPr>
                  <w:tcW w:w="2011" w:type="pct"/>
                  <w:noWrap w:val="0"/>
                  <w:vAlign w:val="center"/>
                </w:tcPr>
                <w:p w14:paraId="615473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ascii="Times New Roman" w:hAnsi="Times New Roman"/>
                      <w:color w:val="auto"/>
                      <w:szCs w:val="21"/>
                      <w:highlight w:val="none"/>
                    </w:rPr>
                    <w:t>采用新增防渗涂层（防渗涂层厚度不小于2.0mm，防渗结构层渗透系数≤1.0×10</w:t>
                  </w:r>
                  <w:r>
                    <w:rPr>
                      <w:rFonts w:ascii="Times New Roman" w:hAnsi="Times New Roman"/>
                      <w:color w:val="auto"/>
                      <w:szCs w:val="21"/>
                      <w:highlight w:val="none"/>
                      <w:vertAlign w:val="superscript"/>
                    </w:rPr>
                    <w:t>-10</w:t>
                  </w:r>
                  <w:r>
                    <w:rPr>
                      <w:rFonts w:ascii="Times New Roman" w:hAnsi="Times New Roman"/>
                      <w:color w:val="auto"/>
                      <w:szCs w:val="21"/>
                      <w:highlight w:val="none"/>
                    </w:rPr>
                    <w:t>cm/s</w:t>
                  </w:r>
                  <w:r>
                    <w:rPr>
                      <w:rFonts w:hint="eastAsia" w:ascii="Times New Roman" w:hAnsi="Times New Roman"/>
                      <w:color w:val="auto"/>
                      <w:szCs w:val="21"/>
                      <w:highlight w:val="none"/>
                    </w:rPr>
                    <w:t>），危废</w:t>
                  </w:r>
                  <w:r>
                    <w:rPr>
                      <w:rFonts w:hint="eastAsia"/>
                      <w:color w:val="auto"/>
                      <w:szCs w:val="21"/>
                      <w:highlight w:val="none"/>
                      <w:lang w:val="en-US" w:eastAsia="zh-CN"/>
                    </w:rPr>
                    <w:t>暂存库</w:t>
                  </w:r>
                  <w:r>
                    <w:rPr>
                      <w:rFonts w:hint="eastAsia" w:ascii="Times New Roman" w:hAnsi="Times New Roman"/>
                      <w:color w:val="auto"/>
                      <w:szCs w:val="21"/>
                      <w:highlight w:val="none"/>
                    </w:rPr>
                    <w:t>也可按照GB18597要求采取其他措施</w:t>
                  </w:r>
                </w:p>
              </w:tc>
            </w:tr>
            <w:tr w14:paraId="19409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noWrap w:val="0"/>
                  <w:vAlign w:val="center"/>
                </w:tcPr>
                <w:p w14:paraId="4B08F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一般防渗区</w:t>
                  </w:r>
                </w:p>
              </w:tc>
              <w:tc>
                <w:tcPr>
                  <w:tcW w:w="1140" w:type="pct"/>
                  <w:noWrap w:val="0"/>
                  <w:vAlign w:val="center"/>
                </w:tcPr>
                <w:p w14:paraId="13D16E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生产车间其他区域</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原料库和成品库</w:t>
                  </w:r>
                </w:p>
              </w:tc>
              <w:tc>
                <w:tcPr>
                  <w:tcW w:w="1304" w:type="pct"/>
                  <w:noWrap w:val="0"/>
                  <w:vAlign w:val="center"/>
                </w:tcPr>
                <w:p w14:paraId="07BDFD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color w:val="auto"/>
                      <w:szCs w:val="21"/>
                      <w:highlight w:val="none"/>
                    </w:rPr>
                  </w:pPr>
                  <w:r>
                    <w:rPr>
                      <w:rFonts w:hint="eastAsia"/>
                      <w:color w:val="auto"/>
                      <w:sz w:val="21"/>
                      <w:szCs w:val="21"/>
                      <w:highlight w:val="none"/>
                      <w:lang w:val="en-US" w:eastAsia="zh-CN"/>
                    </w:rPr>
                    <w:t>地面硬化+防水涂覆+</w:t>
                  </w:r>
                  <w:r>
                    <w:rPr>
                      <w:rFonts w:hint="eastAsia"/>
                      <w:color w:val="auto"/>
                      <w:sz w:val="21"/>
                      <w:szCs w:val="21"/>
                      <w:highlight w:val="none"/>
                      <w:lang w:eastAsia="zh-CN"/>
                    </w:rPr>
                    <w:t>环氧地坪</w:t>
                  </w:r>
                </w:p>
              </w:tc>
              <w:tc>
                <w:tcPr>
                  <w:tcW w:w="2011" w:type="pct"/>
                  <w:noWrap w:val="0"/>
                  <w:vAlign w:val="center"/>
                </w:tcPr>
                <w:p w14:paraId="31C13E87">
                  <w:pPr>
                    <w:keepNext w:val="0"/>
                    <w:keepLines w:val="0"/>
                    <w:suppressLineNumbers w:val="0"/>
                    <w:spacing w:before="0" w:beforeAutospacing="0" w:after="0" w:afterAutospacing="0"/>
                    <w:ind w:left="0" w:right="0"/>
                    <w:jc w:val="center"/>
                    <w:rPr>
                      <w:rFonts w:ascii="Times New Roman" w:hAnsi="Times New Roman"/>
                      <w:color w:val="auto"/>
                      <w:szCs w:val="21"/>
                      <w:highlight w:val="none"/>
                    </w:rPr>
                  </w:pPr>
                  <w:r>
                    <w:rPr>
                      <w:color w:val="auto"/>
                      <w:kern w:val="0"/>
                      <w:sz w:val="21"/>
                      <w:szCs w:val="21"/>
                      <w:highlight w:val="none"/>
                    </w:rPr>
                    <w:t>等效黏土防渗层Mb≥1.5m，渗透系数≤1.0×10</w:t>
                  </w:r>
                  <w:r>
                    <w:rPr>
                      <w:color w:val="auto"/>
                      <w:kern w:val="0"/>
                      <w:sz w:val="21"/>
                      <w:szCs w:val="21"/>
                      <w:highlight w:val="none"/>
                      <w:vertAlign w:val="superscript"/>
                    </w:rPr>
                    <w:t>-7</w:t>
                  </w:r>
                  <w:r>
                    <w:rPr>
                      <w:color w:val="auto"/>
                      <w:kern w:val="0"/>
                      <w:sz w:val="21"/>
                      <w:szCs w:val="21"/>
                      <w:highlight w:val="none"/>
                    </w:rPr>
                    <w:t>cm/s，或参照GB16889执行</w:t>
                  </w:r>
                </w:p>
              </w:tc>
            </w:tr>
            <w:tr w14:paraId="0CA4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noWrap w:val="0"/>
                  <w:vAlign w:val="center"/>
                </w:tcPr>
                <w:p w14:paraId="457271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简单防渗区</w:t>
                  </w:r>
                </w:p>
              </w:tc>
              <w:tc>
                <w:tcPr>
                  <w:tcW w:w="1140" w:type="pct"/>
                  <w:noWrap w:val="0"/>
                  <w:vAlign w:val="center"/>
                </w:tcPr>
                <w:p w14:paraId="370652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Cs w:val="21"/>
                      <w:highlight w:val="none"/>
                      <w:lang w:val="en-US"/>
                    </w:rPr>
                  </w:pPr>
                  <w:r>
                    <w:rPr>
                      <w:rFonts w:hint="eastAsia" w:cs="Times New Roman"/>
                      <w:color w:val="auto"/>
                      <w:szCs w:val="21"/>
                      <w:highlight w:val="none"/>
                      <w:lang w:val="en-US" w:eastAsia="zh-CN"/>
                    </w:rPr>
                    <w:t>办公楼</w:t>
                  </w:r>
                </w:p>
              </w:tc>
              <w:tc>
                <w:tcPr>
                  <w:tcW w:w="1304" w:type="pct"/>
                  <w:noWrap w:val="0"/>
                  <w:vAlign w:val="center"/>
                </w:tcPr>
                <w:p w14:paraId="73A0E5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水泥地面硬化</w:t>
                  </w:r>
                </w:p>
              </w:tc>
              <w:tc>
                <w:tcPr>
                  <w:tcW w:w="2011" w:type="pct"/>
                  <w:noWrap w:val="0"/>
                  <w:vAlign w:val="center"/>
                </w:tcPr>
                <w:p w14:paraId="38F7C4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一般地面硬化</w:t>
                  </w:r>
                </w:p>
              </w:tc>
            </w:tr>
          </w:tbl>
          <w:p w14:paraId="3BD570D0">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b w:val="0"/>
                <w:bCs w:val="0"/>
                <w:color w:val="auto"/>
                <w:sz w:val="24"/>
                <w:szCs w:val="22"/>
                <w:highlight w:val="none"/>
                <w:lang w:val="en-US" w:eastAsia="zh-CN"/>
              </w:rPr>
            </w:pPr>
            <w:r>
              <w:rPr>
                <w:rFonts w:hint="eastAsia" w:cs="Times New Roman"/>
                <w:b w:val="0"/>
                <w:bCs w:val="0"/>
                <w:color w:val="auto"/>
                <w:sz w:val="24"/>
                <w:szCs w:val="22"/>
                <w:highlight w:val="none"/>
                <w:lang w:val="en-US" w:eastAsia="zh-CN"/>
              </w:rPr>
              <w:t>③</w:t>
            </w:r>
            <w:r>
              <w:rPr>
                <w:rFonts w:hint="default" w:ascii="Times New Roman" w:hAnsi="Times New Roman" w:eastAsia="宋体" w:cs="Times New Roman"/>
                <w:b w:val="0"/>
                <w:bCs w:val="0"/>
                <w:color w:val="auto"/>
                <w:sz w:val="24"/>
                <w:szCs w:val="22"/>
                <w:highlight w:val="none"/>
                <w:lang w:val="en-US" w:eastAsia="zh-CN"/>
              </w:rPr>
              <w:t xml:space="preserve">风险事故应急响应 </w:t>
            </w:r>
          </w:p>
          <w:p w14:paraId="3D22C7FF">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 xml:space="preserve">发现渗漏时应立即停止运营，组织人员查明渗漏源头，采取补救措施。 </w:t>
            </w:r>
          </w:p>
          <w:p w14:paraId="352A1F15">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b w:val="0"/>
                <w:bCs w:val="0"/>
                <w:color w:val="auto"/>
                <w:sz w:val="24"/>
                <w:szCs w:val="22"/>
                <w:highlight w:val="none"/>
                <w:lang w:val="en-US" w:eastAsia="zh-CN"/>
              </w:rPr>
            </w:pPr>
            <w:r>
              <w:rPr>
                <w:rFonts w:hint="eastAsia" w:cs="Times New Roman"/>
                <w:b w:val="0"/>
                <w:bCs w:val="0"/>
                <w:color w:val="auto"/>
                <w:sz w:val="24"/>
                <w:szCs w:val="22"/>
                <w:highlight w:val="none"/>
                <w:lang w:val="en-US" w:eastAsia="zh-CN"/>
              </w:rPr>
              <w:t>④</w:t>
            </w:r>
            <w:r>
              <w:rPr>
                <w:rFonts w:hint="default" w:ascii="Times New Roman" w:hAnsi="Times New Roman" w:eastAsia="宋体" w:cs="Times New Roman"/>
                <w:b w:val="0"/>
                <w:bCs w:val="0"/>
                <w:color w:val="auto"/>
                <w:sz w:val="24"/>
                <w:szCs w:val="22"/>
                <w:highlight w:val="none"/>
                <w:lang w:val="en-US" w:eastAsia="zh-CN"/>
              </w:rPr>
              <w:t>跟踪监测</w:t>
            </w:r>
          </w:p>
          <w:p w14:paraId="77C47F3B">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本项目废</w:t>
            </w:r>
            <w:r>
              <w:rPr>
                <w:rFonts w:hint="eastAsia" w:cs="Times New Roman"/>
                <w:b w:val="0"/>
                <w:bCs w:val="0"/>
                <w:color w:val="auto"/>
                <w:sz w:val="24"/>
                <w:szCs w:val="22"/>
                <w:highlight w:val="none"/>
                <w:lang w:val="en-US" w:eastAsia="zh-CN"/>
              </w:rPr>
              <w:t>机油</w:t>
            </w:r>
            <w:r>
              <w:rPr>
                <w:rFonts w:hint="default" w:ascii="Times New Roman" w:hAnsi="Times New Roman" w:eastAsia="宋体" w:cs="Times New Roman"/>
                <w:b w:val="0"/>
                <w:bCs w:val="0"/>
                <w:color w:val="auto"/>
                <w:sz w:val="24"/>
                <w:szCs w:val="22"/>
                <w:highlight w:val="none"/>
                <w:lang w:val="en-US" w:eastAsia="zh-CN"/>
              </w:rPr>
              <w:t>、</w:t>
            </w:r>
            <w:r>
              <w:rPr>
                <w:rFonts w:hint="eastAsia" w:cs="Times New Roman"/>
                <w:b w:val="0"/>
                <w:bCs w:val="0"/>
                <w:color w:val="auto"/>
                <w:sz w:val="24"/>
                <w:szCs w:val="22"/>
                <w:highlight w:val="none"/>
                <w:lang w:val="en-US" w:eastAsia="zh-CN"/>
              </w:rPr>
              <w:t>清洗废液、</w:t>
            </w:r>
            <w:r>
              <w:rPr>
                <w:rFonts w:hint="default" w:ascii="Times New Roman" w:hAnsi="Times New Roman" w:eastAsia="宋体" w:cs="Times New Roman"/>
                <w:b w:val="0"/>
                <w:bCs w:val="0"/>
                <w:color w:val="auto"/>
                <w:sz w:val="24"/>
                <w:szCs w:val="22"/>
                <w:highlight w:val="none"/>
                <w:lang w:val="en-US" w:eastAsia="zh-CN"/>
              </w:rPr>
              <w:t>废</w:t>
            </w:r>
            <w:r>
              <w:rPr>
                <w:rFonts w:hint="eastAsia" w:cs="Times New Roman"/>
                <w:b w:val="0"/>
                <w:bCs w:val="0"/>
                <w:color w:val="auto"/>
                <w:sz w:val="24"/>
                <w:szCs w:val="22"/>
                <w:highlight w:val="none"/>
                <w:lang w:val="en-US" w:eastAsia="zh-CN"/>
              </w:rPr>
              <w:t>包装</w:t>
            </w:r>
            <w:r>
              <w:rPr>
                <w:rFonts w:hint="default" w:ascii="Times New Roman" w:hAnsi="Times New Roman" w:eastAsia="宋体" w:cs="Times New Roman"/>
                <w:b w:val="0"/>
                <w:bCs w:val="0"/>
                <w:color w:val="auto"/>
                <w:sz w:val="24"/>
                <w:szCs w:val="22"/>
                <w:highlight w:val="none"/>
                <w:lang w:val="en-US" w:eastAsia="zh-CN"/>
              </w:rPr>
              <w:t xml:space="preserve">桶等危险固废均采用不同的桶装储存于地面，一旦发生泄露可及时发现，可以保证对污染源进行监控。若确因项目生产对周边的地下水、土壤造成污染事故的，建设单位应积极查漏，并切断泄漏源，并采取相应的补救措施杜绝此类事故的发生和消除污染造成的影响，因此本项目可不设置地下水及土壤跟踪监测点位。 </w:t>
            </w:r>
          </w:p>
          <w:p w14:paraId="077239ED">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kern w:val="0"/>
                <w:sz w:val="24"/>
                <w:szCs w:val="22"/>
                <w:highlight w:val="none"/>
              </w:rPr>
            </w:pPr>
            <w:r>
              <w:rPr>
                <w:rFonts w:hint="default" w:ascii="Times New Roman" w:hAnsi="Times New Roman" w:eastAsia="宋体" w:cs="Times New Roman"/>
                <w:b w:val="0"/>
                <w:bCs w:val="0"/>
                <w:color w:val="auto"/>
                <w:sz w:val="24"/>
                <w:szCs w:val="22"/>
                <w:highlight w:val="none"/>
                <w:lang w:val="en-US" w:eastAsia="zh-CN"/>
              </w:rPr>
              <w:t>综上，本项目对可能产生地下水及土壤影响的各项途径均进行有效预防，在确保各项防渗措施得到落实，并加强维护和厂区环境管理的前提下，可有效控制厂区内的液态污染物下渗现象，避免污染地下水及土壤，因此本项目不会对地下水及土壤环境产生明显影响。</w:t>
            </w:r>
          </w:p>
          <w:p w14:paraId="42180513">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6、环境风险</w:t>
            </w:r>
          </w:p>
          <w:p w14:paraId="1F4B1B4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color w:val="auto"/>
                <w:kern w:val="0"/>
                <w:sz w:val="24"/>
                <w:szCs w:val="24"/>
                <w:highlight w:val="none"/>
                <w:lang w:val="en-US" w:eastAsia="zh-CN"/>
              </w:rPr>
            </w:pPr>
            <w:r>
              <w:rPr>
                <w:rFonts w:hint="eastAsia" w:cs="Times New Roman"/>
                <w:b w:val="0"/>
                <w:bCs/>
                <w:color w:val="auto"/>
                <w:kern w:val="0"/>
                <w:sz w:val="24"/>
                <w:szCs w:val="24"/>
                <w:highlight w:val="none"/>
                <w:lang w:val="en-US" w:eastAsia="zh-CN"/>
              </w:rPr>
              <w:t>一、</w:t>
            </w:r>
            <w:r>
              <w:rPr>
                <w:rFonts w:hint="default" w:ascii="Times New Roman" w:hAnsi="Times New Roman" w:eastAsia="宋体" w:cs="Times New Roman"/>
                <w:b w:val="0"/>
                <w:bCs/>
                <w:color w:val="auto"/>
                <w:kern w:val="0"/>
                <w:sz w:val="24"/>
                <w:szCs w:val="24"/>
                <w:highlight w:val="none"/>
              </w:rPr>
              <w:t>风险</w:t>
            </w:r>
            <w:r>
              <w:rPr>
                <w:rFonts w:hint="eastAsia" w:cs="Times New Roman"/>
                <w:b w:val="0"/>
                <w:bCs/>
                <w:color w:val="auto"/>
                <w:kern w:val="0"/>
                <w:sz w:val="24"/>
                <w:szCs w:val="24"/>
                <w:highlight w:val="none"/>
                <w:lang w:val="en-US" w:eastAsia="zh-CN"/>
              </w:rPr>
              <w:t>调查</w:t>
            </w:r>
          </w:p>
          <w:p w14:paraId="4A191C15">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b w:val="0"/>
                <w:bCs w:val="0"/>
                <w:color w:val="auto"/>
                <w:sz w:val="24"/>
                <w:szCs w:val="22"/>
                <w:highlight w:val="none"/>
                <w:lang w:val="en-US" w:eastAsia="zh-CN"/>
              </w:rPr>
              <w:t>项目运营期涉及到化学</w:t>
            </w:r>
            <w:r>
              <w:rPr>
                <w:rFonts w:hint="eastAsia" w:cs="Times New Roman"/>
                <w:b w:val="0"/>
                <w:bCs w:val="0"/>
                <w:color w:val="auto"/>
                <w:sz w:val="24"/>
                <w:szCs w:val="22"/>
                <w:highlight w:val="none"/>
                <w:lang w:val="en-US" w:eastAsia="zh-CN"/>
              </w:rPr>
              <w:t>物料</w:t>
            </w:r>
            <w:r>
              <w:rPr>
                <w:rFonts w:hint="eastAsia" w:ascii="Times New Roman" w:hAnsi="Times New Roman" w:eastAsia="宋体" w:cs="Times New Roman"/>
                <w:b w:val="0"/>
                <w:bCs w:val="0"/>
                <w:color w:val="auto"/>
                <w:sz w:val="24"/>
                <w:szCs w:val="22"/>
                <w:highlight w:val="none"/>
                <w:lang w:val="en-US" w:eastAsia="zh-CN"/>
              </w:rPr>
              <w:t>为聚氨酯</w:t>
            </w:r>
            <w:r>
              <w:rPr>
                <w:rFonts w:hint="default" w:ascii="Times New Roman" w:hAnsi="Times New Roman" w:eastAsia="宋体" w:cs="Times New Roman"/>
                <w:b w:val="0"/>
                <w:bCs w:val="0"/>
                <w:color w:val="auto"/>
                <w:sz w:val="24"/>
                <w:szCs w:val="22"/>
                <w:highlight w:val="none"/>
                <w:lang w:val="en-US" w:eastAsia="zh-CN"/>
              </w:rPr>
              <w:t>A</w:t>
            </w:r>
            <w:r>
              <w:rPr>
                <w:rFonts w:hint="eastAsia" w:ascii="Times New Roman" w:hAnsi="Times New Roman" w:eastAsia="宋体" w:cs="Times New Roman"/>
                <w:b w:val="0"/>
                <w:bCs w:val="0"/>
                <w:color w:val="auto"/>
                <w:sz w:val="24"/>
                <w:szCs w:val="22"/>
                <w:highlight w:val="none"/>
                <w:lang w:val="en-US" w:eastAsia="zh-CN"/>
              </w:rPr>
              <w:t>料、</w:t>
            </w:r>
            <w:r>
              <w:rPr>
                <w:rFonts w:hint="default" w:ascii="Times New Roman" w:hAnsi="Times New Roman" w:eastAsia="宋体" w:cs="Times New Roman"/>
                <w:b w:val="0"/>
                <w:bCs w:val="0"/>
                <w:color w:val="auto"/>
                <w:sz w:val="24"/>
                <w:szCs w:val="22"/>
                <w:highlight w:val="none"/>
                <w:lang w:val="en-US" w:eastAsia="zh-CN"/>
              </w:rPr>
              <w:t>B</w:t>
            </w:r>
            <w:r>
              <w:rPr>
                <w:rFonts w:hint="eastAsia" w:ascii="Times New Roman" w:hAnsi="Times New Roman" w:eastAsia="宋体" w:cs="Times New Roman"/>
                <w:b w:val="0"/>
                <w:bCs w:val="0"/>
                <w:color w:val="auto"/>
                <w:sz w:val="24"/>
                <w:szCs w:val="22"/>
                <w:highlight w:val="none"/>
                <w:lang w:val="en-US" w:eastAsia="zh-CN"/>
              </w:rPr>
              <w:t>料、</w:t>
            </w:r>
            <w:r>
              <w:rPr>
                <w:rFonts w:hint="default" w:ascii="Times New Roman" w:hAnsi="Times New Roman" w:eastAsia="宋体" w:cs="Times New Roman"/>
                <w:b w:val="0"/>
                <w:bCs w:val="0"/>
                <w:color w:val="auto"/>
                <w:sz w:val="24"/>
                <w:szCs w:val="22"/>
                <w:highlight w:val="none"/>
                <w:lang w:val="en-US" w:eastAsia="zh-CN"/>
              </w:rPr>
              <w:t>C</w:t>
            </w:r>
            <w:r>
              <w:rPr>
                <w:rFonts w:hint="eastAsia" w:ascii="Times New Roman" w:hAnsi="Times New Roman" w:eastAsia="宋体" w:cs="Times New Roman"/>
                <w:b w:val="0"/>
                <w:bCs w:val="0"/>
                <w:color w:val="auto"/>
                <w:sz w:val="24"/>
                <w:szCs w:val="22"/>
                <w:highlight w:val="none"/>
                <w:lang w:val="en-US" w:eastAsia="zh-CN"/>
              </w:rPr>
              <w:t>料、硬化剂、</w:t>
            </w:r>
            <w:r>
              <w:rPr>
                <w:rFonts w:hint="eastAsia" w:cs="Times New Roman"/>
                <w:b w:val="0"/>
                <w:bCs w:val="0"/>
                <w:color w:val="auto"/>
                <w:sz w:val="24"/>
                <w:szCs w:val="22"/>
                <w:highlight w:val="none"/>
                <w:lang w:val="en-US" w:eastAsia="zh-CN"/>
              </w:rPr>
              <w:t>DOP、脱模剂等</w:t>
            </w:r>
            <w:r>
              <w:rPr>
                <w:rFonts w:hint="eastAsia" w:ascii="Times New Roman" w:hAnsi="Times New Roman" w:eastAsia="宋体" w:cs="Times New Roman"/>
                <w:b w:val="0"/>
                <w:bCs w:val="0"/>
                <w:color w:val="auto"/>
                <w:sz w:val="24"/>
                <w:szCs w:val="22"/>
                <w:highlight w:val="none"/>
                <w:lang w:val="en-US" w:eastAsia="zh-CN"/>
              </w:rPr>
              <w:t>。</w:t>
            </w:r>
            <w:r>
              <w:rPr>
                <w:rFonts w:hint="eastAsia" w:cs="Times New Roman"/>
                <w:b w:val="0"/>
                <w:bCs w:val="0"/>
                <w:color w:val="auto"/>
                <w:sz w:val="24"/>
                <w:szCs w:val="22"/>
                <w:highlight w:val="none"/>
                <w:lang w:val="en-US" w:eastAsia="zh-CN"/>
              </w:rPr>
              <w:t>根据</w:t>
            </w:r>
            <w:r>
              <w:rPr>
                <w:rFonts w:hint="eastAsia" w:ascii="Times New Roman" w:hAnsi="Times New Roman" w:eastAsia="宋体" w:cs="Times New Roman"/>
                <w:b w:val="0"/>
                <w:bCs w:val="0"/>
                <w:color w:val="auto"/>
                <w:sz w:val="24"/>
                <w:szCs w:val="22"/>
                <w:highlight w:val="none"/>
                <w:lang w:val="en-US" w:eastAsia="zh-CN"/>
              </w:rPr>
              <w:t>《建设项目环境风险评价技术导则》（</w:t>
            </w:r>
            <w:r>
              <w:rPr>
                <w:rFonts w:hint="default" w:ascii="Times New Roman" w:hAnsi="Times New Roman" w:eastAsia="宋体" w:cs="Times New Roman"/>
                <w:b w:val="0"/>
                <w:bCs w:val="0"/>
                <w:color w:val="auto"/>
                <w:sz w:val="24"/>
                <w:szCs w:val="22"/>
                <w:highlight w:val="none"/>
                <w:lang w:val="en-US" w:eastAsia="zh-CN"/>
              </w:rPr>
              <w:t>HJ169-2018</w:t>
            </w:r>
            <w:r>
              <w:rPr>
                <w:rFonts w:hint="eastAsia" w:ascii="Times New Roman" w:hAnsi="Times New Roman" w:eastAsia="宋体" w:cs="Times New Roman"/>
                <w:b w:val="0"/>
                <w:bCs w:val="0"/>
                <w:color w:val="auto"/>
                <w:sz w:val="24"/>
                <w:szCs w:val="22"/>
                <w:highlight w:val="none"/>
                <w:lang w:val="en-US" w:eastAsia="zh-CN"/>
              </w:rPr>
              <w:t>）附录</w:t>
            </w:r>
            <w:r>
              <w:rPr>
                <w:rFonts w:hint="default" w:ascii="Times New Roman" w:hAnsi="Times New Roman" w:eastAsia="宋体" w:cs="Times New Roman"/>
                <w:b w:val="0"/>
                <w:bCs w:val="0"/>
                <w:color w:val="auto"/>
                <w:sz w:val="24"/>
                <w:szCs w:val="22"/>
                <w:highlight w:val="none"/>
                <w:lang w:val="en-US" w:eastAsia="zh-CN"/>
              </w:rPr>
              <w:t>B</w:t>
            </w:r>
            <w:r>
              <w:rPr>
                <w:rFonts w:hint="eastAsia" w:ascii="Times New Roman" w:hAnsi="Times New Roman" w:eastAsia="宋体" w:cs="Times New Roman"/>
                <w:b w:val="0"/>
                <w:bCs w:val="0"/>
                <w:color w:val="auto"/>
                <w:sz w:val="24"/>
                <w:szCs w:val="22"/>
                <w:highlight w:val="none"/>
                <w:lang w:val="en-US" w:eastAsia="zh-CN"/>
              </w:rPr>
              <w:t>，项目涉及的主要环境风险物质为二苯甲烷二异氰酸酯、氨基甲酸酯改性二苯基甲烷二异氰酸酯、邻苯二甲酸二辛酯、</w:t>
            </w:r>
            <w:r>
              <w:rPr>
                <w:rFonts w:hint="eastAsia" w:cs="Times New Roman"/>
                <w:b w:val="0"/>
                <w:bCs w:val="0"/>
                <w:color w:val="auto"/>
                <w:sz w:val="24"/>
                <w:szCs w:val="22"/>
                <w:highlight w:val="none"/>
                <w:lang w:val="en-US" w:eastAsia="zh-CN"/>
              </w:rPr>
              <w:t>机油和天然气（甲烷），</w:t>
            </w:r>
            <w:r>
              <w:rPr>
                <w:rFonts w:hint="default" w:ascii="Times New Roman" w:hAnsi="Times New Roman" w:eastAsia="宋体" w:cs="Times New Roman"/>
                <w:color w:val="auto"/>
                <w:sz w:val="24"/>
                <w:szCs w:val="24"/>
                <w:highlight w:val="none"/>
              </w:rPr>
              <w:t>详见下表</w:t>
            </w:r>
            <w:r>
              <w:rPr>
                <w:rFonts w:hint="default" w:ascii="Times New Roman" w:hAnsi="Times New Roman" w:eastAsia="宋体" w:cs="Times New Roman"/>
                <w:color w:val="auto"/>
                <w:sz w:val="24"/>
                <w:szCs w:val="24"/>
                <w:highlight w:val="none"/>
                <w:lang w:eastAsia="zh-CN"/>
              </w:rPr>
              <w:t>：</w:t>
            </w:r>
          </w:p>
          <w:p w14:paraId="13580A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auto"/>
                <w:sz w:val="24"/>
                <w:szCs w:val="22"/>
                <w:highlight w:val="none"/>
                <w:lang w:eastAsia="zh-CN"/>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4-2</w:t>
            </w:r>
            <w:r>
              <w:rPr>
                <w:rFonts w:hint="eastAsia" w:cs="Times New Roman"/>
                <w:b/>
                <w:color w:val="auto"/>
                <w:szCs w:val="21"/>
                <w:highlight w:val="none"/>
                <w:lang w:val="en-US" w:eastAsia="zh-CN"/>
              </w:rPr>
              <w:t>0</w:t>
            </w:r>
            <w:r>
              <w:rPr>
                <w:rFonts w:hint="default" w:ascii="Times New Roman" w:hAnsi="Times New Roman" w:eastAsia="宋体" w:cs="Times New Roman"/>
                <w:b/>
                <w:color w:val="auto"/>
                <w:szCs w:val="21"/>
                <w:highlight w:val="none"/>
              </w:rPr>
              <w:t xml:space="preserve"> </w:t>
            </w:r>
            <w:r>
              <w:rPr>
                <w:rFonts w:hint="default"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rPr>
              <w:t>建设项目涉及的主要危险物质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209"/>
              <w:gridCol w:w="2497"/>
              <w:gridCol w:w="1225"/>
              <w:gridCol w:w="1867"/>
            </w:tblGrid>
            <w:tr w14:paraId="5A9D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tcBorders>
                    <w:tl2br w:val="nil"/>
                    <w:tr2bl w:val="nil"/>
                  </w:tcBorders>
                  <w:noWrap w:val="0"/>
                  <w:vAlign w:val="center"/>
                </w:tcPr>
                <w:p w14:paraId="0773B8E2">
                  <w:pPr>
                    <w:keepNext w:val="0"/>
                    <w:keepLines w:val="0"/>
                    <w:suppressLineNumbers w:val="0"/>
                    <w:spacing w:before="0" w:beforeAutospacing="0" w:after="0" w:afterAutospacing="0"/>
                    <w:ind w:left="0" w:right="0"/>
                    <w:jc w:val="center"/>
                    <w:rPr>
                      <w:rFonts w:hint="eastAsia" w:eastAsia="宋体"/>
                      <w:b/>
                      <w:color w:val="auto"/>
                      <w:sz w:val="21"/>
                      <w:szCs w:val="21"/>
                      <w:highlight w:val="none"/>
                      <w:lang w:val="en-US" w:eastAsia="zh-CN"/>
                    </w:rPr>
                  </w:pPr>
                  <w:r>
                    <w:rPr>
                      <w:rFonts w:hint="eastAsia"/>
                      <w:b/>
                      <w:color w:val="auto"/>
                      <w:sz w:val="21"/>
                      <w:szCs w:val="21"/>
                      <w:highlight w:val="none"/>
                      <w:lang w:val="en-US" w:eastAsia="zh-CN"/>
                    </w:rPr>
                    <w:t>序号</w:t>
                  </w:r>
                </w:p>
              </w:tc>
              <w:tc>
                <w:tcPr>
                  <w:tcW w:w="1309" w:type="pct"/>
                  <w:tcBorders>
                    <w:tl2br w:val="nil"/>
                    <w:tr2bl w:val="nil"/>
                  </w:tcBorders>
                  <w:noWrap w:val="0"/>
                  <w:vAlign w:val="center"/>
                </w:tcPr>
                <w:p w14:paraId="62869B00">
                  <w:pPr>
                    <w:keepNext w:val="0"/>
                    <w:keepLines w:val="0"/>
                    <w:suppressLineNumbers w:val="0"/>
                    <w:spacing w:before="0" w:beforeAutospacing="0" w:after="0" w:afterAutospacing="0"/>
                    <w:ind w:left="0" w:right="0"/>
                    <w:jc w:val="center"/>
                    <w:rPr>
                      <w:b/>
                      <w:color w:val="auto"/>
                      <w:sz w:val="21"/>
                      <w:szCs w:val="21"/>
                      <w:highlight w:val="none"/>
                    </w:rPr>
                  </w:pPr>
                  <w:r>
                    <w:rPr>
                      <w:b/>
                      <w:color w:val="auto"/>
                      <w:sz w:val="21"/>
                      <w:szCs w:val="21"/>
                      <w:highlight w:val="none"/>
                    </w:rPr>
                    <w:t>危险物质</w:t>
                  </w:r>
                </w:p>
              </w:tc>
              <w:tc>
                <w:tcPr>
                  <w:tcW w:w="1480" w:type="pct"/>
                  <w:tcBorders>
                    <w:tl2br w:val="nil"/>
                    <w:tr2bl w:val="nil"/>
                  </w:tcBorders>
                  <w:noWrap w:val="0"/>
                  <w:vAlign w:val="center"/>
                </w:tcPr>
                <w:p w14:paraId="2F4B4BE9">
                  <w:pPr>
                    <w:keepNext w:val="0"/>
                    <w:keepLines w:val="0"/>
                    <w:suppressLineNumbers w:val="0"/>
                    <w:spacing w:before="0" w:beforeAutospacing="0" w:after="0" w:afterAutospacing="0"/>
                    <w:ind w:left="0" w:right="0"/>
                    <w:jc w:val="center"/>
                    <w:rPr>
                      <w:b/>
                      <w:color w:val="auto"/>
                      <w:sz w:val="21"/>
                      <w:szCs w:val="21"/>
                      <w:highlight w:val="none"/>
                    </w:rPr>
                  </w:pPr>
                  <w:r>
                    <w:rPr>
                      <w:b/>
                      <w:color w:val="auto"/>
                      <w:sz w:val="21"/>
                      <w:szCs w:val="21"/>
                      <w:highlight w:val="none"/>
                    </w:rPr>
                    <w:t>最大存储</w:t>
                  </w:r>
                  <w:r>
                    <w:rPr>
                      <w:rFonts w:hint="eastAsia"/>
                      <w:b/>
                      <w:color w:val="auto"/>
                      <w:sz w:val="21"/>
                      <w:szCs w:val="21"/>
                      <w:highlight w:val="none"/>
                      <w:lang w:val="en-US" w:eastAsia="zh-CN"/>
                    </w:rPr>
                    <w:t>/在线</w:t>
                  </w:r>
                  <w:r>
                    <w:rPr>
                      <w:b/>
                      <w:color w:val="auto"/>
                      <w:sz w:val="21"/>
                      <w:szCs w:val="21"/>
                      <w:highlight w:val="none"/>
                    </w:rPr>
                    <w:t>量（t）</w:t>
                  </w:r>
                </w:p>
              </w:tc>
              <w:tc>
                <w:tcPr>
                  <w:tcW w:w="726" w:type="pct"/>
                  <w:tcBorders>
                    <w:tl2br w:val="nil"/>
                    <w:tr2bl w:val="nil"/>
                  </w:tcBorders>
                  <w:noWrap w:val="0"/>
                  <w:vAlign w:val="center"/>
                </w:tcPr>
                <w:p w14:paraId="1383A23C">
                  <w:pPr>
                    <w:keepNext w:val="0"/>
                    <w:keepLines w:val="0"/>
                    <w:suppressLineNumbers w:val="0"/>
                    <w:spacing w:before="0" w:beforeAutospacing="0" w:after="0" w:afterAutospacing="0"/>
                    <w:ind w:left="0" w:right="0"/>
                    <w:jc w:val="center"/>
                    <w:rPr>
                      <w:rFonts w:hint="default" w:eastAsia="宋体"/>
                      <w:b/>
                      <w:color w:val="auto"/>
                      <w:sz w:val="21"/>
                      <w:szCs w:val="21"/>
                      <w:highlight w:val="none"/>
                      <w:lang w:val="en-US" w:eastAsia="zh-CN"/>
                    </w:rPr>
                  </w:pPr>
                  <w:r>
                    <w:rPr>
                      <w:rFonts w:hint="eastAsia"/>
                      <w:b/>
                      <w:color w:val="auto"/>
                      <w:sz w:val="21"/>
                      <w:szCs w:val="21"/>
                      <w:highlight w:val="none"/>
                      <w:lang w:val="en-US" w:eastAsia="zh-CN"/>
                    </w:rPr>
                    <w:t>CAS号</w:t>
                  </w:r>
                </w:p>
              </w:tc>
              <w:tc>
                <w:tcPr>
                  <w:tcW w:w="1106" w:type="pct"/>
                  <w:tcBorders>
                    <w:tl2br w:val="nil"/>
                    <w:tr2bl w:val="nil"/>
                  </w:tcBorders>
                  <w:noWrap w:val="0"/>
                  <w:vAlign w:val="center"/>
                </w:tcPr>
                <w:p w14:paraId="14BC461E">
                  <w:pPr>
                    <w:keepNext w:val="0"/>
                    <w:keepLines w:val="0"/>
                    <w:suppressLineNumbers w:val="0"/>
                    <w:spacing w:before="0" w:beforeAutospacing="0" w:after="0" w:afterAutospacing="0"/>
                    <w:ind w:left="0" w:right="0"/>
                    <w:jc w:val="center"/>
                    <w:rPr>
                      <w:b/>
                      <w:color w:val="auto"/>
                      <w:sz w:val="21"/>
                      <w:szCs w:val="21"/>
                      <w:highlight w:val="none"/>
                    </w:rPr>
                  </w:pPr>
                  <w:r>
                    <w:rPr>
                      <w:b/>
                      <w:color w:val="auto"/>
                      <w:sz w:val="21"/>
                      <w:szCs w:val="21"/>
                      <w:highlight w:val="none"/>
                    </w:rPr>
                    <w:t>贮存位置</w:t>
                  </w:r>
                </w:p>
              </w:tc>
            </w:tr>
            <w:tr w14:paraId="48DC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tcBorders>
                    <w:tl2br w:val="nil"/>
                    <w:tr2bl w:val="nil"/>
                  </w:tcBorders>
                  <w:noWrap w:val="0"/>
                  <w:vAlign w:val="center"/>
                </w:tcPr>
                <w:p w14:paraId="7CFC1EF8">
                  <w:pPr>
                    <w:keepNext w:val="0"/>
                    <w:keepLines w:val="0"/>
                    <w:suppressLineNumbers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309" w:type="pct"/>
                  <w:tcBorders>
                    <w:tl2br w:val="nil"/>
                    <w:tr2bl w:val="nil"/>
                  </w:tcBorders>
                  <w:noWrap w:val="0"/>
                  <w:vAlign w:val="center"/>
                </w:tcPr>
                <w:p w14:paraId="73E2E871">
                  <w:pPr>
                    <w:keepNext w:val="0"/>
                    <w:keepLines w:val="0"/>
                    <w:widowControl/>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二苯甲烷二异氰酸酯</w:t>
                  </w:r>
                </w:p>
              </w:tc>
              <w:tc>
                <w:tcPr>
                  <w:tcW w:w="1480" w:type="pct"/>
                  <w:vMerge w:val="restart"/>
                  <w:tcBorders>
                    <w:tl2br w:val="nil"/>
                    <w:tr2bl w:val="nil"/>
                  </w:tcBorders>
                  <w:noWrap w:val="0"/>
                  <w:vAlign w:val="center"/>
                </w:tcPr>
                <w:p w14:paraId="54188E9C">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3.6</w:t>
                  </w:r>
                </w:p>
              </w:tc>
              <w:tc>
                <w:tcPr>
                  <w:tcW w:w="726" w:type="pct"/>
                  <w:vMerge w:val="restart"/>
                  <w:tcBorders>
                    <w:tl2br w:val="nil"/>
                    <w:tr2bl w:val="nil"/>
                  </w:tcBorders>
                  <w:noWrap w:val="0"/>
                  <w:vAlign w:val="center"/>
                </w:tcPr>
                <w:p w14:paraId="50257791">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101-68-8</w:t>
                  </w:r>
                </w:p>
              </w:tc>
              <w:tc>
                <w:tcPr>
                  <w:tcW w:w="1106" w:type="pct"/>
                  <w:vMerge w:val="restart"/>
                  <w:tcBorders>
                    <w:tl2br w:val="nil"/>
                    <w:tr2bl w:val="nil"/>
                  </w:tcBorders>
                  <w:noWrap w:val="0"/>
                  <w:vAlign w:val="center"/>
                </w:tcPr>
                <w:p w14:paraId="728A11E3">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化学品库、拌料间、注塑机和浇注机</w:t>
                  </w:r>
                </w:p>
              </w:tc>
            </w:tr>
            <w:tr w14:paraId="7F70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tcBorders>
                    <w:tl2br w:val="nil"/>
                    <w:tr2bl w:val="nil"/>
                  </w:tcBorders>
                  <w:noWrap w:val="0"/>
                  <w:vAlign w:val="center"/>
                </w:tcPr>
                <w:p w14:paraId="19B8523B">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1309" w:type="pct"/>
                  <w:tcBorders>
                    <w:tl2br w:val="nil"/>
                    <w:tr2bl w:val="nil"/>
                  </w:tcBorders>
                  <w:noWrap w:val="0"/>
                  <w:vAlign w:val="center"/>
                </w:tcPr>
                <w:p w14:paraId="1333280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氨基甲酸酯改性二苯基甲烷二异氰酸酯</w:t>
                  </w:r>
                </w:p>
              </w:tc>
              <w:tc>
                <w:tcPr>
                  <w:tcW w:w="1480" w:type="pct"/>
                  <w:vMerge w:val="continue"/>
                  <w:tcBorders>
                    <w:tl2br w:val="nil"/>
                    <w:tr2bl w:val="nil"/>
                  </w:tcBorders>
                  <w:noWrap w:val="0"/>
                  <w:vAlign w:val="center"/>
                </w:tcPr>
                <w:p w14:paraId="34918318">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p>
              </w:tc>
              <w:tc>
                <w:tcPr>
                  <w:tcW w:w="726" w:type="pct"/>
                  <w:vMerge w:val="continue"/>
                  <w:tcBorders>
                    <w:tl2br w:val="nil"/>
                    <w:tr2bl w:val="nil"/>
                  </w:tcBorders>
                  <w:noWrap w:val="0"/>
                  <w:vAlign w:val="center"/>
                </w:tcPr>
                <w:p w14:paraId="1106AB62">
                  <w:pPr>
                    <w:keepNext w:val="0"/>
                    <w:keepLines w:val="0"/>
                    <w:suppressLineNumbers w:val="0"/>
                    <w:adjustRightInd w:val="0"/>
                    <w:snapToGrid w:val="0"/>
                    <w:spacing w:before="0" w:beforeAutospacing="0" w:after="0" w:afterAutospacing="0"/>
                    <w:ind w:left="0" w:right="0"/>
                    <w:jc w:val="center"/>
                    <w:rPr>
                      <w:rFonts w:hint="eastAsia"/>
                      <w:color w:val="auto"/>
                      <w:sz w:val="21"/>
                      <w:szCs w:val="21"/>
                      <w:highlight w:val="none"/>
                      <w:lang w:val="en-US" w:eastAsia="zh-CN"/>
                    </w:rPr>
                  </w:pPr>
                </w:p>
              </w:tc>
              <w:tc>
                <w:tcPr>
                  <w:tcW w:w="1106" w:type="pct"/>
                  <w:vMerge w:val="continue"/>
                  <w:tcBorders>
                    <w:tl2br w:val="nil"/>
                    <w:tr2bl w:val="nil"/>
                  </w:tcBorders>
                  <w:noWrap w:val="0"/>
                  <w:vAlign w:val="center"/>
                </w:tcPr>
                <w:p w14:paraId="0C28378A">
                  <w:pPr>
                    <w:keepNext w:val="0"/>
                    <w:keepLines w:val="0"/>
                    <w:suppressLineNumbers w:val="0"/>
                    <w:spacing w:before="0" w:beforeAutospacing="0" w:after="0" w:afterAutospacing="0"/>
                    <w:ind w:left="0" w:right="0"/>
                    <w:jc w:val="center"/>
                    <w:rPr>
                      <w:rFonts w:hint="eastAsia" w:eastAsia="宋体"/>
                      <w:color w:val="auto"/>
                      <w:sz w:val="21"/>
                      <w:szCs w:val="21"/>
                      <w:highlight w:val="none"/>
                      <w:lang w:eastAsia="zh-CN"/>
                    </w:rPr>
                  </w:pPr>
                </w:p>
              </w:tc>
            </w:tr>
            <w:tr w14:paraId="7451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tcBorders>
                    <w:tl2br w:val="nil"/>
                    <w:tr2bl w:val="nil"/>
                  </w:tcBorders>
                  <w:noWrap w:val="0"/>
                  <w:vAlign w:val="center"/>
                </w:tcPr>
                <w:p w14:paraId="5A66054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3</w:t>
                  </w:r>
                </w:p>
              </w:tc>
              <w:tc>
                <w:tcPr>
                  <w:tcW w:w="1309" w:type="pct"/>
                  <w:tcBorders>
                    <w:tl2br w:val="nil"/>
                    <w:tr2bl w:val="nil"/>
                  </w:tcBorders>
                  <w:noWrap w:val="0"/>
                  <w:vAlign w:val="center"/>
                </w:tcPr>
                <w:p w14:paraId="1FB5045F">
                  <w:pPr>
                    <w:keepNext w:val="0"/>
                    <w:keepLines w:val="0"/>
                    <w:widowControl/>
                    <w:suppressLineNumbers w:val="0"/>
                    <w:spacing w:before="0" w:beforeAutospacing="0" w:after="0" w:afterAutospacing="0"/>
                    <w:ind w:left="0" w:right="0"/>
                    <w:jc w:val="center"/>
                    <w:rPr>
                      <w:rFonts w:hint="eastAsia" w:cs="Times New Roman"/>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邻苯二甲酸二辛酯</w:t>
                  </w:r>
                </w:p>
              </w:tc>
              <w:tc>
                <w:tcPr>
                  <w:tcW w:w="1480" w:type="pct"/>
                  <w:tcBorders>
                    <w:tl2br w:val="nil"/>
                    <w:tr2bl w:val="nil"/>
                  </w:tcBorders>
                  <w:noWrap w:val="0"/>
                  <w:vAlign w:val="center"/>
                </w:tcPr>
                <w:p w14:paraId="6E218724">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3.2</w:t>
                  </w:r>
                </w:p>
              </w:tc>
              <w:tc>
                <w:tcPr>
                  <w:tcW w:w="726" w:type="pct"/>
                  <w:tcBorders>
                    <w:tl2br w:val="nil"/>
                    <w:tr2bl w:val="nil"/>
                  </w:tcBorders>
                  <w:noWrap w:val="0"/>
                  <w:vAlign w:val="center"/>
                </w:tcPr>
                <w:p w14:paraId="488C5AD7">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117-84-0</w:t>
                  </w:r>
                </w:p>
              </w:tc>
              <w:tc>
                <w:tcPr>
                  <w:tcW w:w="1106" w:type="pct"/>
                  <w:vMerge w:val="continue"/>
                  <w:tcBorders>
                    <w:tl2br w:val="nil"/>
                    <w:tr2bl w:val="nil"/>
                  </w:tcBorders>
                  <w:noWrap w:val="0"/>
                  <w:vAlign w:val="center"/>
                </w:tcPr>
                <w:p w14:paraId="53C3208C">
                  <w:pPr>
                    <w:keepNext w:val="0"/>
                    <w:keepLines w:val="0"/>
                    <w:suppressLineNumbers w:val="0"/>
                    <w:spacing w:before="0" w:beforeAutospacing="0" w:after="0" w:afterAutospacing="0"/>
                    <w:ind w:left="0" w:right="0"/>
                    <w:jc w:val="center"/>
                    <w:rPr>
                      <w:rFonts w:hint="eastAsia" w:eastAsia="宋体"/>
                      <w:color w:val="auto"/>
                      <w:sz w:val="21"/>
                      <w:szCs w:val="21"/>
                      <w:highlight w:val="none"/>
                      <w:lang w:eastAsia="zh-CN"/>
                    </w:rPr>
                  </w:pPr>
                </w:p>
              </w:tc>
            </w:tr>
            <w:tr w14:paraId="7FCE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tcBorders>
                    <w:tl2br w:val="nil"/>
                    <w:tr2bl w:val="nil"/>
                  </w:tcBorders>
                  <w:noWrap w:val="0"/>
                  <w:vAlign w:val="center"/>
                </w:tcPr>
                <w:p w14:paraId="74ADFD69">
                  <w:pPr>
                    <w:keepNext w:val="0"/>
                    <w:keepLines w:val="0"/>
                    <w:suppressLineNumbers w:val="0"/>
                    <w:spacing w:before="0" w:beforeAutospacing="0" w:after="0" w:afterAutospacing="0"/>
                    <w:ind w:left="0" w:right="0"/>
                    <w:jc w:val="center"/>
                    <w:rPr>
                      <w:rFonts w:hint="default"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4</w:t>
                  </w:r>
                </w:p>
              </w:tc>
              <w:tc>
                <w:tcPr>
                  <w:tcW w:w="1309" w:type="pct"/>
                  <w:tcBorders>
                    <w:tl2br w:val="nil"/>
                    <w:tr2bl w:val="nil"/>
                  </w:tcBorders>
                  <w:noWrap w:val="0"/>
                  <w:vAlign w:val="center"/>
                </w:tcPr>
                <w:p w14:paraId="771EBBC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三乙烯二胺</w:t>
                  </w:r>
                </w:p>
              </w:tc>
              <w:tc>
                <w:tcPr>
                  <w:tcW w:w="1480" w:type="pct"/>
                  <w:tcBorders>
                    <w:tl2br w:val="nil"/>
                    <w:tr2bl w:val="nil"/>
                  </w:tcBorders>
                  <w:noWrap w:val="0"/>
                  <w:vAlign w:val="center"/>
                </w:tcPr>
                <w:p w14:paraId="443825C8">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0.36*35%</w:t>
                  </w:r>
                </w:p>
              </w:tc>
              <w:tc>
                <w:tcPr>
                  <w:tcW w:w="726" w:type="pct"/>
                  <w:tcBorders>
                    <w:tl2br w:val="nil"/>
                    <w:tr2bl w:val="nil"/>
                  </w:tcBorders>
                  <w:noWrap w:val="0"/>
                  <w:vAlign w:val="center"/>
                </w:tcPr>
                <w:p w14:paraId="236DD6F1">
                  <w:pPr>
                    <w:keepNext w:val="0"/>
                    <w:keepLines w:val="0"/>
                    <w:suppressLineNumbers w:val="0"/>
                    <w:adjustRightInd w:val="0"/>
                    <w:snapToGrid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280-57-9</w:t>
                  </w:r>
                </w:p>
              </w:tc>
              <w:tc>
                <w:tcPr>
                  <w:tcW w:w="1106" w:type="pct"/>
                  <w:vMerge w:val="continue"/>
                  <w:tcBorders>
                    <w:tl2br w:val="nil"/>
                    <w:tr2bl w:val="nil"/>
                  </w:tcBorders>
                  <w:noWrap w:val="0"/>
                  <w:vAlign w:val="center"/>
                </w:tcPr>
                <w:p w14:paraId="4C174D2D">
                  <w:pPr>
                    <w:keepNext w:val="0"/>
                    <w:keepLines w:val="0"/>
                    <w:suppressLineNumbers w:val="0"/>
                    <w:spacing w:before="0" w:beforeAutospacing="0" w:after="0" w:afterAutospacing="0"/>
                    <w:ind w:left="0" w:right="0"/>
                    <w:jc w:val="center"/>
                    <w:rPr>
                      <w:rFonts w:hint="eastAsia" w:eastAsia="宋体"/>
                      <w:color w:val="auto"/>
                      <w:sz w:val="21"/>
                      <w:szCs w:val="21"/>
                      <w:highlight w:val="none"/>
                      <w:lang w:eastAsia="zh-CN"/>
                    </w:rPr>
                  </w:pPr>
                </w:p>
              </w:tc>
            </w:tr>
            <w:tr w14:paraId="0C00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tcBorders>
                    <w:tl2br w:val="nil"/>
                    <w:tr2bl w:val="nil"/>
                  </w:tcBorders>
                  <w:shd w:val="clear" w:color="auto" w:fill="auto"/>
                  <w:noWrap w:val="0"/>
                  <w:vAlign w:val="center"/>
                </w:tcPr>
                <w:p w14:paraId="28BF3A3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5</w:t>
                  </w:r>
                </w:p>
              </w:tc>
              <w:tc>
                <w:tcPr>
                  <w:tcW w:w="1309" w:type="pct"/>
                  <w:tcBorders>
                    <w:tl2br w:val="nil"/>
                    <w:tr2bl w:val="nil"/>
                  </w:tcBorders>
                  <w:noWrap w:val="0"/>
                  <w:vAlign w:val="center"/>
                </w:tcPr>
                <w:p w14:paraId="3BDAFEFA">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机油</w:t>
                  </w:r>
                </w:p>
              </w:tc>
              <w:tc>
                <w:tcPr>
                  <w:tcW w:w="1480" w:type="pct"/>
                  <w:tcBorders>
                    <w:tl2br w:val="nil"/>
                    <w:tr2bl w:val="nil"/>
                  </w:tcBorders>
                  <w:noWrap w:val="0"/>
                  <w:vAlign w:val="center"/>
                </w:tcPr>
                <w:p w14:paraId="4DF4512A">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0.05</w:t>
                  </w:r>
                </w:p>
              </w:tc>
              <w:tc>
                <w:tcPr>
                  <w:tcW w:w="726" w:type="pct"/>
                  <w:tcBorders>
                    <w:tl2br w:val="nil"/>
                    <w:tr2bl w:val="nil"/>
                  </w:tcBorders>
                  <w:noWrap w:val="0"/>
                  <w:vAlign w:val="center"/>
                </w:tcPr>
                <w:p w14:paraId="118AB844">
                  <w:pPr>
                    <w:keepNext w:val="0"/>
                    <w:keepLines w:val="0"/>
                    <w:suppressLineNumbers w:val="0"/>
                    <w:adjustRightInd w:val="0"/>
                    <w:snapToGrid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106" w:type="pct"/>
                  <w:tcBorders>
                    <w:tl2br w:val="nil"/>
                    <w:tr2bl w:val="nil"/>
                  </w:tcBorders>
                  <w:noWrap w:val="0"/>
                  <w:vAlign w:val="center"/>
                </w:tcPr>
                <w:p w14:paraId="4E049F59">
                  <w:pPr>
                    <w:keepNext w:val="0"/>
                    <w:keepLines w:val="0"/>
                    <w:suppressLineNumbers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化学品库</w:t>
                  </w:r>
                </w:p>
              </w:tc>
            </w:tr>
            <w:tr w14:paraId="09B2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tcBorders>
                    <w:tl2br w:val="nil"/>
                    <w:tr2bl w:val="nil"/>
                  </w:tcBorders>
                  <w:shd w:val="clear" w:color="auto" w:fill="auto"/>
                  <w:noWrap w:val="0"/>
                  <w:vAlign w:val="center"/>
                </w:tcPr>
                <w:p w14:paraId="4CFBD6D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6</w:t>
                  </w:r>
                </w:p>
              </w:tc>
              <w:tc>
                <w:tcPr>
                  <w:tcW w:w="1309" w:type="pct"/>
                  <w:tcBorders>
                    <w:tl2br w:val="nil"/>
                    <w:tr2bl w:val="nil"/>
                  </w:tcBorders>
                  <w:noWrap w:val="0"/>
                  <w:vAlign w:val="center"/>
                </w:tcPr>
                <w:p w14:paraId="10276DC9">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废机油</w:t>
                  </w:r>
                </w:p>
              </w:tc>
              <w:tc>
                <w:tcPr>
                  <w:tcW w:w="1480" w:type="pct"/>
                  <w:tcBorders>
                    <w:tl2br w:val="nil"/>
                    <w:tr2bl w:val="nil"/>
                  </w:tcBorders>
                  <w:noWrap w:val="0"/>
                  <w:vAlign w:val="center"/>
                </w:tcPr>
                <w:p w14:paraId="45751A29">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0.05</w:t>
                  </w:r>
                </w:p>
              </w:tc>
              <w:tc>
                <w:tcPr>
                  <w:tcW w:w="726" w:type="pct"/>
                  <w:tcBorders>
                    <w:tl2br w:val="nil"/>
                    <w:tr2bl w:val="nil"/>
                  </w:tcBorders>
                  <w:noWrap w:val="0"/>
                  <w:vAlign w:val="center"/>
                </w:tcPr>
                <w:p w14:paraId="49DBBF91">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106" w:type="pct"/>
                  <w:tcBorders>
                    <w:tl2br w:val="nil"/>
                    <w:tr2bl w:val="nil"/>
                  </w:tcBorders>
                  <w:noWrap w:val="0"/>
                  <w:vAlign w:val="center"/>
                </w:tcPr>
                <w:p w14:paraId="05DA18A4">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危废暂存库</w:t>
                  </w:r>
                </w:p>
              </w:tc>
            </w:tr>
            <w:tr w14:paraId="6D1B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tcBorders>
                    <w:tl2br w:val="nil"/>
                    <w:tr2bl w:val="nil"/>
                  </w:tcBorders>
                  <w:shd w:val="clear" w:color="auto" w:fill="auto"/>
                  <w:noWrap w:val="0"/>
                  <w:vAlign w:val="center"/>
                </w:tcPr>
                <w:p w14:paraId="146AA07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7</w:t>
                  </w:r>
                </w:p>
              </w:tc>
              <w:tc>
                <w:tcPr>
                  <w:tcW w:w="1309" w:type="pct"/>
                  <w:tcBorders>
                    <w:tl2br w:val="nil"/>
                    <w:tr2bl w:val="nil"/>
                  </w:tcBorders>
                  <w:noWrap w:val="0"/>
                  <w:vAlign w:val="center"/>
                </w:tcPr>
                <w:p w14:paraId="382AC2A9">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甲烷</w:t>
                  </w:r>
                </w:p>
              </w:tc>
              <w:tc>
                <w:tcPr>
                  <w:tcW w:w="1480" w:type="pct"/>
                  <w:tcBorders>
                    <w:tl2br w:val="nil"/>
                    <w:tr2bl w:val="nil"/>
                  </w:tcBorders>
                  <w:noWrap w:val="0"/>
                  <w:vAlign w:val="center"/>
                </w:tcPr>
                <w:p w14:paraId="00DCBAF8">
                  <w:pPr>
                    <w:keepNext w:val="0"/>
                    <w:keepLines w:val="0"/>
                    <w:suppressLineNumbers w:val="0"/>
                    <w:adjustRightInd w:val="0"/>
                    <w:snapToGrid w:val="0"/>
                    <w:spacing w:before="0" w:beforeAutospacing="0" w:after="0" w:afterAutospacing="0"/>
                    <w:ind w:left="0" w:right="0"/>
                    <w:jc w:val="center"/>
                    <w:rPr>
                      <w:rFonts w:hint="default"/>
                      <w:color w:val="auto"/>
                      <w:szCs w:val="22"/>
                      <w:highlight w:val="none"/>
                      <w:lang w:val="en-US" w:eastAsia="zh-CN"/>
                    </w:rPr>
                  </w:pPr>
                  <w:r>
                    <w:rPr>
                      <w:rFonts w:hint="eastAsia"/>
                      <w:color w:val="auto"/>
                      <w:sz w:val="21"/>
                      <w:szCs w:val="21"/>
                      <w:highlight w:val="none"/>
                      <w:lang w:val="en-US" w:eastAsia="zh-CN"/>
                    </w:rPr>
                    <w:t>0.00024</w:t>
                  </w:r>
                </w:p>
              </w:tc>
              <w:tc>
                <w:tcPr>
                  <w:tcW w:w="726" w:type="pct"/>
                  <w:tcBorders>
                    <w:tl2br w:val="nil"/>
                    <w:tr2bl w:val="nil"/>
                  </w:tcBorders>
                  <w:noWrap w:val="0"/>
                  <w:vAlign w:val="center"/>
                </w:tcPr>
                <w:p w14:paraId="51B3F2C4">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74-82-8</w:t>
                  </w:r>
                </w:p>
              </w:tc>
              <w:tc>
                <w:tcPr>
                  <w:tcW w:w="1106" w:type="pct"/>
                  <w:tcBorders>
                    <w:tl2br w:val="nil"/>
                    <w:tr2bl w:val="nil"/>
                  </w:tcBorders>
                  <w:noWrap w:val="0"/>
                  <w:vAlign w:val="center"/>
                </w:tcPr>
                <w:p w14:paraId="117BCB73">
                  <w:pPr>
                    <w:keepNext w:val="0"/>
                    <w:keepLines w:val="0"/>
                    <w:suppressLineNumbers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燃气管道</w:t>
                  </w:r>
                </w:p>
              </w:tc>
            </w:tr>
          </w:tbl>
          <w:p w14:paraId="5287B78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lang w:val="en-US" w:eastAsia="zh-CN" w:bidi="ar"/>
              </w:rPr>
            </w:pPr>
            <w:r>
              <w:rPr>
                <w:rFonts w:hint="eastAsia"/>
                <w:color w:val="auto"/>
                <w:sz w:val="21"/>
                <w:szCs w:val="21"/>
                <w:highlight w:val="none"/>
                <w:lang w:val="en-US" w:eastAsia="zh-CN"/>
              </w:rPr>
              <w:t>注：（1）DOP和聚氨酯原液</w:t>
            </w:r>
            <w:r>
              <w:rPr>
                <w:rFonts w:hint="eastAsia" w:ascii="Times New Roman" w:hAnsi="Times New Roman" w:eastAsia="宋体" w:cs="Times New Roman"/>
                <w:b w:val="0"/>
                <w:bCs w:val="0"/>
                <w:color w:val="auto"/>
                <w:kern w:val="0"/>
                <w:sz w:val="21"/>
                <w:szCs w:val="21"/>
                <w:highlight w:val="none"/>
                <w:lang w:val="en-US" w:eastAsia="zh-CN" w:bidi="ar-SA"/>
              </w:rPr>
              <w:t>均为桶装，最大在线量按化学品库一次最大贮存量计算</w:t>
            </w:r>
            <w:r>
              <w:rPr>
                <w:rFonts w:hint="eastAsia" w:cs="Times New Roman"/>
                <w:b w:val="0"/>
                <w:bCs w:val="0"/>
                <w:color w:val="auto"/>
                <w:kern w:val="0"/>
                <w:sz w:val="21"/>
                <w:szCs w:val="21"/>
                <w:highlight w:val="none"/>
                <w:lang w:val="en-US" w:eastAsia="zh-CN" w:bidi="ar-SA"/>
              </w:rPr>
              <w:t>；</w:t>
            </w:r>
            <w:r>
              <w:rPr>
                <w:rFonts w:hint="eastAsia" w:cs="Times New Roman"/>
                <w:b w:val="0"/>
                <w:bCs/>
                <w:color w:val="auto"/>
                <w:sz w:val="21"/>
                <w:szCs w:val="21"/>
                <w:highlight w:val="none"/>
                <w:lang w:val="en-US" w:eastAsia="zh-CN"/>
              </w:rPr>
              <w:t>生活燃气管道内径50mm，厂区内燃气管道长度约170m，则厂区内食堂所用天然气在线量约0.334m</w:t>
            </w:r>
            <w:r>
              <w:rPr>
                <w:rFonts w:hint="eastAsia" w:cs="Times New Roman"/>
                <w:b w:val="0"/>
                <w:bCs/>
                <w:color w:val="auto"/>
                <w:sz w:val="21"/>
                <w:szCs w:val="21"/>
                <w:highlight w:val="none"/>
                <w:vertAlign w:val="superscript"/>
                <w:lang w:val="en-US" w:eastAsia="zh-CN"/>
              </w:rPr>
              <w:t>3</w:t>
            </w:r>
            <w:r>
              <w:rPr>
                <w:rFonts w:hint="eastAsia" w:cs="Times New Roman"/>
                <w:b w:val="0"/>
                <w:bCs/>
                <w:color w:val="auto"/>
                <w:sz w:val="21"/>
                <w:szCs w:val="21"/>
                <w:highlight w:val="none"/>
                <w:vertAlign w:val="baseline"/>
                <w:lang w:val="en-US" w:eastAsia="zh-CN"/>
              </w:rPr>
              <w:t>，天然气密度按计0.717kg/m</w:t>
            </w:r>
            <w:r>
              <w:rPr>
                <w:rFonts w:hint="eastAsia" w:cs="Times New Roman"/>
                <w:b w:val="0"/>
                <w:bCs/>
                <w:color w:val="auto"/>
                <w:sz w:val="21"/>
                <w:szCs w:val="21"/>
                <w:highlight w:val="none"/>
                <w:vertAlign w:val="superscript"/>
                <w:lang w:val="en-US" w:eastAsia="zh-CN"/>
              </w:rPr>
              <w:t>3</w:t>
            </w:r>
            <w:r>
              <w:rPr>
                <w:rFonts w:hint="eastAsia" w:ascii="宋体" w:hAnsi="宋体" w:eastAsia="宋体" w:cs="宋体"/>
                <w:color w:val="auto"/>
                <w:kern w:val="0"/>
                <w:sz w:val="21"/>
                <w:szCs w:val="21"/>
                <w:highlight w:val="none"/>
                <w:lang w:val="en-US" w:eastAsia="zh-CN" w:bidi="ar"/>
              </w:rPr>
              <w:t>。</w:t>
            </w:r>
          </w:p>
          <w:p w14:paraId="2708C5DB">
            <w:pPr>
              <w:pStyle w:val="5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157" w:beforeLines="50" w:beforeAutospacing="0" w:after="0" w:afterLines="0" w:afterAutospacing="0" w:line="360" w:lineRule="auto"/>
              <w:ind w:left="0" w:leftChars="0" w:right="0" w:firstLine="480" w:firstLineChars="200"/>
              <w:jc w:val="both"/>
              <w:textAlignment w:val="auto"/>
              <w:rPr>
                <w:b w:val="0"/>
                <w:bCs w:val="0"/>
                <w:color w:val="auto"/>
                <w:sz w:val="24"/>
                <w:highlight w:val="none"/>
              </w:rPr>
            </w:pPr>
            <w:r>
              <w:rPr>
                <w:rFonts w:hint="eastAsia" w:ascii="Times New Roman" w:hAnsi="Times New Roman" w:eastAsia="宋体" w:cs="Times New Roman"/>
                <w:b w:val="0"/>
                <w:bCs w:val="0"/>
                <w:color w:val="auto"/>
                <w:kern w:val="0"/>
                <w:sz w:val="24"/>
                <w:szCs w:val="24"/>
                <w:highlight w:val="none"/>
                <w:lang w:val="en-US" w:eastAsia="zh-CN" w:bidi="ar"/>
              </w:rPr>
              <w:t>二、</w:t>
            </w:r>
            <w:r>
              <w:rPr>
                <w:rFonts w:hint="default" w:ascii="Times New Roman" w:hAnsi="Times New Roman" w:eastAsia="宋体" w:cs="Times New Roman"/>
                <w:b w:val="0"/>
                <w:bCs w:val="0"/>
                <w:color w:val="auto"/>
                <w:kern w:val="0"/>
                <w:sz w:val="24"/>
                <w:szCs w:val="24"/>
                <w:highlight w:val="none"/>
                <w:lang w:val="en-US" w:eastAsia="zh-CN" w:bidi="ar"/>
              </w:rPr>
              <w:t>环境风险潜势判定</w:t>
            </w:r>
          </w:p>
          <w:p w14:paraId="40E5074E">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color w:val="auto"/>
                <w:sz w:val="24"/>
                <w:szCs w:val="22"/>
                <w:highlight w:val="none"/>
              </w:rPr>
            </w:pPr>
            <w:r>
              <w:rPr>
                <w:color w:val="auto"/>
                <w:sz w:val="24"/>
                <w:szCs w:val="22"/>
                <w:highlight w:val="none"/>
              </w:rPr>
              <w:t>根据《建设项目环境风险评价技术导则》（HJ 169-2018），建设项目环境风险潜势划分为I、II、III、IV/IV*级，且当危险物质数量与临界量的比值Q＜1时，环境风险潜势为I。</w:t>
            </w:r>
          </w:p>
          <w:p w14:paraId="4DB0736B">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color w:val="auto"/>
                <w:sz w:val="24"/>
                <w:szCs w:val="22"/>
                <w:highlight w:val="none"/>
              </w:rPr>
            </w:pPr>
            <w:r>
              <w:rPr>
                <w:color w:val="auto"/>
                <w:sz w:val="24"/>
                <w:szCs w:val="22"/>
                <w:highlight w:val="none"/>
              </w:rPr>
              <w:t>危险物质数量与临界量的比值Q；</w:t>
            </w:r>
          </w:p>
          <w:p w14:paraId="6341D1DE">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color w:val="auto"/>
                <w:sz w:val="24"/>
                <w:szCs w:val="22"/>
                <w:highlight w:val="none"/>
              </w:rPr>
            </w:pPr>
            <w:r>
              <w:rPr>
                <w:color w:val="auto"/>
                <w:sz w:val="24"/>
                <w:szCs w:val="22"/>
                <w:highlight w:val="none"/>
              </w:rPr>
              <w:t>当只涉及一种危险物质时，计算该物质的总量与其临界量比值，即为Q；</w:t>
            </w:r>
          </w:p>
          <w:p w14:paraId="7E8CFDAE">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color w:val="auto"/>
                <w:sz w:val="24"/>
                <w:szCs w:val="22"/>
                <w:highlight w:val="none"/>
              </w:rPr>
            </w:pPr>
            <w:r>
              <w:rPr>
                <w:color w:val="auto"/>
                <w:sz w:val="24"/>
                <w:szCs w:val="22"/>
                <w:highlight w:val="none"/>
              </w:rPr>
              <w:t>当存在多种危险物质时，则按式（C.1）计算物质总量与其临界量比值Q；</w:t>
            </w:r>
          </w:p>
          <w:p w14:paraId="4FA65CF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center"/>
              <w:textAlignment w:val="auto"/>
              <w:rPr>
                <w:color w:val="auto"/>
                <w:sz w:val="24"/>
                <w:szCs w:val="22"/>
                <w:highlight w:val="none"/>
              </w:rPr>
            </w:pPr>
            <w:r>
              <w:rPr>
                <w:color w:val="auto"/>
                <w:sz w:val="24"/>
                <w:szCs w:val="22"/>
                <w:highlight w:val="none"/>
              </w:rPr>
              <w:drawing>
                <wp:inline distT="0" distB="0" distL="114300" distR="114300">
                  <wp:extent cx="1694180" cy="502285"/>
                  <wp:effectExtent l="0" t="0" r="7620" b="571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38"/>
                          <a:stretch>
                            <a:fillRect/>
                          </a:stretch>
                        </pic:blipFill>
                        <pic:spPr>
                          <a:xfrm>
                            <a:off x="0" y="0"/>
                            <a:ext cx="1694180" cy="502285"/>
                          </a:xfrm>
                          <a:prstGeom prst="rect">
                            <a:avLst/>
                          </a:prstGeom>
                          <a:noFill/>
                          <a:ln>
                            <a:noFill/>
                          </a:ln>
                        </pic:spPr>
                      </pic:pic>
                    </a:graphicData>
                  </a:graphic>
                </wp:inline>
              </w:drawing>
            </w:r>
          </w:p>
          <w:p w14:paraId="418397A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color w:val="auto"/>
                <w:sz w:val="24"/>
                <w:szCs w:val="22"/>
                <w:highlight w:val="none"/>
              </w:rPr>
            </w:pPr>
            <w:r>
              <w:rPr>
                <w:color w:val="auto"/>
                <w:sz w:val="24"/>
                <w:szCs w:val="22"/>
                <w:highlight w:val="none"/>
              </w:rPr>
              <w:t>式中：q</w:t>
            </w:r>
            <w:r>
              <w:rPr>
                <w:color w:val="auto"/>
                <w:sz w:val="24"/>
                <w:szCs w:val="22"/>
                <w:highlight w:val="none"/>
                <w:vertAlign w:val="subscript"/>
              </w:rPr>
              <w:t>1</w:t>
            </w:r>
            <w:r>
              <w:rPr>
                <w:color w:val="auto"/>
                <w:sz w:val="24"/>
                <w:szCs w:val="22"/>
                <w:highlight w:val="none"/>
              </w:rPr>
              <w:t>，q</w:t>
            </w:r>
            <w:r>
              <w:rPr>
                <w:color w:val="auto"/>
                <w:sz w:val="24"/>
                <w:szCs w:val="22"/>
                <w:highlight w:val="none"/>
                <w:vertAlign w:val="subscript"/>
              </w:rPr>
              <w:t>2</w:t>
            </w:r>
            <w:r>
              <w:rPr>
                <w:color w:val="auto"/>
                <w:sz w:val="24"/>
                <w:szCs w:val="22"/>
                <w:highlight w:val="none"/>
              </w:rPr>
              <w:t>，…，q</w:t>
            </w:r>
            <w:r>
              <w:rPr>
                <w:color w:val="auto"/>
                <w:sz w:val="24"/>
                <w:szCs w:val="22"/>
                <w:highlight w:val="none"/>
                <w:vertAlign w:val="subscript"/>
              </w:rPr>
              <w:t>n</w:t>
            </w:r>
            <w:r>
              <w:rPr>
                <w:color w:val="auto"/>
                <w:sz w:val="24"/>
                <w:szCs w:val="22"/>
                <w:highlight w:val="none"/>
              </w:rPr>
              <w:t>—每种危险物质的最大存在总量，t；</w:t>
            </w:r>
          </w:p>
          <w:p w14:paraId="4D7B902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color w:val="auto"/>
                <w:sz w:val="24"/>
                <w:szCs w:val="24"/>
                <w:highlight w:val="none"/>
              </w:rPr>
            </w:pPr>
            <w:r>
              <w:rPr>
                <w:color w:val="auto"/>
                <w:sz w:val="24"/>
                <w:szCs w:val="24"/>
                <w:highlight w:val="none"/>
              </w:rPr>
              <w:t>Q</w:t>
            </w:r>
            <w:r>
              <w:rPr>
                <w:color w:val="auto"/>
                <w:sz w:val="24"/>
                <w:szCs w:val="24"/>
                <w:highlight w:val="none"/>
                <w:vertAlign w:val="subscript"/>
              </w:rPr>
              <w:t>1</w:t>
            </w:r>
            <w:r>
              <w:rPr>
                <w:color w:val="auto"/>
                <w:sz w:val="24"/>
                <w:szCs w:val="24"/>
                <w:highlight w:val="none"/>
              </w:rPr>
              <w:t>，Q</w:t>
            </w:r>
            <w:r>
              <w:rPr>
                <w:color w:val="auto"/>
                <w:sz w:val="24"/>
                <w:szCs w:val="24"/>
                <w:highlight w:val="none"/>
                <w:vertAlign w:val="subscript"/>
              </w:rPr>
              <w:t>2</w:t>
            </w:r>
            <w:r>
              <w:rPr>
                <w:color w:val="auto"/>
                <w:sz w:val="24"/>
                <w:szCs w:val="24"/>
                <w:highlight w:val="none"/>
              </w:rPr>
              <w:t>，…，Q</w:t>
            </w:r>
            <w:r>
              <w:rPr>
                <w:color w:val="auto"/>
                <w:sz w:val="24"/>
                <w:szCs w:val="24"/>
                <w:highlight w:val="none"/>
                <w:vertAlign w:val="subscript"/>
              </w:rPr>
              <w:t>n——</w:t>
            </w:r>
            <w:r>
              <w:rPr>
                <w:color w:val="auto"/>
                <w:sz w:val="24"/>
                <w:szCs w:val="24"/>
                <w:highlight w:val="none"/>
              </w:rPr>
              <w:t>每种危险物质的临界量，t。</w:t>
            </w:r>
          </w:p>
          <w:p w14:paraId="30EC0D2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当Q</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1时，该项目环境风险潜势为I。</w:t>
            </w:r>
          </w:p>
          <w:p w14:paraId="10E4B437">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当Q≥1时，将Q值划分为：（1）1≤Q＜10；（2）10≤Q＜100；（3）Q≥100。</w:t>
            </w:r>
          </w:p>
          <w:p w14:paraId="34F67BD9">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4"/>
                <w:highlight w:val="none"/>
              </w:rPr>
              <w:t>根据《建设项目环境风险评价技</w:t>
            </w:r>
            <w:r>
              <w:rPr>
                <w:rFonts w:hint="default" w:ascii="Times New Roman" w:hAnsi="Times New Roman" w:cs="Times New Roman"/>
                <w:color w:val="auto"/>
                <w:sz w:val="24"/>
                <w:szCs w:val="22"/>
                <w:highlight w:val="none"/>
              </w:rPr>
              <w:t>术导则》（HJ169-2018）表B.1和表B.2，同时参照企业突发环境事件风险分级方法（HJ941-2018）附录A，对全厂Q值进行确定，详见下表。</w:t>
            </w:r>
          </w:p>
          <w:p w14:paraId="3404AE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rPr>
              <w:t>4</w:t>
            </w:r>
            <w:r>
              <w:rPr>
                <w:rFonts w:hint="default" w:ascii="Times New Roman" w:hAnsi="Times New Roman" w:eastAsia="宋体" w:cs="Times New Roman"/>
                <w:b/>
                <w:color w:val="auto"/>
                <w:szCs w:val="21"/>
                <w:highlight w:val="none"/>
              </w:rPr>
              <w:t>-</w:t>
            </w:r>
            <w:r>
              <w:rPr>
                <w:rFonts w:hint="eastAsia" w:cs="Times New Roman"/>
                <w:b/>
                <w:color w:val="auto"/>
                <w:szCs w:val="21"/>
                <w:highlight w:val="none"/>
                <w:lang w:val="en-US" w:eastAsia="zh-CN"/>
              </w:rPr>
              <w:t>21</w:t>
            </w:r>
            <w:r>
              <w:rPr>
                <w:rFonts w:hint="default" w:ascii="Times New Roman" w:hAnsi="Times New Roman" w:eastAsia="宋体" w:cs="Times New Roman"/>
                <w:b/>
                <w:color w:val="auto"/>
                <w:szCs w:val="21"/>
                <w:highlight w:val="none"/>
              </w:rPr>
              <w:t xml:space="preserve">  建设项目Q值确定表</w:t>
            </w:r>
          </w:p>
          <w:tbl>
            <w:tblPr>
              <w:tblStyle w:val="39"/>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830"/>
              <w:gridCol w:w="1727"/>
              <w:gridCol w:w="954"/>
              <w:gridCol w:w="1077"/>
              <w:gridCol w:w="1058"/>
              <w:gridCol w:w="1131"/>
            </w:tblGrid>
            <w:tr w14:paraId="223F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restart"/>
                  <w:tcBorders>
                    <w:tl2br w:val="nil"/>
                    <w:tr2bl w:val="nil"/>
                  </w:tcBorders>
                  <w:noWrap w:val="0"/>
                  <w:vAlign w:val="center"/>
                </w:tcPr>
                <w:p w14:paraId="1A6D5A24">
                  <w:pPr>
                    <w:keepNext w:val="0"/>
                    <w:keepLines w:val="0"/>
                    <w:widowControl/>
                    <w:suppressLineNumbers w:val="0"/>
                    <w:spacing w:before="0" w:beforeAutospacing="0" w:after="0" w:afterAutospacing="0"/>
                    <w:ind w:left="0" w:right="0"/>
                    <w:jc w:val="center"/>
                    <w:rPr>
                      <w:b/>
                      <w:bCs/>
                      <w:color w:val="auto"/>
                      <w:kern w:val="0"/>
                      <w:sz w:val="21"/>
                      <w:szCs w:val="21"/>
                      <w:highlight w:val="none"/>
                    </w:rPr>
                  </w:pPr>
                  <w:r>
                    <w:rPr>
                      <w:b/>
                      <w:bCs/>
                      <w:color w:val="auto"/>
                      <w:kern w:val="0"/>
                      <w:sz w:val="21"/>
                      <w:szCs w:val="21"/>
                      <w:highlight w:val="none"/>
                    </w:rPr>
                    <w:t>序号</w:t>
                  </w:r>
                </w:p>
              </w:tc>
              <w:tc>
                <w:tcPr>
                  <w:tcW w:w="1086" w:type="pct"/>
                  <w:vMerge w:val="restart"/>
                  <w:tcBorders>
                    <w:tl2br w:val="nil"/>
                    <w:tr2bl w:val="nil"/>
                  </w:tcBorders>
                  <w:noWrap w:val="0"/>
                  <w:vAlign w:val="center"/>
                </w:tcPr>
                <w:p w14:paraId="37A007C5">
                  <w:pPr>
                    <w:keepNext w:val="0"/>
                    <w:keepLines w:val="0"/>
                    <w:widowControl/>
                    <w:suppressLineNumbers w:val="0"/>
                    <w:spacing w:before="0" w:beforeAutospacing="0" w:after="0" w:afterAutospacing="0"/>
                    <w:ind w:left="0" w:right="0"/>
                    <w:jc w:val="center"/>
                    <w:rPr>
                      <w:b/>
                      <w:bCs/>
                      <w:color w:val="auto"/>
                      <w:kern w:val="0"/>
                      <w:sz w:val="21"/>
                      <w:szCs w:val="21"/>
                      <w:highlight w:val="none"/>
                    </w:rPr>
                  </w:pPr>
                  <w:r>
                    <w:rPr>
                      <w:b/>
                      <w:bCs/>
                      <w:color w:val="auto"/>
                      <w:kern w:val="0"/>
                      <w:sz w:val="21"/>
                      <w:szCs w:val="21"/>
                      <w:highlight w:val="none"/>
                    </w:rPr>
                    <w:t>危险物质</w:t>
                  </w:r>
                </w:p>
              </w:tc>
              <w:tc>
                <w:tcPr>
                  <w:tcW w:w="1591" w:type="pct"/>
                  <w:gridSpan w:val="2"/>
                  <w:tcBorders>
                    <w:tl2br w:val="nil"/>
                    <w:tr2bl w:val="nil"/>
                  </w:tcBorders>
                  <w:noWrap w:val="0"/>
                  <w:vAlign w:val="center"/>
                </w:tcPr>
                <w:p w14:paraId="753EE06A">
                  <w:pPr>
                    <w:keepNext w:val="0"/>
                    <w:keepLines w:val="0"/>
                    <w:widowControl/>
                    <w:suppressLineNumbers w:val="0"/>
                    <w:spacing w:before="0" w:beforeAutospacing="0" w:after="0" w:afterAutospacing="0"/>
                    <w:ind w:left="0" w:right="0"/>
                    <w:jc w:val="center"/>
                    <w:rPr>
                      <w:b/>
                      <w:bCs/>
                      <w:color w:val="auto"/>
                      <w:kern w:val="0"/>
                      <w:sz w:val="21"/>
                      <w:szCs w:val="21"/>
                      <w:highlight w:val="none"/>
                    </w:rPr>
                  </w:pPr>
                  <w:r>
                    <w:rPr>
                      <w:b/>
                      <w:bCs/>
                      <w:color w:val="auto"/>
                      <w:kern w:val="0"/>
                      <w:sz w:val="21"/>
                      <w:szCs w:val="21"/>
                      <w:highlight w:val="none"/>
                    </w:rPr>
                    <w:t>物质来源及占比</w:t>
                  </w:r>
                </w:p>
              </w:tc>
              <w:tc>
                <w:tcPr>
                  <w:tcW w:w="639" w:type="pct"/>
                  <w:vMerge w:val="restart"/>
                  <w:tcBorders>
                    <w:tl2br w:val="nil"/>
                    <w:tr2bl w:val="nil"/>
                  </w:tcBorders>
                  <w:noWrap w:val="0"/>
                  <w:vAlign w:val="center"/>
                </w:tcPr>
                <w:p w14:paraId="6942E0B2">
                  <w:pPr>
                    <w:keepNext w:val="0"/>
                    <w:keepLines w:val="0"/>
                    <w:widowControl/>
                    <w:suppressLineNumbers w:val="0"/>
                    <w:spacing w:before="0" w:beforeAutospacing="0" w:after="0" w:afterAutospacing="0"/>
                    <w:ind w:left="0" w:right="0"/>
                    <w:jc w:val="center"/>
                    <w:rPr>
                      <w:b/>
                      <w:bCs/>
                      <w:color w:val="auto"/>
                      <w:kern w:val="0"/>
                      <w:sz w:val="21"/>
                      <w:szCs w:val="21"/>
                      <w:highlight w:val="none"/>
                    </w:rPr>
                  </w:pPr>
                  <w:r>
                    <w:rPr>
                      <w:b/>
                      <w:bCs/>
                      <w:color w:val="auto"/>
                      <w:kern w:val="0"/>
                      <w:sz w:val="21"/>
                      <w:szCs w:val="21"/>
                      <w:highlight w:val="none"/>
                    </w:rPr>
                    <w:t>最大存在总量q</w:t>
                  </w:r>
                  <w:r>
                    <w:rPr>
                      <w:b/>
                      <w:bCs/>
                      <w:color w:val="auto"/>
                      <w:kern w:val="0"/>
                      <w:sz w:val="21"/>
                      <w:szCs w:val="21"/>
                      <w:highlight w:val="none"/>
                      <w:vertAlign w:val="subscript"/>
                    </w:rPr>
                    <w:t>n</w:t>
                  </w:r>
                  <w:r>
                    <w:rPr>
                      <w:b/>
                      <w:bCs/>
                      <w:color w:val="auto"/>
                      <w:kern w:val="0"/>
                      <w:sz w:val="21"/>
                      <w:szCs w:val="21"/>
                      <w:highlight w:val="none"/>
                    </w:rPr>
                    <w:t>/t</w:t>
                  </w:r>
                </w:p>
              </w:tc>
              <w:tc>
                <w:tcPr>
                  <w:tcW w:w="627" w:type="pct"/>
                  <w:vMerge w:val="restart"/>
                  <w:tcBorders>
                    <w:tl2br w:val="nil"/>
                    <w:tr2bl w:val="nil"/>
                  </w:tcBorders>
                  <w:noWrap w:val="0"/>
                  <w:vAlign w:val="center"/>
                </w:tcPr>
                <w:p w14:paraId="0D73526E">
                  <w:pPr>
                    <w:keepNext w:val="0"/>
                    <w:keepLines w:val="0"/>
                    <w:widowControl/>
                    <w:suppressLineNumbers w:val="0"/>
                    <w:spacing w:before="0" w:beforeAutospacing="0" w:after="0" w:afterAutospacing="0"/>
                    <w:ind w:left="0" w:right="0"/>
                    <w:jc w:val="center"/>
                    <w:rPr>
                      <w:b/>
                      <w:bCs/>
                      <w:color w:val="auto"/>
                      <w:kern w:val="0"/>
                      <w:sz w:val="21"/>
                      <w:szCs w:val="21"/>
                      <w:highlight w:val="none"/>
                    </w:rPr>
                  </w:pPr>
                  <w:r>
                    <w:rPr>
                      <w:b/>
                      <w:bCs/>
                      <w:color w:val="auto"/>
                      <w:kern w:val="0"/>
                      <w:sz w:val="21"/>
                      <w:szCs w:val="21"/>
                      <w:highlight w:val="none"/>
                    </w:rPr>
                    <w:t>临界量Qn/t</w:t>
                  </w:r>
                </w:p>
              </w:tc>
              <w:tc>
                <w:tcPr>
                  <w:tcW w:w="671" w:type="pct"/>
                  <w:vMerge w:val="restart"/>
                  <w:tcBorders>
                    <w:tl2br w:val="nil"/>
                    <w:tr2bl w:val="nil"/>
                  </w:tcBorders>
                  <w:noWrap w:val="0"/>
                  <w:vAlign w:val="center"/>
                </w:tcPr>
                <w:p w14:paraId="48F02C4C">
                  <w:pPr>
                    <w:keepNext w:val="0"/>
                    <w:keepLines w:val="0"/>
                    <w:widowControl/>
                    <w:suppressLineNumbers w:val="0"/>
                    <w:spacing w:before="0" w:beforeAutospacing="0" w:after="0" w:afterAutospacing="0"/>
                    <w:ind w:left="0" w:right="0"/>
                    <w:jc w:val="center"/>
                    <w:rPr>
                      <w:b/>
                      <w:bCs/>
                      <w:color w:val="auto"/>
                      <w:kern w:val="0"/>
                      <w:sz w:val="21"/>
                      <w:szCs w:val="21"/>
                      <w:highlight w:val="none"/>
                    </w:rPr>
                  </w:pPr>
                  <w:r>
                    <w:rPr>
                      <w:b/>
                      <w:bCs/>
                      <w:color w:val="auto"/>
                      <w:kern w:val="0"/>
                      <w:sz w:val="21"/>
                      <w:szCs w:val="21"/>
                      <w:highlight w:val="none"/>
                    </w:rPr>
                    <w:t>危险物质数Q值</w:t>
                  </w:r>
                </w:p>
              </w:tc>
            </w:tr>
            <w:tr w14:paraId="70DD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3B8FD4CA">
                  <w:pPr>
                    <w:keepNext w:val="0"/>
                    <w:keepLines w:val="0"/>
                    <w:widowControl/>
                    <w:suppressLineNumbers w:val="0"/>
                    <w:spacing w:before="0" w:beforeAutospacing="0" w:after="0" w:afterAutospacing="0"/>
                    <w:ind w:left="0" w:right="0"/>
                    <w:jc w:val="center"/>
                    <w:rPr>
                      <w:b/>
                      <w:bCs/>
                      <w:color w:val="auto"/>
                      <w:kern w:val="0"/>
                      <w:sz w:val="21"/>
                      <w:szCs w:val="21"/>
                      <w:highlight w:val="none"/>
                    </w:rPr>
                  </w:pPr>
                </w:p>
              </w:tc>
              <w:tc>
                <w:tcPr>
                  <w:tcW w:w="1086" w:type="pct"/>
                  <w:vMerge w:val="continue"/>
                  <w:tcBorders>
                    <w:tl2br w:val="nil"/>
                    <w:tr2bl w:val="nil"/>
                  </w:tcBorders>
                  <w:noWrap w:val="0"/>
                  <w:vAlign w:val="center"/>
                </w:tcPr>
                <w:p w14:paraId="301C4265">
                  <w:pPr>
                    <w:keepNext w:val="0"/>
                    <w:keepLines w:val="0"/>
                    <w:widowControl/>
                    <w:suppressLineNumbers w:val="0"/>
                    <w:spacing w:before="0" w:beforeAutospacing="0" w:after="0" w:afterAutospacing="0"/>
                    <w:ind w:left="0" w:right="0"/>
                    <w:jc w:val="center"/>
                    <w:rPr>
                      <w:b/>
                      <w:bCs/>
                      <w:color w:val="auto"/>
                      <w:kern w:val="0"/>
                      <w:sz w:val="21"/>
                      <w:szCs w:val="21"/>
                      <w:highlight w:val="none"/>
                    </w:rPr>
                  </w:pPr>
                </w:p>
              </w:tc>
              <w:tc>
                <w:tcPr>
                  <w:tcW w:w="1025" w:type="pct"/>
                  <w:tcBorders>
                    <w:tl2br w:val="nil"/>
                    <w:tr2bl w:val="nil"/>
                  </w:tcBorders>
                  <w:noWrap w:val="0"/>
                  <w:vAlign w:val="center"/>
                </w:tcPr>
                <w:p w14:paraId="3F2F376D">
                  <w:pPr>
                    <w:keepNext w:val="0"/>
                    <w:keepLines w:val="0"/>
                    <w:widowControl/>
                    <w:suppressLineNumbers w:val="0"/>
                    <w:spacing w:before="0" w:beforeAutospacing="0" w:after="0" w:afterAutospacing="0"/>
                    <w:ind w:left="0" w:right="0"/>
                    <w:jc w:val="center"/>
                    <w:rPr>
                      <w:b/>
                      <w:bCs/>
                      <w:color w:val="auto"/>
                      <w:kern w:val="0"/>
                      <w:sz w:val="21"/>
                      <w:szCs w:val="21"/>
                      <w:highlight w:val="none"/>
                    </w:rPr>
                  </w:pPr>
                  <w:r>
                    <w:rPr>
                      <w:b/>
                      <w:bCs/>
                      <w:color w:val="auto"/>
                      <w:kern w:val="0"/>
                      <w:sz w:val="21"/>
                      <w:szCs w:val="21"/>
                      <w:highlight w:val="none"/>
                    </w:rPr>
                    <w:t>来源</w:t>
                  </w:r>
                </w:p>
              </w:tc>
              <w:tc>
                <w:tcPr>
                  <w:tcW w:w="566" w:type="pct"/>
                  <w:tcBorders>
                    <w:tl2br w:val="nil"/>
                    <w:tr2bl w:val="nil"/>
                  </w:tcBorders>
                  <w:noWrap w:val="0"/>
                  <w:vAlign w:val="center"/>
                </w:tcPr>
                <w:p w14:paraId="193163BE">
                  <w:pPr>
                    <w:keepNext w:val="0"/>
                    <w:keepLines w:val="0"/>
                    <w:widowControl/>
                    <w:suppressLineNumbers w:val="0"/>
                    <w:spacing w:before="0" w:beforeAutospacing="0" w:after="0" w:afterAutospacing="0"/>
                    <w:ind w:left="0" w:right="0"/>
                    <w:jc w:val="center"/>
                    <w:rPr>
                      <w:b/>
                      <w:bCs/>
                      <w:color w:val="auto"/>
                      <w:kern w:val="0"/>
                      <w:sz w:val="21"/>
                      <w:szCs w:val="21"/>
                      <w:highlight w:val="none"/>
                    </w:rPr>
                  </w:pPr>
                  <w:r>
                    <w:rPr>
                      <w:b/>
                      <w:bCs/>
                      <w:color w:val="auto"/>
                      <w:kern w:val="0"/>
                      <w:sz w:val="21"/>
                      <w:szCs w:val="21"/>
                      <w:highlight w:val="none"/>
                    </w:rPr>
                    <w:t>占比</w:t>
                  </w:r>
                </w:p>
              </w:tc>
              <w:tc>
                <w:tcPr>
                  <w:tcW w:w="639" w:type="pct"/>
                  <w:vMerge w:val="continue"/>
                  <w:tcBorders>
                    <w:tl2br w:val="nil"/>
                    <w:tr2bl w:val="nil"/>
                  </w:tcBorders>
                  <w:noWrap w:val="0"/>
                  <w:vAlign w:val="center"/>
                </w:tcPr>
                <w:p w14:paraId="542481F4">
                  <w:pPr>
                    <w:keepNext w:val="0"/>
                    <w:keepLines w:val="0"/>
                    <w:widowControl/>
                    <w:suppressLineNumbers w:val="0"/>
                    <w:spacing w:before="0" w:beforeAutospacing="0" w:after="0" w:afterAutospacing="0"/>
                    <w:ind w:left="0" w:right="0"/>
                    <w:jc w:val="center"/>
                    <w:rPr>
                      <w:b/>
                      <w:bCs/>
                      <w:color w:val="auto"/>
                      <w:kern w:val="0"/>
                      <w:sz w:val="21"/>
                      <w:szCs w:val="21"/>
                      <w:highlight w:val="none"/>
                    </w:rPr>
                  </w:pPr>
                </w:p>
              </w:tc>
              <w:tc>
                <w:tcPr>
                  <w:tcW w:w="627" w:type="pct"/>
                  <w:vMerge w:val="continue"/>
                  <w:tcBorders>
                    <w:tl2br w:val="nil"/>
                    <w:tr2bl w:val="nil"/>
                  </w:tcBorders>
                  <w:noWrap w:val="0"/>
                  <w:vAlign w:val="center"/>
                </w:tcPr>
                <w:p w14:paraId="0E4C52CE">
                  <w:pPr>
                    <w:keepNext w:val="0"/>
                    <w:keepLines w:val="0"/>
                    <w:widowControl/>
                    <w:suppressLineNumbers w:val="0"/>
                    <w:spacing w:before="0" w:beforeAutospacing="0" w:after="0" w:afterAutospacing="0"/>
                    <w:ind w:left="0" w:right="0"/>
                    <w:jc w:val="center"/>
                    <w:rPr>
                      <w:b/>
                      <w:bCs/>
                      <w:color w:val="auto"/>
                      <w:kern w:val="0"/>
                      <w:sz w:val="21"/>
                      <w:szCs w:val="21"/>
                      <w:highlight w:val="none"/>
                    </w:rPr>
                  </w:pPr>
                </w:p>
              </w:tc>
              <w:tc>
                <w:tcPr>
                  <w:tcW w:w="671" w:type="pct"/>
                  <w:vMerge w:val="continue"/>
                  <w:tcBorders>
                    <w:tl2br w:val="nil"/>
                    <w:tr2bl w:val="nil"/>
                  </w:tcBorders>
                  <w:noWrap w:val="0"/>
                  <w:vAlign w:val="center"/>
                </w:tcPr>
                <w:p w14:paraId="044892EA">
                  <w:pPr>
                    <w:keepNext w:val="0"/>
                    <w:keepLines w:val="0"/>
                    <w:widowControl/>
                    <w:suppressLineNumbers w:val="0"/>
                    <w:spacing w:before="0" w:beforeAutospacing="0" w:after="0" w:afterAutospacing="0"/>
                    <w:ind w:left="0" w:right="0"/>
                    <w:jc w:val="center"/>
                    <w:rPr>
                      <w:b/>
                      <w:bCs/>
                      <w:color w:val="auto"/>
                      <w:kern w:val="0"/>
                      <w:sz w:val="21"/>
                      <w:szCs w:val="21"/>
                      <w:highlight w:val="none"/>
                    </w:rPr>
                  </w:pPr>
                </w:p>
              </w:tc>
            </w:tr>
            <w:tr w14:paraId="01E3C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tcBorders>
                    <w:tl2br w:val="nil"/>
                    <w:tr2bl w:val="nil"/>
                  </w:tcBorders>
                  <w:noWrap w:val="0"/>
                  <w:vAlign w:val="center"/>
                </w:tcPr>
                <w:p w14:paraId="1421B8FE">
                  <w:pPr>
                    <w:keepNext w:val="0"/>
                    <w:keepLines w:val="0"/>
                    <w:widowControl/>
                    <w:suppressLineNumbers w:val="0"/>
                    <w:spacing w:before="0" w:beforeAutospacing="0" w:after="0" w:afterAutospacing="0"/>
                    <w:ind w:left="0" w:right="0"/>
                    <w:jc w:val="center"/>
                    <w:rPr>
                      <w:rFonts w:hint="eastAsia"/>
                      <w:color w:val="auto"/>
                      <w:kern w:val="0"/>
                      <w:sz w:val="21"/>
                      <w:szCs w:val="21"/>
                      <w:highlight w:val="none"/>
                    </w:rPr>
                  </w:pPr>
                  <w:r>
                    <w:rPr>
                      <w:rFonts w:hint="eastAsia"/>
                      <w:color w:val="auto"/>
                      <w:kern w:val="0"/>
                      <w:sz w:val="21"/>
                      <w:szCs w:val="21"/>
                      <w:highlight w:val="none"/>
                    </w:rPr>
                    <w:t>1</w:t>
                  </w:r>
                </w:p>
              </w:tc>
              <w:tc>
                <w:tcPr>
                  <w:tcW w:w="1086" w:type="pct"/>
                  <w:tcBorders>
                    <w:tl2br w:val="nil"/>
                    <w:tr2bl w:val="nil"/>
                  </w:tcBorders>
                  <w:shd w:val="clear" w:color="auto" w:fill="auto"/>
                  <w:noWrap w:val="0"/>
                  <w:vAlign w:val="center"/>
                </w:tcPr>
                <w:p w14:paraId="770FA35C">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二苯甲烷二异氰酸酯</w:t>
                  </w:r>
                </w:p>
              </w:tc>
              <w:tc>
                <w:tcPr>
                  <w:tcW w:w="1025" w:type="pct"/>
                  <w:tcBorders>
                    <w:tl2br w:val="nil"/>
                    <w:tr2bl w:val="nil"/>
                  </w:tcBorders>
                  <w:noWrap w:val="0"/>
                  <w:vAlign w:val="center"/>
                </w:tcPr>
                <w:p w14:paraId="31F9BCD3">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s="Times New Roman"/>
                      <w:color w:val="auto"/>
                      <w:sz w:val="21"/>
                      <w:szCs w:val="21"/>
                      <w:highlight w:val="none"/>
                      <w:lang w:val="en-US" w:eastAsia="zh-CN"/>
                    </w:rPr>
                    <w:t>聚氨酯原液B料</w:t>
                  </w:r>
                </w:p>
              </w:tc>
              <w:tc>
                <w:tcPr>
                  <w:tcW w:w="566" w:type="pct"/>
                  <w:tcBorders>
                    <w:tl2br w:val="nil"/>
                    <w:tr2bl w:val="nil"/>
                  </w:tcBorders>
                  <w:noWrap w:val="0"/>
                  <w:vAlign w:val="center"/>
                </w:tcPr>
                <w:p w14:paraId="554F9A29">
                  <w:pPr>
                    <w:keepNext w:val="0"/>
                    <w:keepLines w:val="0"/>
                    <w:widowControl/>
                    <w:suppressLineNumbers w:val="0"/>
                    <w:spacing w:before="0" w:beforeAutospacing="0" w:after="0" w:afterAutospacing="0"/>
                    <w:ind w:left="0" w:right="0"/>
                    <w:jc w:val="center"/>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60%</w:t>
                  </w:r>
                </w:p>
              </w:tc>
              <w:tc>
                <w:tcPr>
                  <w:tcW w:w="639" w:type="pct"/>
                  <w:vMerge w:val="restart"/>
                  <w:tcBorders>
                    <w:tl2br w:val="nil"/>
                    <w:tr2bl w:val="nil"/>
                  </w:tcBorders>
                  <w:shd w:val="clear" w:color="auto" w:fill="auto"/>
                  <w:noWrap w:val="0"/>
                  <w:vAlign w:val="center"/>
                </w:tcPr>
                <w:p w14:paraId="0A84DB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3.6</w:t>
                  </w:r>
                </w:p>
              </w:tc>
              <w:tc>
                <w:tcPr>
                  <w:tcW w:w="627" w:type="pct"/>
                  <w:vMerge w:val="restart"/>
                  <w:tcBorders>
                    <w:tl2br w:val="nil"/>
                    <w:tr2bl w:val="nil"/>
                  </w:tcBorders>
                  <w:noWrap w:val="0"/>
                  <w:vAlign w:val="center"/>
                </w:tcPr>
                <w:p w14:paraId="6F0EF214">
                  <w:pPr>
                    <w:keepNext w:val="0"/>
                    <w:keepLines w:val="0"/>
                    <w:widowControl/>
                    <w:suppressLineNumbers w:val="0"/>
                    <w:spacing w:before="0" w:beforeAutospacing="0" w:after="0" w:afterAutospacing="0"/>
                    <w:ind w:left="0" w:right="0"/>
                    <w:jc w:val="center"/>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50</w:t>
                  </w:r>
                </w:p>
              </w:tc>
              <w:tc>
                <w:tcPr>
                  <w:tcW w:w="671" w:type="pct"/>
                  <w:vMerge w:val="restart"/>
                  <w:tcBorders>
                    <w:tl2br w:val="nil"/>
                    <w:tr2bl w:val="nil"/>
                  </w:tcBorders>
                  <w:noWrap w:val="0"/>
                  <w:vAlign w:val="center"/>
                </w:tcPr>
                <w:p w14:paraId="5D062DB7">
                  <w:pPr>
                    <w:keepNext w:val="0"/>
                    <w:keepLines w:val="0"/>
                    <w:widowControl/>
                    <w:suppressLineNumbers w:val="0"/>
                    <w:spacing w:before="0" w:beforeAutospacing="0" w:after="0" w:afterAutospacing="0"/>
                    <w:ind w:left="0" w:right="0"/>
                    <w:jc w:val="center"/>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0.072</w:t>
                  </w:r>
                </w:p>
              </w:tc>
            </w:tr>
            <w:tr w14:paraId="274D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tcBorders>
                    <w:tl2br w:val="nil"/>
                    <w:tr2bl w:val="nil"/>
                  </w:tcBorders>
                  <w:noWrap w:val="0"/>
                  <w:vAlign w:val="center"/>
                </w:tcPr>
                <w:p w14:paraId="75A3AEBD">
                  <w:pPr>
                    <w:keepNext w:val="0"/>
                    <w:keepLines w:val="0"/>
                    <w:widowControl/>
                    <w:suppressLineNumbers w:val="0"/>
                    <w:spacing w:before="0" w:beforeAutospacing="0" w:after="0" w:afterAutospacing="0"/>
                    <w:ind w:left="0" w:right="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2</w:t>
                  </w:r>
                </w:p>
              </w:tc>
              <w:tc>
                <w:tcPr>
                  <w:tcW w:w="1086" w:type="pct"/>
                  <w:tcBorders>
                    <w:tl2br w:val="nil"/>
                    <w:tr2bl w:val="nil"/>
                  </w:tcBorders>
                  <w:shd w:val="clear" w:color="auto" w:fill="auto"/>
                  <w:noWrap w:val="0"/>
                  <w:vAlign w:val="center"/>
                </w:tcPr>
                <w:p w14:paraId="28033491">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氨基甲酸酯改性二苯基甲烷二异氰酸酯</w:t>
                  </w:r>
                </w:p>
              </w:tc>
              <w:tc>
                <w:tcPr>
                  <w:tcW w:w="1025" w:type="pct"/>
                  <w:tcBorders>
                    <w:tl2br w:val="nil"/>
                    <w:tr2bl w:val="nil"/>
                  </w:tcBorders>
                  <w:noWrap w:val="0"/>
                  <w:vAlign w:val="center"/>
                </w:tcPr>
                <w:p w14:paraId="56DF88D5">
                  <w:pPr>
                    <w:keepNext w:val="0"/>
                    <w:keepLines w:val="0"/>
                    <w:suppressLineNumbers w:val="0"/>
                    <w:spacing w:before="0" w:beforeAutospacing="0" w:after="0" w:afterAutospacing="0"/>
                    <w:ind w:left="0" w:right="0"/>
                    <w:jc w:val="center"/>
                    <w:rPr>
                      <w:rFonts w:hint="eastAsia" w:eastAsia="宋体"/>
                      <w:color w:val="auto"/>
                      <w:sz w:val="21"/>
                      <w:szCs w:val="21"/>
                      <w:highlight w:val="none"/>
                      <w:lang w:eastAsia="zh-CN"/>
                    </w:rPr>
                  </w:pPr>
                  <w:r>
                    <w:rPr>
                      <w:rFonts w:hint="eastAsia" w:cs="Times New Roman"/>
                      <w:color w:val="auto"/>
                      <w:sz w:val="21"/>
                      <w:szCs w:val="21"/>
                      <w:highlight w:val="none"/>
                      <w:lang w:val="en-US" w:eastAsia="zh-CN"/>
                    </w:rPr>
                    <w:t>聚氨酯原液B料</w:t>
                  </w:r>
                </w:p>
              </w:tc>
              <w:tc>
                <w:tcPr>
                  <w:tcW w:w="566" w:type="pct"/>
                  <w:tcBorders>
                    <w:tl2br w:val="nil"/>
                    <w:tr2bl w:val="nil"/>
                  </w:tcBorders>
                  <w:noWrap w:val="0"/>
                  <w:vAlign w:val="center"/>
                </w:tcPr>
                <w:p w14:paraId="17F21FBD">
                  <w:pPr>
                    <w:keepNext w:val="0"/>
                    <w:keepLines w:val="0"/>
                    <w:widowControl/>
                    <w:suppressLineNumbers w:val="0"/>
                    <w:spacing w:before="0" w:beforeAutospacing="0" w:after="0" w:afterAutospacing="0"/>
                    <w:ind w:left="0" w:right="0"/>
                    <w:jc w:val="center"/>
                    <w:rPr>
                      <w:rFonts w:hint="eastAsia" w:eastAsia="等线"/>
                      <w:color w:val="auto"/>
                      <w:sz w:val="21"/>
                      <w:szCs w:val="21"/>
                      <w:highlight w:val="none"/>
                      <w:lang w:val="en-US" w:eastAsia="zh-CN"/>
                    </w:rPr>
                  </w:pPr>
                  <w:r>
                    <w:rPr>
                      <w:rFonts w:hint="eastAsia" w:eastAsia="等线"/>
                      <w:color w:val="auto"/>
                      <w:sz w:val="21"/>
                      <w:szCs w:val="21"/>
                      <w:highlight w:val="none"/>
                      <w:lang w:val="en-US" w:eastAsia="zh-CN"/>
                    </w:rPr>
                    <w:t>40%</w:t>
                  </w:r>
                </w:p>
              </w:tc>
              <w:tc>
                <w:tcPr>
                  <w:tcW w:w="639" w:type="pct"/>
                  <w:vMerge w:val="continue"/>
                  <w:tcBorders>
                    <w:tl2br w:val="nil"/>
                    <w:tr2bl w:val="nil"/>
                  </w:tcBorders>
                  <w:shd w:val="clear" w:color="auto" w:fill="auto"/>
                  <w:noWrap w:val="0"/>
                  <w:vAlign w:val="center"/>
                </w:tcPr>
                <w:p w14:paraId="406431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627" w:type="pct"/>
                  <w:vMerge w:val="continue"/>
                  <w:tcBorders>
                    <w:tl2br w:val="nil"/>
                    <w:tr2bl w:val="nil"/>
                  </w:tcBorders>
                  <w:noWrap w:val="0"/>
                  <w:vAlign w:val="center"/>
                </w:tcPr>
                <w:p w14:paraId="79F86775">
                  <w:pPr>
                    <w:keepNext w:val="0"/>
                    <w:keepLines w:val="0"/>
                    <w:widowControl/>
                    <w:suppressLineNumbers w:val="0"/>
                    <w:spacing w:before="0" w:beforeAutospacing="0" w:after="0" w:afterAutospacing="0"/>
                    <w:ind w:left="0" w:right="0"/>
                    <w:jc w:val="center"/>
                    <w:rPr>
                      <w:rFonts w:hint="default" w:eastAsia="等线"/>
                      <w:color w:val="auto"/>
                      <w:sz w:val="21"/>
                      <w:szCs w:val="21"/>
                      <w:highlight w:val="none"/>
                      <w:lang w:val="en-US" w:eastAsia="zh-CN"/>
                    </w:rPr>
                  </w:pPr>
                </w:p>
              </w:tc>
              <w:tc>
                <w:tcPr>
                  <w:tcW w:w="671" w:type="pct"/>
                  <w:vMerge w:val="continue"/>
                  <w:tcBorders>
                    <w:tl2br w:val="nil"/>
                    <w:tr2bl w:val="nil"/>
                  </w:tcBorders>
                  <w:noWrap w:val="0"/>
                  <w:vAlign w:val="center"/>
                </w:tcPr>
                <w:p w14:paraId="2B9F524A">
                  <w:pPr>
                    <w:keepNext w:val="0"/>
                    <w:keepLines w:val="0"/>
                    <w:widowControl/>
                    <w:suppressLineNumbers w:val="0"/>
                    <w:spacing w:before="0" w:beforeAutospacing="0" w:after="0" w:afterAutospacing="0"/>
                    <w:ind w:left="0" w:right="0"/>
                    <w:jc w:val="center"/>
                    <w:rPr>
                      <w:rFonts w:hint="default" w:eastAsia="等线"/>
                      <w:color w:val="auto"/>
                      <w:sz w:val="21"/>
                      <w:szCs w:val="21"/>
                      <w:highlight w:val="none"/>
                      <w:lang w:val="en-US" w:eastAsia="zh-CN"/>
                    </w:rPr>
                  </w:pPr>
                </w:p>
              </w:tc>
            </w:tr>
            <w:tr w14:paraId="520C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tcBorders>
                    <w:tl2br w:val="nil"/>
                    <w:tr2bl w:val="nil"/>
                  </w:tcBorders>
                  <w:noWrap w:val="0"/>
                  <w:vAlign w:val="center"/>
                </w:tcPr>
                <w:p w14:paraId="428C845A">
                  <w:pPr>
                    <w:keepNext w:val="0"/>
                    <w:keepLines w:val="0"/>
                    <w:widowControl/>
                    <w:suppressLineNumbers w:val="0"/>
                    <w:spacing w:before="0" w:beforeAutospacing="0" w:after="0" w:afterAutospacing="0"/>
                    <w:ind w:left="0" w:right="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3</w:t>
                  </w:r>
                </w:p>
              </w:tc>
              <w:tc>
                <w:tcPr>
                  <w:tcW w:w="1086" w:type="pct"/>
                  <w:tcBorders>
                    <w:tl2br w:val="nil"/>
                    <w:tr2bl w:val="nil"/>
                  </w:tcBorders>
                  <w:shd w:val="clear" w:color="auto" w:fill="auto"/>
                  <w:noWrap w:val="0"/>
                  <w:vAlign w:val="center"/>
                </w:tcPr>
                <w:p w14:paraId="7C334C47">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邻苯二甲酸二辛酯</w:t>
                  </w:r>
                </w:p>
              </w:tc>
              <w:tc>
                <w:tcPr>
                  <w:tcW w:w="1025" w:type="pct"/>
                  <w:tcBorders>
                    <w:tl2br w:val="nil"/>
                    <w:tr2bl w:val="nil"/>
                  </w:tcBorders>
                  <w:noWrap w:val="0"/>
                  <w:vAlign w:val="center"/>
                </w:tcPr>
                <w:p w14:paraId="05112BC0">
                  <w:pPr>
                    <w:keepNext w:val="0"/>
                    <w:keepLines w:val="0"/>
                    <w:suppressLineNumbers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val="en-US" w:eastAsia="zh-CN"/>
                    </w:rPr>
                    <w:t>增塑剂（DOP）</w:t>
                  </w:r>
                </w:p>
              </w:tc>
              <w:tc>
                <w:tcPr>
                  <w:tcW w:w="566" w:type="pct"/>
                  <w:tcBorders>
                    <w:tl2br w:val="nil"/>
                    <w:tr2bl w:val="nil"/>
                  </w:tcBorders>
                  <w:noWrap w:val="0"/>
                  <w:vAlign w:val="center"/>
                </w:tcPr>
                <w:p w14:paraId="7AFF96C1">
                  <w:pPr>
                    <w:keepNext w:val="0"/>
                    <w:keepLines w:val="0"/>
                    <w:widowControl/>
                    <w:suppressLineNumbers w:val="0"/>
                    <w:spacing w:before="0" w:beforeAutospacing="0" w:after="0" w:afterAutospacing="0"/>
                    <w:ind w:left="0" w:right="0"/>
                    <w:jc w:val="center"/>
                    <w:rPr>
                      <w:rFonts w:hint="eastAsia" w:eastAsia="等线"/>
                      <w:color w:val="auto"/>
                      <w:sz w:val="21"/>
                      <w:szCs w:val="21"/>
                      <w:highlight w:val="none"/>
                      <w:lang w:val="en-US" w:eastAsia="zh-CN"/>
                    </w:rPr>
                  </w:pPr>
                  <w:r>
                    <w:rPr>
                      <w:rFonts w:hint="eastAsia" w:eastAsia="等线"/>
                      <w:color w:val="auto"/>
                      <w:sz w:val="21"/>
                      <w:szCs w:val="21"/>
                      <w:highlight w:val="none"/>
                      <w:lang w:val="en-US" w:eastAsia="zh-CN"/>
                    </w:rPr>
                    <w:t>100%</w:t>
                  </w:r>
                </w:p>
              </w:tc>
              <w:tc>
                <w:tcPr>
                  <w:tcW w:w="639" w:type="pct"/>
                  <w:tcBorders>
                    <w:tl2br w:val="nil"/>
                    <w:tr2bl w:val="nil"/>
                  </w:tcBorders>
                  <w:shd w:val="clear" w:color="auto" w:fill="auto"/>
                  <w:noWrap w:val="0"/>
                  <w:vAlign w:val="center"/>
                </w:tcPr>
                <w:p w14:paraId="6C3A34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w:t>
                  </w:r>
                </w:p>
              </w:tc>
              <w:tc>
                <w:tcPr>
                  <w:tcW w:w="627" w:type="pct"/>
                  <w:tcBorders>
                    <w:tl2br w:val="nil"/>
                    <w:tr2bl w:val="nil"/>
                  </w:tcBorders>
                  <w:noWrap w:val="0"/>
                  <w:vAlign w:val="center"/>
                </w:tcPr>
                <w:p w14:paraId="4979F4F4">
                  <w:pPr>
                    <w:keepNext w:val="0"/>
                    <w:keepLines w:val="0"/>
                    <w:widowControl/>
                    <w:suppressLineNumbers w:val="0"/>
                    <w:spacing w:before="0" w:beforeAutospacing="0" w:after="0" w:afterAutospacing="0"/>
                    <w:ind w:left="0" w:right="0"/>
                    <w:jc w:val="center"/>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10</w:t>
                  </w:r>
                </w:p>
              </w:tc>
              <w:tc>
                <w:tcPr>
                  <w:tcW w:w="671" w:type="pct"/>
                  <w:tcBorders>
                    <w:tl2br w:val="nil"/>
                    <w:tr2bl w:val="nil"/>
                  </w:tcBorders>
                  <w:noWrap w:val="0"/>
                  <w:vAlign w:val="center"/>
                </w:tcPr>
                <w:p w14:paraId="33928594">
                  <w:pPr>
                    <w:keepNext w:val="0"/>
                    <w:keepLines w:val="0"/>
                    <w:widowControl/>
                    <w:suppressLineNumbers w:val="0"/>
                    <w:spacing w:before="0" w:beforeAutospacing="0" w:after="0" w:afterAutospacing="0"/>
                    <w:ind w:left="0" w:right="0"/>
                    <w:jc w:val="center"/>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0.32</w:t>
                  </w:r>
                </w:p>
              </w:tc>
            </w:tr>
            <w:tr w14:paraId="3AD9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tcBorders>
                    <w:tl2br w:val="nil"/>
                    <w:tr2bl w:val="nil"/>
                  </w:tcBorders>
                  <w:noWrap w:val="0"/>
                  <w:vAlign w:val="center"/>
                </w:tcPr>
                <w:p w14:paraId="7841B316">
                  <w:pPr>
                    <w:keepNext w:val="0"/>
                    <w:keepLines w:val="0"/>
                    <w:widowControl/>
                    <w:suppressLineNumbers w:val="0"/>
                    <w:spacing w:before="0" w:beforeAutospacing="0" w:after="0" w:afterAutospacing="0"/>
                    <w:ind w:left="0" w:right="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4</w:t>
                  </w:r>
                </w:p>
              </w:tc>
              <w:tc>
                <w:tcPr>
                  <w:tcW w:w="1086" w:type="pct"/>
                  <w:tcBorders>
                    <w:tl2br w:val="nil"/>
                    <w:tr2bl w:val="nil"/>
                  </w:tcBorders>
                  <w:shd w:val="clear" w:color="auto" w:fill="auto"/>
                  <w:noWrap w:val="0"/>
                  <w:vAlign w:val="center"/>
                </w:tcPr>
                <w:p w14:paraId="2C11729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三乙烯二胺</w:t>
                  </w:r>
                </w:p>
              </w:tc>
              <w:tc>
                <w:tcPr>
                  <w:tcW w:w="1025" w:type="pct"/>
                  <w:tcBorders>
                    <w:tl2br w:val="nil"/>
                    <w:tr2bl w:val="nil"/>
                  </w:tcBorders>
                  <w:noWrap w:val="0"/>
                  <w:vAlign w:val="center"/>
                </w:tcPr>
                <w:p w14:paraId="4459B1CF">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s="Times New Roman"/>
                      <w:color w:val="auto"/>
                      <w:sz w:val="21"/>
                      <w:szCs w:val="21"/>
                      <w:highlight w:val="none"/>
                      <w:lang w:val="en-US" w:eastAsia="zh-CN"/>
                    </w:rPr>
                    <w:t>聚氨酯原液C料</w:t>
                  </w:r>
                </w:p>
              </w:tc>
              <w:tc>
                <w:tcPr>
                  <w:tcW w:w="566" w:type="pct"/>
                  <w:tcBorders>
                    <w:tl2br w:val="nil"/>
                    <w:tr2bl w:val="nil"/>
                  </w:tcBorders>
                  <w:noWrap w:val="0"/>
                  <w:vAlign w:val="center"/>
                </w:tcPr>
                <w:p w14:paraId="79D6482E">
                  <w:pPr>
                    <w:keepNext w:val="0"/>
                    <w:keepLines w:val="0"/>
                    <w:widowControl/>
                    <w:suppressLineNumbers w:val="0"/>
                    <w:spacing w:before="0" w:beforeAutospacing="0" w:after="0" w:afterAutospacing="0"/>
                    <w:ind w:left="0" w:right="0"/>
                    <w:jc w:val="center"/>
                    <w:rPr>
                      <w:rFonts w:hint="eastAsia" w:eastAsia="等线"/>
                      <w:color w:val="auto"/>
                      <w:sz w:val="21"/>
                      <w:szCs w:val="21"/>
                      <w:highlight w:val="none"/>
                      <w:lang w:val="en-US" w:eastAsia="zh-CN"/>
                    </w:rPr>
                  </w:pPr>
                  <w:r>
                    <w:rPr>
                      <w:rFonts w:hint="eastAsia" w:eastAsia="等线"/>
                      <w:color w:val="auto"/>
                      <w:sz w:val="21"/>
                      <w:szCs w:val="21"/>
                      <w:highlight w:val="none"/>
                      <w:lang w:val="en-US" w:eastAsia="zh-CN"/>
                    </w:rPr>
                    <w:t>35%</w:t>
                  </w:r>
                </w:p>
              </w:tc>
              <w:tc>
                <w:tcPr>
                  <w:tcW w:w="639" w:type="pct"/>
                  <w:tcBorders>
                    <w:tl2br w:val="nil"/>
                    <w:tr2bl w:val="nil"/>
                  </w:tcBorders>
                  <w:shd w:val="clear" w:color="auto" w:fill="auto"/>
                  <w:noWrap w:val="0"/>
                  <w:vAlign w:val="center"/>
                </w:tcPr>
                <w:p w14:paraId="54ED45C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0.126</w:t>
                  </w:r>
                </w:p>
              </w:tc>
              <w:tc>
                <w:tcPr>
                  <w:tcW w:w="627" w:type="pct"/>
                  <w:tcBorders>
                    <w:tl2br w:val="nil"/>
                    <w:tr2bl w:val="nil"/>
                  </w:tcBorders>
                  <w:noWrap w:val="0"/>
                  <w:vAlign w:val="center"/>
                </w:tcPr>
                <w:p w14:paraId="50076F66">
                  <w:pPr>
                    <w:keepNext w:val="0"/>
                    <w:keepLines w:val="0"/>
                    <w:widowControl/>
                    <w:suppressLineNumbers w:val="0"/>
                    <w:spacing w:before="0" w:beforeAutospacing="0" w:after="0" w:afterAutospacing="0"/>
                    <w:ind w:left="0" w:right="0"/>
                    <w:jc w:val="center"/>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50</w:t>
                  </w:r>
                </w:p>
              </w:tc>
              <w:tc>
                <w:tcPr>
                  <w:tcW w:w="671" w:type="pct"/>
                  <w:tcBorders>
                    <w:tl2br w:val="nil"/>
                    <w:tr2bl w:val="nil"/>
                  </w:tcBorders>
                  <w:noWrap w:val="0"/>
                  <w:vAlign w:val="center"/>
                </w:tcPr>
                <w:p w14:paraId="6C0CC101">
                  <w:pPr>
                    <w:keepNext w:val="0"/>
                    <w:keepLines w:val="0"/>
                    <w:widowControl/>
                    <w:suppressLineNumbers w:val="0"/>
                    <w:spacing w:before="0" w:beforeAutospacing="0" w:after="0" w:afterAutospacing="0"/>
                    <w:ind w:left="0" w:right="0"/>
                    <w:jc w:val="center"/>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0.00252</w:t>
                  </w:r>
                </w:p>
              </w:tc>
            </w:tr>
            <w:tr w14:paraId="2573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tcBorders>
                    <w:tl2br w:val="nil"/>
                    <w:tr2bl w:val="nil"/>
                  </w:tcBorders>
                  <w:noWrap w:val="0"/>
                  <w:vAlign w:val="center"/>
                </w:tcPr>
                <w:p w14:paraId="24C053D1">
                  <w:pPr>
                    <w:keepNext w:val="0"/>
                    <w:keepLines w:val="0"/>
                    <w:widowControl/>
                    <w:suppressLineNumbers w:val="0"/>
                    <w:spacing w:before="0" w:beforeAutospacing="0" w:after="0" w:afterAutospacing="0"/>
                    <w:ind w:left="0" w:right="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5</w:t>
                  </w:r>
                </w:p>
              </w:tc>
              <w:tc>
                <w:tcPr>
                  <w:tcW w:w="1086" w:type="pct"/>
                  <w:tcBorders>
                    <w:tl2br w:val="nil"/>
                    <w:tr2bl w:val="nil"/>
                  </w:tcBorders>
                  <w:shd w:val="clear" w:color="auto" w:fill="auto"/>
                  <w:noWrap w:val="0"/>
                  <w:vAlign w:val="center"/>
                </w:tcPr>
                <w:p w14:paraId="4021D13B">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机油</w:t>
                  </w:r>
                </w:p>
              </w:tc>
              <w:tc>
                <w:tcPr>
                  <w:tcW w:w="1025" w:type="pct"/>
                  <w:tcBorders>
                    <w:tl2br w:val="nil"/>
                    <w:tr2bl w:val="nil"/>
                  </w:tcBorders>
                  <w:shd w:val="clear" w:color="auto" w:fill="auto"/>
                  <w:noWrap w:val="0"/>
                  <w:vAlign w:val="center"/>
                </w:tcPr>
                <w:p w14:paraId="0B8F92D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机油</w:t>
                  </w:r>
                </w:p>
              </w:tc>
              <w:tc>
                <w:tcPr>
                  <w:tcW w:w="566" w:type="pct"/>
                  <w:tcBorders>
                    <w:tl2br w:val="nil"/>
                    <w:tr2bl w:val="nil"/>
                  </w:tcBorders>
                  <w:shd w:val="clear" w:color="auto" w:fill="auto"/>
                  <w:noWrap w:val="0"/>
                  <w:vAlign w:val="center"/>
                </w:tcPr>
                <w:p w14:paraId="4C31490C">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等线" w:cs="Times New Roman"/>
                      <w:color w:val="auto"/>
                      <w:kern w:val="2"/>
                      <w:sz w:val="21"/>
                      <w:szCs w:val="21"/>
                      <w:highlight w:val="none"/>
                      <w:lang w:val="en-US" w:eastAsia="zh-CN" w:bidi="ar-SA"/>
                    </w:rPr>
                  </w:pPr>
                  <w:r>
                    <w:rPr>
                      <w:rFonts w:hint="eastAsia" w:eastAsia="等线"/>
                      <w:color w:val="auto"/>
                      <w:sz w:val="21"/>
                      <w:szCs w:val="21"/>
                      <w:highlight w:val="none"/>
                      <w:lang w:val="en-US" w:eastAsia="zh-CN"/>
                    </w:rPr>
                    <w:t>100%</w:t>
                  </w:r>
                </w:p>
              </w:tc>
              <w:tc>
                <w:tcPr>
                  <w:tcW w:w="639" w:type="pct"/>
                  <w:tcBorders>
                    <w:tl2br w:val="nil"/>
                    <w:tr2bl w:val="nil"/>
                  </w:tcBorders>
                  <w:shd w:val="clear" w:color="auto" w:fill="auto"/>
                  <w:noWrap w:val="0"/>
                  <w:vAlign w:val="center"/>
                </w:tcPr>
                <w:p w14:paraId="41EA37B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0.05</w:t>
                  </w:r>
                </w:p>
              </w:tc>
              <w:tc>
                <w:tcPr>
                  <w:tcW w:w="627" w:type="pct"/>
                  <w:tcBorders>
                    <w:tl2br w:val="nil"/>
                    <w:tr2bl w:val="nil"/>
                  </w:tcBorders>
                  <w:noWrap w:val="0"/>
                  <w:vAlign w:val="center"/>
                </w:tcPr>
                <w:p w14:paraId="04D3191A">
                  <w:pPr>
                    <w:keepNext w:val="0"/>
                    <w:keepLines w:val="0"/>
                    <w:widowControl/>
                    <w:suppressLineNumbers w:val="0"/>
                    <w:spacing w:before="0" w:beforeAutospacing="0" w:after="0" w:afterAutospacing="0"/>
                    <w:ind w:left="0" w:right="0"/>
                    <w:jc w:val="center"/>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2500</w:t>
                  </w:r>
                </w:p>
              </w:tc>
              <w:tc>
                <w:tcPr>
                  <w:tcW w:w="671" w:type="pct"/>
                  <w:tcBorders>
                    <w:tl2br w:val="nil"/>
                    <w:tr2bl w:val="nil"/>
                  </w:tcBorders>
                  <w:noWrap w:val="0"/>
                  <w:vAlign w:val="center"/>
                </w:tcPr>
                <w:p w14:paraId="06135DB4">
                  <w:pPr>
                    <w:keepNext w:val="0"/>
                    <w:keepLines w:val="0"/>
                    <w:widowControl/>
                    <w:suppressLineNumbers w:val="0"/>
                    <w:spacing w:before="0" w:beforeAutospacing="0" w:after="0" w:afterAutospacing="0"/>
                    <w:ind w:left="0" w:right="0"/>
                    <w:jc w:val="center"/>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0.00002</w:t>
                  </w:r>
                </w:p>
              </w:tc>
            </w:tr>
            <w:tr w14:paraId="50812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tcBorders>
                    <w:tl2br w:val="nil"/>
                    <w:tr2bl w:val="nil"/>
                  </w:tcBorders>
                  <w:noWrap w:val="0"/>
                  <w:vAlign w:val="center"/>
                </w:tcPr>
                <w:p w14:paraId="37BE3994">
                  <w:pPr>
                    <w:keepNext w:val="0"/>
                    <w:keepLines w:val="0"/>
                    <w:widowControl/>
                    <w:suppressLineNumbers w:val="0"/>
                    <w:spacing w:before="0" w:beforeAutospacing="0" w:after="0" w:afterAutospacing="0"/>
                    <w:ind w:left="0" w:right="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6</w:t>
                  </w:r>
                </w:p>
              </w:tc>
              <w:tc>
                <w:tcPr>
                  <w:tcW w:w="1086" w:type="pct"/>
                  <w:tcBorders>
                    <w:tl2br w:val="nil"/>
                    <w:tr2bl w:val="nil"/>
                  </w:tcBorders>
                  <w:shd w:val="clear" w:color="auto" w:fill="auto"/>
                  <w:noWrap w:val="0"/>
                  <w:vAlign w:val="center"/>
                </w:tcPr>
                <w:p w14:paraId="6C83EF7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废机油</w:t>
                  </w:r>
                </w:p>
              </w:tc>
              <w:tc>
                <w:tcPr>
                  <w:tcW w:w="1025" w:type="pct"/>
                  <w:tcBorders>
                    <w:tl2br w:val="nil"/>
                    <w:tr2bl w:val="nil"/>
                  </w:tcBorders>
                  <w:noWrap w:val="0"/>
                  <w:vAlign w:val="center"/>
                </w:tcPr>
                <w:p w14:paraId="0263FD1B">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废机油</w:t>
                  </w:r>
                </w:p>
              </w:tc>
              <w:tc>
                <w:tcPr>
                  <w:tcW w:w="566" w:type="pct"/>
                  <w:tcBorders>
                    <w:tl2br w:val="nil"/>
                    <w:tr2bl w:val="nil"/>
                  </w:tcBorders>
                  <w:noWrap w:val="0"/>
                  <w:vAlign w:val="center"/>
                </w:tcPr>
                <w:p w14:paraId="5F6AE202">
                  <w:pPr>
                    <w:keepNext w:val="0"/>
                    <w:keepLines w:val="0"/>
                    <w:widowControl/>
                    <w:suppressLineNumbers w:val="0"/>
                    <w:spacing w:before="0" w:beforeAutospacing="0" w:after="0" w:afterAutospacing="0"/>
                    <w:ind w:left="0" w:right="0"/>
                    <w:jc w:val="center"/>
                    <w:rPr>
                      <w:rFonts w:hint="eastAsia" w:eastAsia="等线"/>
                      <w:color w:val="auto"/>
                      <w:sz w:val="21"/>
                      <w:szCs w:val="21"/>
                      <w:highlight w:val="none"/>
                      <w:lang w:val="en-US" w:eastAsia="zh-CN"/>
                    </w:rPr>
                  </w:pPr>
                  <w:r>
                    <w:rPr>
                      <w:rFonts w:hint="eastAsia" w:eastAsia="等线"/>
                      <w:color w:val="auto"/>
                      <w:sz w:val="21"/>
                      <w:szCs w:val="21"/>
                      <w:highlight w:val="none"/>
                      <w:lang w:val="en-US" w:eastAsia="zh-CN"/>
                    </w:rPr>
                    <w:t>100%</w:t>
                  </w:r>
                </w:p>
              </w:tc>
              <w:tc>
                <w:tcPr>
                  <w:tcW w:w="639" w:type="pct"/>
                  <w:tcBorders>
                    <w:tl2br w:val="nil"/>
                    <w:tr2bl w:val="nil"/>
                  </w:tcBorders>
                  <w:shd w:val="clear" w:color="auto" w:fill="auto"/>
                  <w:noWrap w:val="0"/>
                  <w:vAlign w:val="center"/>
                </w:tcPr>
                <w:p w14:paraId="2C3C4E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0.05</w:t>
                  </w:r>
                </w:p>
              </w:tc>
              <w:tc>
                <w:tcPr>
                  <w:tcW w:w="627" w:type="pct"/>
                  <w:tcBorders>
                    <w:tl2br w:val="nil"/>
                    <w:tr2bl w:val="nil"/>
                  </w:tcBorders>
                  <w:noWrap w:val="0"/>
                  <w:vAlign w:val="center"/>
                </w:tcPr>
                <w:p w14:paraId="5C03FFF8">
                  <w:pPr>
                    <w:keepNext w:val="0"/>
                    <w:keepLines w:val="0"/>
                    <w:widowControl/>
                    <w:suppressLineNumbers w:val="0"/>
                    <w:spacing w:before="0" w:beforeAutospacing="0" w:after="0" w:afterAutospacing="0"/>
                    <w:ind w:left="0" w:right="0"/>
                    <w:jc w:val="center"/>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50</w:t>
                  </w:r>
                </w:p>
              </w:tc>
              <w:tc>
                <w:tcPr>
                  <w:tcW w:w="671" w:type="pct"/>
                  <w:tcBorders>
                    <w:tl2br w:val="nil"/>
                    <w:tr2bl w:val="nil"/>
                  </w:tcBorders>
                  <w:noWrap w:val="0"/>
                  <w:vAlign w:val="center"/>
                </w:tcPr>
                <w:p w14:paraId="2F5BD379">
                  <w:pPr>
                    <w:keepNext w:val="0"/>
                    <w:keepLines w:val="0"/>
                    <w:widowControl/>
                    <w:suppressLineNumbers w:val="0"/>
                    <w:spacing w:before="0" w:beforeAutospacing="0" w:after="0" w:afterAutospacing="0"/>
                    <w:ind w:left="0" w:right="0"/>
                    <w:jc w:val="center"/>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0.001</w:t>
                  </w:r>
                </w:p>
              </w:tc>
            </w:tr>
            <w:tr w14:paraId="105E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4" w:type="pct"/>
                  <w:tcBorders>
                    <w:tl2br w:val="nil"/>
                    <w:tr2bl w:val="nil"/>
                  </w:tcBorders>
                  <w:noWrap w:val="0"/>
                  <w:vAlign w:val="center"/>
                </w:tcPr>
                <w:p w14:paraId="39981905">
                  <w:pPr>
                    <w:keepNext w:val="0"/>
                    <w:keepLines w:val="0"/>
                    <w:widowControl/>
                    <w:suppressLineNumbers w:val="0"/>
                    <w:spacing w:before="0" w:beforeAutospacing="0" w:after="0" w:afterAutospacing="0"/>
                    <w:ind w:left="0" w:right="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7</w:t>
                  </w:r>
                </w:p>
              </w:tc>
              <w:tc>
                <w:tcPr>
                  <w:tcW w:w="1086" w:type="pct"/>
                  <w:tcBorders>
                    <w:tl2br w:val="nil"/>
                    <w:tr2bl w:val="nil"/>
                  </w:tcBorders>
                  <w:shd w:val="clear" w:color="auto" w:fill="auto"/>
                  <w:noWrap w:val="0"/>
                  <w:vAlign w:val="center"/>
                </w:tcPr>
                <w:p w14:paraId="4142FE7B">
                  <w:pPr>
                    <w:keepNext w:val="0"/>
                    <w:keepLines w:val="0"/>
                    <w:suppressLineNumbers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甲烷</w:t>
                  </w:r>
                </w:p>
              </w:tc>
              <w:tc>
                <w:tcPr>
                  <w:tcW w:w="1025" w:type="pct"/>
                  <w:tcBorders>
                    <w:tl2br w:val="nil"/>
                    <w:tr2bl w:val="nil"/>
                  </w:tcBorders>
                  <w:noWrap w:val="0"/>
                  <w:vAlign w:val="center"/>
                </w:tcPr>
                <w:p w14:paraId="38CEB199">
                  <w:pPr>
                    <w:keepNext w:val="0"/>
                    <w:keepLines w:val="0"/>
                    <w:suppressLineNumbers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天然气</w:t>
                  </w:r>
                </w:p>
              </w:tc>
              <w:tc>
                <w:tcPr>
                  <w:tcW w:w="566" w:type="pct"/>
                  <w:tcBorders>
                    <w:tl2br w:val="nil"/>
                    <w:tr2bl w:val="nil"/>
                  </w:tcBorders>
                  <w:noWrap w:val="0"/>
                  <w:vAlign w:val="center"/>
                </w:tcPr>
                <w:p w14:paraId="7C5C3A96">
                  <w:pPr>
                    <w:keepNext w:val="0"/>
                    <w:keepLines w:val="0"/>
                    <w:widowControl/>
                    <w:suppressLineNumbers w:val="0"/>
                    <w:spacing w:before="0" w:beforeAutospacing="0" w:after="0" w:afterAutospacing="0"/>
                    <w:ind w:left="0" w:right="0"/>
                    <w:jc w:val="center"/>
                    <w:rPr>
                      <w:rFonts w:hint="eastAsia" w:eastAsia="等线"/>
                      <w:color w:val="auto"/>
                      <w:sz w:val="21"/>
                      <w:szCs w:val="21"/>
                      <w:highlight w:val="none"/>
                      <w:lang w:val="en-US" w:eastAsia="zh-CN"/>
                    </w:rPr>
                  </w:pPr>
                  <w:r>
                    <w:rPr>
                      <w:rFonts w:hint="eastAsia" w:eastAsia="等线"/>
                      <w:color w:val="auto"/>
                      <w:sz w:val="21"/>
                      <w:szCs w:val="21"/>
                      <w:highlight w:val="none"/>
                      <w:lang w:val="en-US" w:eastAsia="zh-CN"/>
                    </w:rPr>
                    <w:t>100%</w:t>
                  </w:r>
                </w:p>
              </w:tc>
              <w:tc>
                <w:tcPr>
                  <w:tcW w:w="639" w:type="pct"/>
                  <w:tcBorders>
                    <w:tl2br w:val="nil"/>
                    <w:tr2bl w:val="nil"/>
                  </w:tcBorders>
                  <w:shd w:val="clear" w:color="auto" w:fill="auto"/>
                  <w:noWrap w:val="0"/>
                  <w:vAlign w:val="center"/>
                </w:tcPr>
                <w:p w14:paraId="4B8C7897">
                  <w:pPr>
                    <w:keepNext w:val="0"/>
                    <w:keepLines w:val="0"/>
                    <w:suppressLineNumbers w:val="0"/>
                    <w:adjustRightInd w:val="0"/>
                    <w:snapToGrid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olor w:val="auto"/>
                      <w:sz w:val="21"/>
                      <w:szCs w:val="21"/>
                      <w:highlight w:val="none"/>
                      <w:lang w:val="en-US" w:eastAsia="zh-CN"/>
                    </w:rPr>
                    <w:t>0.00024</w:t>
                  </w:r>
                </w:p>
              </w:tc>
              <w:tc>
                <w:tcPr>
                  <w:tcW w:w="627" w:type="pct"/>
                  <w:tcBorders>
                    <w:tl2br w:val="nil"/>
                    <w:tr2bl w:val="nil"/>
                  </w:tcBorders>
                  <w:noWrap w:val="0"/>
                  <w:vAlign w:val="center"/>
                </w:tcPr>
                <w:p w14:paraId="77918536">
                  <w:pPr>
                    <w:keepNext w:val="0"/>
                    <w:keepLines w:val="0"/>
                    <w:widowControl/>
                    <w:suppressLineNumbers w:val="0"/>
                    <w:spacing w:before="0" w:beforeAutospacing="0" w:after="0" w:afterAutospacing="0"/>
                    <w:ind w:left="0" w:right="0"/>
                    <w:jc w:val="center"/>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10</w:t>
                  </w:r>
                </w:p>
              </w:tc>
              <w:tc>
                <w:tcPr>
                  <w:tcW w:w="671" w:type="pct"/>
                  <w:tcBorders>
                    <w:tl2br w:val="nil"/>
                    <w:tr2bl w:val="nil"/>
                  </w:tcBorders>
                  <w:noWrap w:val="0"/>
                  <w:vAlign w:val="center"/>
                </w:tcPr>
                <w:p w14:paraId="5E3C6B51">
                  <w:pPr>
                    <w:keepNext w:val="0"/>
                    <w:keepLines w:val="0"/>
                    <w:widowControl/>
                    <w:suppressLineNumbers w:val="0"/>
                    <w:spacing w:before="0" w:beforeAutospacing="0" w:after="0" w:afterAutospacing="0"/>
                    <w:ind w:left="0" w:right="0"/>
                    <w:jc w:val="center"/>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0.000024</w:t>
                  </w:r>
                </w:p>
              </w:tc>
            </w:tr>
            <w:tr w14:paraId="051B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8" w:type="pct"/>
                  <w:gridSpan w:val="6"/>
                  <w:tcBorders>
                    <w:tl2br w:val="nil"/>
                    <w:tr2bl w:val="nil"/>
                  </w:tcBorders>
                  <w:noWrap w:val="0"/>
                  <w:vAlign w:val="center"/>
                </w:tcPr>
                <w:p w14:paraId="1004E2CB">
                  <w:pPr>
                    <w:keepNext w:val="0"/>
                    <w:keepLines w:val="0"/>
                    <w:widowControl/>
                    <w:suppressLineNumbers w:val="0"/>
                    <w:spacing w:before="0" w:beforeAutospacing="0" w:after="0" w:afterAutospacing="0"/>
                    <w:ind w:left="0" w:right="0"/>
                    <w:jc w:val="center"/>
                    <w:rPr>
                      <w:color w:val="auto"/>
                      <w:sz w:val="21"/>
                      <w:szCs w:val="21"/>
                      <w:highlight w:val="none"/>
                    </w:rPr>
                  </w:pPr>
                  <w:r>
                    <w:rPr>
                      <w:color w:val="auto"/>
                      <w:sz w:val="21"/>
                      <w:szCs w:val="21"/>
                      <w:highlight w:val="none"/>
                    </w:rPr>
                    <w:t>合计</w:t>
                  </w:r>
                </w:p>
              </w:tc>
              <w:tc>
                <w:tcPr>
                  <w:tcW w:w="671" w:type="pct"/>
                  <w:tcBorders>
                    <w:tl2br w:val="nil"/>
                    <w:tr2bl w:val="nil"/>
                  </w:tcBorders>
                  <w:noWrap w:val="0"/>
                  <w:vAlign w:val="center"/>
                </w:tcPr>
                <w:p w14:paraId="123EA5EE">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lang w:val="en-US" w:eastAsia="zh-CN"/>
                    </w:rPr>
                  </w:pPr>
                  <w:r>
                    <w:rPr>
                      <w:rFonts w:hint="eastAsia" w:eastAsia="等线"/>
                      <w:color w:val="auto"/>
                      <w:kern w:val="0"/>
                      <w:sz w:val="21"/>
                      <w:szCs w:val="21"/>
                      <w:highlight w:val="none"/>
                      <w:lang w:val="en-US" w:eastAsia="zh-CN"/>
                    </w:rPr>
                    <w:t>0.395564</w:t>
                  </w:r>
                </w:p>
              </w:tc>
            </w:tr>
          </w:tbl>
          <w:p w14:paraId="4DCF848C">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0"/>
                <w:szCs w:val="20"/>
                <w:highlight w:val="none"/>
                <w:lang w:val="en-US" w:eastAsia="zh-CN" w:bidi="ar"/>
              </w:rPr>
              <w:t>注：二苯甲烷二异氰酸酯</w:t>
            </w:r>
            <w:r>
              <w:rPr>
                <w:rFonts w:hint="eastAsia" w:ascii="Times New Roman" w:hAnsi="Times New Roman" w:eastAsia="宋体" w:cs="Times New Roman"/>
                <w:color w:val="auto"/>
                <w:kern w:val="0"/>
                <w:sz w:val="20"/>
                <w:szCs w:val="20"/>
                <w:highlight w:val="none"/>
                <w:lang w:val="en-US" w:eastAsia="zh-CN" w:bidi="ar"/>
              </w:rPr>
              <w:t>、</w:t>
            </w:r>
            <w:r>
              <w:rPr>
                <w:rFonts w:hint="default" w:ascii="Times New Roman" w:hAnsi="Times New Roman" w:eastAsia="宋体" w:cs="Times New Roman"/>
                <w:color w:val="auto"/>
                <w:kern w:val="0"/>
                <w:sz w:val="20"/>
                <w:szCs w:val="20"/>
                <w:highlight w:val="none"/>
                <w:lang w:val="en-US" w:eastAsia="zh-CN" w:bidi="ar"/>
              </w:rPr>
              <w:t>氨基甲酸酯改性二苯基甲烷二异氰酸酯</w:t>
            </w:r>
            <w:r>
              <w:rPr>
                <w:rFonts w:hint="eastAsia" w:ascii="Times New Roman" w:hAnsi="Times New Roman" w:eastAsia="宋体" w:cs="Times New Roman"/>
                <w:color w:val="auto"/>
                <w:kern w:val="0"/>
                <w:sz w:val="20"/>
                <w:szCs w:val="20"/>
                <w:highlight w:val="none"/>
                <w:lang w:val="en-US" w:eastAsia="zh-CN" w:bidi="ar"/>
              </w:rPr>
              <w:t>和</w:t>
            </w:r>
            <w:r>
              <w:rPr>
                <w:rFonts w:hint="eastAsia" w:ascii="宋体" w:hAnsi="宋体" w:eastAsia="宋体" w:cs="宋体"/>
                <w:color w:val="auto"/>
                <w:kern w:val="0"/>
                <w:sz w:val="20"/>
                <w:szCs w:val="20"/>
                <w:highlight w:val="none"/>
                <w:lang w:val="en-US" w:eastAsia="zh-CN" w:bidi="ar"/>
              </w:rPr>
              <w:t>三乙烯二胺</w:t>
            </w:r>
            <w:r>
              <w:rPr>
                <w:rFonts w:hint="default" w:ascii="Times New Roman" w:hAnsi="Times New Roman" w:eastAsia="宋体" w:cs="Times New Roman"/>
                <w:color w:val="auto"/>
                <w:kern w:val="0"/>
                <w:sz w:val="20"/>
                <w:szCs w:val="20"/>
                <w:highlight w:val="none"/>
                <w:lang w:val="en-US" w:eastAsia="zh-CN" w:bidi="ar"/>
              </w:rPr>
              <w:t>临界值按照《建设项目环境风险评价技术导则》（HJ169-2018）附录B.2健康危险急性毒性物质（类别2）确定为50t。</w:t>
            </w:r>
          </w:p>
          <w:p w14:paraId="579A590E">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left"/>
              <w:textAlignment w:val="auto"/>
              <w:rPr>
                <w:color w:val="auto"/>
                <w:sz w:val="24"/>
                <w:szCs w:val="22"/>
                <w:highlight w:val="none"/>
              </w:rPr>
            </w:pPr>
            <w:r>
              <w:rPr>
                <w:color w:val="auto"/>
                <w:sz w:val="24"/>
                <w:szCs w:val="22"/>
                <w:highlight w:val="none"/>
              </w:rPr>
              <w:t>根据上表可知，项目环境风险物质数量与临界量比值（Q）为0.</w:t>
            </w:r>
            <w:r>
              <w:rPr>
                <w:rFonts w:hint="eastAsia"/>
                <w:color w:val="auto"/>
                <w:sz w:val="24"/>
                <w:szCs w:val="22"/>
                <w:highlight w:val="none"/>
                <w:lang w:val="en-US" w:eastAsia="zh-CN"/>
              </w:rPr>
              <w:t>395564</w:t>
            </w:r>
            <w:r>
              <w:rPr>
                <w:color w:val="auto"/>
                <w:sz w:val="24"/>
                <w:szCs w:val="22"/>
                <w:highlight w:val="none"/>
              </w:rPr>
              <w:t>&lt;1；根据《建设项目环境风险评价技术导则》（HJ 169-2018），当Q&lt;1时，</w:t>
            </w:r>
            <w:r>
              <w:rPr>
                <w:rFonts w:hint="eastAsia"/>
                <w:color w:val="auto"/>
                <w:sz w:val="24"/>
                <w:szCs w:val="22"/>
                <w:highlight w:val="none"/>
                <w:lang w:eastAsia="zh-CN"/>
              </w:rPr>
              <w:t>则</w:t>
            </w:r>
            <w:r>
              <w:rPr>
                <w:color w:val="auto"/>
                <w:sz w:val="24"/>
                <w:szCs w:val="22"/>
                <w:highlight w:val="none"/>
              </w:rPr>
              <w:t>项目环境风险潜势为I级。</w:t>
            </w:r>
          </w:p>
          <w:p w14:paraId="465225B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b/>
                <w:color w:val="auto"/>
                <w:sz w:val="24"/>
                <w:szCs w:val="22"/>
                <w:highlight w:val="none"/>
              </w:rPr>
            </w:pPr>
            <w:r>
              <w:rPr>
                <w:rFonts w:hint="eastAsia"/>
                <w:b w:val="0"/>
                <w:bCs/>
                <w:color w:val="auto"/>
                <w:sz w:val="24"/>
                <w:szCs w:val="22"/>
                <w:highlight w:val="none"/>
                <w:lang w:val="en-US" w:eastAsia="zh-CN"/>
              </w:rPr>
              <w:t>三、</w:t>
            </w:r>
            <w:r>
              <w:rPr>
                <w:b w:val="0"/>
                <w:bCs/>
                <w:color w:val="auto"/>
                <w:sz w:val="24"/>
                <w:szCs w:val="22"/>
                <w:highlight w:val="none"/>
              </w:rPr>
              <w:t>环境风险识别</w:t>
            </w:r>
          </w:p>
          <w:p w14:paraId="657D4BA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color w:val="auto"/>
                <w:sz w:val="24"/>
                <w:szCs w:val="22"/>
                <w:highlight w:val="none"/>
              </w:rPr>
            </w:pPr>
            <w:r>
              <w:rPr>
                <w:color w:val="auto"/>
                <w:sz w:val="24"/>
                <w:szCs w:val="22"/>
                <w:highlight w:val="none"/>
              </w:rPr>
              <w:t>本项目主要环境风险识别见下</w:t>
            </w:r>
            <w:r>
              <w:rPr>
                <w:color w:val="auto"/>
                <w:sz w:val="24"/>
                <w:szCs w:val="22"/>
                <w:highlight w:val="none"/>
              </w:rPr>
              <w:fldChar w:fldCharType="begin"/>
            </w:r>
            <w:r>
              <w:rPr>
                <w:color w:val="auto"/>
                <w:sz w:val="24"/>
                <w:szCs w:val="22"/>
                <w:highlight w:val="none"/>
              </w:rPr>
              <w:instrText xml:space="preserve"> REF _Ref23151559 \h  \* MERGEFORMAT </w:instrText>
            </w:r>
            <w:r>
              <w:rPr>
                <w:color w:val="auto"/>
                <w:sz w:val="24"/>
                <w:szCs w:val="22"/>
                <w:highlight w:val="none"/>
              </w:rPr>
              <w:fldChar w:fldCharType="separate"/>
            </w:r>
            <w:r>
              <w:rPr>
                <w:color w:val="auto"/>
                <w:sz w:val="24"/>
                <w:szCs w:val="22"/>
                <w:highlight w:val="none"/>
              </w:rPr>
              <w:t>表</w:t>
            </w:r>
            <w:r>
              <w:rPr>
                <w:color w:val="auto"/>
                <w:sz w:val="24"/>
                <w:szCs w:val="22"/>
                <w:highlight w:val="none"/>
              </w:rPr>
              <w:fldChar w:fldCharType="end"/>
            </w:r>
            <w:r>
              <w:rPr>
                <w:color w:val="auto"/>
                <w:sz w:val="24"/>
                <w:szCs w:val="22"/>
                <w:highlight w:val="none"/>
              </w:rPr>
              <w:t>：</w:t>
            </w:r>
          </w:p>
          <w:p w14:paraId="0649A1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表4-</w:t>
            </w:r>
            <w:r>
              <w:rPr>
                <w:rFonts w:hint="eastAsia" w:cs="Times New Roman"/>
                <w:b/>
                <w:color w:val="auto"/>
                <w:szCs w:val="21"/>
                <w:highlight w:val="none"/>
                <w:lang w:val="en-US" w:eastAsia="zh-CN"/>
              </w:rPr>
              <w:t>22</w:t>
            </w:r>
            <w:r>
              <w:rPr>
                <w:rFonts w:hint="eastAsia" w:ascii="Times New Roman" w:hAnsi="Times New Roman" w:eastAsia="宋体" w:cs="Times New Roman"/>
                <w:b/>
                <w:color w:val="auto"/>
                <w:szCs w:val="21"/>
                <w:highlight w:val="none"/>
                <w:lang w:val="en-US" w:eastAsia="zh-CN"/>
              </w:rPr>
              <w:t xml:space="preserve">  本项目涉及的主要危险物质环境风险识别</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1669"/>
              <w:gridCol w:w="720"/>
              <w:gridCol w:w="1349"/>
              <w:gridCol w:w="3346"/>
            </w:tblGrid>
            <w:tr w14:paraId="1D7E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353" w:type="dxa"/>
                  <w:noWrap w:val="0"/>
                  <w:vAlign w:val="center"/>
                </w:tcPr>
                <w:p w14:paraId="63E5C7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b/>
                      <w:color w:val="auto"/>
                      <w:sz w:val="21"/>
                      <w:szCs w:val="21"/>
                      <w:highlight w:val="none"/>
                    </w:rPr>
                  </w:pPr>
                  <w:r>
                    <w:rPr>
                      <w:b/>
                      <w:color w:val="auto"/>
                      <w:sz w:val="21"/>
                      <w:szCs w:val="21"/>
                      <w:highlight w:val="none"/>
                    </w:rPr>
                    <w:t>风险单元</w:t>
                  </w:r>
                </w:p>
              </w:tc>
              <w:tc>
                <w:tcPr>
                  <w:tcW w:w="1669" w:type="dxa"/>
                  <w:noWrap w:val="0"/>
                  <w:vAlign w:val="center"/>
                </w:tcPr>
                <w:p w14:paraId="118300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b/>
                      <w:color w:val="auto"/>
                      <w:sz w:val="21"/>
                      <w:szCs w:val="21"/>
                      <w:highlight w:val="none"/>
                    </w:rPr>
                  </w:pPr>
                  <w:r>
                    <w:rPr>
                      <w:b/>
                      <w:color w:val="auto"/>
                      <w:sz w:val="21"/>
                      <w:szCs w:val="21"/>
                      <w:highlight w:val="none"/>
                    </w:rPr>
                    <w:t>涉及风险物质</w:t>
                  </w:r>
                </w:p>
              </w:tc>
              <w:tc>
                <w:tcPr>
                  <w:tcW w:w="720" w:type="dxa"/>
                  <w:noWrap w:val="0"/>
                  <w:vAlign w:val="center"/>
                </w:tcPr>
                <w:p w14:paraId="209AE1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b/>
                      <w:color w:val="auto"/>
                      <w:sz w:val="21"/>
                      <w:szCs w:val="21"/>
                      <w:highlight w:val="none"/>
                    </w:rPr>
                  </w:pPr>
                  <w:r>
                    <w:rPr>
                      <w:b/>
                      <w:color w:val="auto"/>
                      <w:sz w:val="21"/>
                      <w:szCs w:val="21"/>
                      <w:highlight w:val="none"/>
                    </w:rPr>
                    <w:t>事故类型</w:t>
                  </w:r>
                </w:p>
              </w:tc>
              <w:tc>
                <w:tcPr>
                  <w:tcW w:w="1349" w:type="dxa"/>
                  <w:noWrap w:val="0"/>
                  <w:vAlign w:val="center"/>
                </w:tcPr>
                <w:p w14:paraId="2D7D62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b/>
                      <w:color w:val="auto"/>
                      <w:sz w:val="21"/>
                      <w:szCs w:val="21"/>
                      <w:highlight w:val="none"/>
                    </w:rPr>
                  </w:pPr>
                  <w:r>
                    <w:rPr>
                      <w:b/>
                      <w:color w:val="auto"/>
                      <w:sz w:val="21"/>
                      <w:szCs w:val="21"/>
                      <w:highlight w:val="none"/>
                    </w:rPr>
                    <w:t>可能影响的环境途径</w:t>
                  </w:r>
                </w:p>
              </w:tc>
              <w:tc>
                <w:tcPr>
                  <w:tcW w:w="3346" w:type="dxa"/>
                  <w:noWrap w:val="0"/>
                  <w:vAlign w:val="center"/>
                </w:tcPr>
                <w:p w14:paraId="746EB0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b/>
                      <w:color w:val="auto"/>
                      <w:sz w:val="21"/>
                      <w:szCs w:val="21"/>
                      <w:highlight w:val="none"/>
                      <w:lang w:val="en-US" w:eastAsia="zh-CN"/>
                    </w:rPr>
                  </w:pPr>
                  <w:r>
                    <w:rPr>
                      <w:rFonts w:hint="eastAsia"/>
                      <w:b/>
                      <w:color w:val="auto"/>
                      <w:sz w:val="21"/>
                      <w:szCs w:val="21"/>
                      <w:highlight w:val="none"/>
                      <w:lang w:val="en-US" w:eastAsia="zh-CN"/>
                    </w:rPr>
                    <w:t>后果</w:t>
                  </w:r>
                </w:p>
              </w:tc>
            </w:tr>
            <w:tr w14:paraId="2BED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353" w:type="dxa"/>
                  <w:noWrap w:val="0"/>
                  <w:vAlign w:val="center"/>
                </w:tcPr>
                <w:p w14:paraId="4A560F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生产车间</w:t>
                  </w:r>
                </w:p>
              </w:tc>
              <w:tc>
                <w:tcPr>
                  <w:tcW w:w="1669" w:type="dxa"/>
                  <w:noWrap w:val="0"/>
                  <w:vAlign w:val="center"/>
                </w:tcPr>
                <w:p w14:paraId="333AEC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DOP、</w:t>
                  </w:r>
                  <w:r>
                    <w:rPr>
                      <w:rFonts w:hint="eastAsia" w:cs="Times New Roman"/>
                      <w:color w:val="auto"/>
                      <w:kern w:val="2"/>
                      <w:sz w:val="21"/>
                      <w:szCs w:val="21"/>
                      <w:highlight w:val="none"/>
                      <w:lang w:val="en-US" w:eastAsia="zh-CN" w:bidi="ar-SA"/>
                    </w:rPr>
                    <w:t>聚氨酯原液、脱模剂</w:t>
                  </w:r>
                </w:p>
              </w:tc>
              <w:tc>
                <w:tcPr>
                  <w:tcW w:w="720" w:type="dxa"/>
                  <w:noWrap w:val="0"/>
                  <w:vAlign w:val="center"/>
                </w:tcPr>
                <w:p w14:paraId="4FFB82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bCs/>
                      <w:color w:val="auto"/>
                      <w:sz w:val="21"/>
                      <w:szCs w:val="21"/>
                      <w:highlight w:val="none"/>
                      <w:lang w:val="en-US" w:eastAsia="zh-CN"/>
                    </w:rPr>
                  </w:pPr>
                  <w:r>
                    <w:rPr>
                      <w:bCs/>
                      <w:color w:val="auto"/>
                      <w:sz w:val="21"/>
                      <w:szCs w:val="21"/>
                      <w:highlight w:val="none"/>
                    </w:rPr>
                    <w:t>泄漏</w:t>
                  </w:r>
                </w:p>
              </w:tc>
              <w:tc>
                <w:tcPr>
                  <w:tcW w:w="1349" w:type="dxa"/>
                  <w:noWrap w:val="0"/>
                  <w:vAlign w:val="center"/>
                </w:tcPr>
                <w:p w14:paraId="2EAD23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bCs/>
                      <w:color w:val="auto"/>
                      <w:sz w:val="21"/>
                      <w:szCs w:val="21"/>
                      <w:highlight w:val="none"/>
                    </w:rPr>
                  </w:pPr>
                  <w:r>
                    <w:rPr>
                      <w:rFonts w:hint="eastAsia"/>
                      <w:bCs/>
                      <w:color w:val="auto"/>
                      <w:sz w:val="21"/>
                      <w:szCs w:val="21"/>
                      <w:highlight w:val="none"/>
                      <w:lang w:val="en-US" w:eastAsia="zh-CN"/>
                    </w:rPr>
                    <w:t>大气、</w:t>
                  </w:r>
                  <w:r>
                    <w:rPr>
                      <w:bCs/>
                      <w:color w:val="auto"/>
                      <w:sz w:val="21"/>
                      <w:szCs w:val="21"/>
                      <w:highlight w:val="none"/>
                    </w:rPr>
                    <w:t>地表水、地下水</w:t>
                  </w:r>
                </w:p>
              </w:tc>
              <w:tc>
                <w:tcPr>
                  <w:tcW w:w="3346" w:type="dxa"/>
                  <w:noWrap w:val="0"/>
                  <w:vAlign w:val="center"/>
                </w:tcPr>
                <w:p w14:paraId="58B8D493">
                  <w:pPr>
                    <w:keepNext w:val="0"/>
                    <w:keepLines w:val="0"/>
                    <w:widowControl/>
                    <w:suppressLineNumbers w:val="0"/>
                    <w:spacing w:before="0" w:beforeAutospacing="0" w:after="0" w:afterAutospacing="0"/>
                    <w:ind w:left="0" w:right="0"/>
                    <w:jc w:val="center"/>
                    <w:rPr>
                      <w:bCs/>
                      <w:color w:val="auto"/>
                      <w:sz w:val="21"/>
                      <w:szCs w:val="21"/>
                      <w:highlight w:val="none"/>
                    </w:rPr>
                  </w:pPr>
                  <w:r>
                    <w:rPr>
                      <w:rFonts w:hint="eastAsia" w:ascii="宋体" w:hAnsi="宋体" w:eastAsia="宋体" w:cs="宋体"/>
                      <w:color w:val="auto"/>
                      <w:kern w:val="0"/>
                      <w:sz w:val="21"/>
                      <w:szCs w:val="21"/>
                      <w:highlight w:val="none"/>
                      <w:lang w:val="en-US" w:eastAsia="zh-CN" w:bidi="ar"/>
                    </w:rPr>
                    <w:t>车间内储存装置因堆叠、碰撞等原因导致盛装容器倾倒、破裂，将导致原辅料泄漏</w:t>
                  </w:r>
                </w:p>
              </w:tc>
            </w:tr>
            <w:tr w14:paraId="3935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353" w:type="dxa"/>
                  <w:noWrap w:val="0"/>
                  <w:vAlign w:val="center"/>
                </w:tcPr>
                <w:p w14:paraId="1FC8E3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化学品库</w:t>
                  </w:r>
                </w:p>
              </w:tc>
              <w:tc>
                <w:tcPr>
                  <w:tcW w:w="1669" w:type="dxa"/>
                  <w:noWrap w:val="0"/>
                  <w:vAlign w:val="center"/>
                </w:tcPr>
                <w:p w14:paraId="004C5A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DOP、</w:t>
                  </w:r>
                  <w:r>
                    <w:rPr>
                      <w:rFonts w:hint="eastAsia" w:cs="Times New Roman"/>
                      <w:color w:val="auto"/>
                      <w:kern w:val="2"/>
                      <w:sz w:val="21"/>
                      <w:szCs w:val="21"/>
                      <w:highlight w:val="none"/>
                      <w:lang w:val="en-US" w:eastAsia="zh-CN" w:bidi="ar-SA"/>
                    </w:rPr>
                    <w:t>聚氨酯原液、脱模剂</w:t>
                  </w:r>
                </w:p>
              </w:tc>
              <w:tc>
                <w:tcPr>
                  <w:tcW w:w="720" w:type="dxa"/>
                  <w:noWrap w:val="0"/>
                  <w:vAlign w:val="center"/>
                </w:tcPr>
                <w:p w14:paraId="0B7FB7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bCs/>
                      <w:color w:val="auto"/>
                      <w:sz w:val="21"/>
                      <w:szCs w:val="21"/>
                      <w:highlight w:val="none"/>
                    </w:rPr>
                  </w:pPr>
                  <w:r>
                    <w:rPr>
                      <w:bCs/>
                      <w:color w:val="auto"/>
                      <w:sz w:val="21"/>
                      <w:szCs w:val="21"/>
                      <w:highlight w:val="none"/>
                    </w:rPr>
                    <w:t>泄漏</w:t>
                  </w:r>
                </w:p>
              </w:tc>
              <w:tc>
                <w:tcPr>
                  <w:tcW w:w="1349" w:type="dxa"/>
                  <w:noWrap w:val="0"/>
                  <w:vAlign w:val="center"/>
                </w:tcPr>
                <w:p w14:paraId="382B96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bCs/>
                      <w:color w:val="auto"/>
                      <w:sz w:val="21"/>
                      <w:szCs w:val="21"/>
                      <w:highlight w:val="none"/>
                    </w:rPr>
                  </w:pPr>
                  <w:r>
                    <w:rPr>
                      <w:rFonts w:hint="eastAsia"/>
                      <w:bCs/>
                      <w:color w:val="auto"/>
                      <w:sz w:val="21"/>
                      <w:szCs w:val="21"/>
                      <w:highlight w:val="none"/>
                      <w:lang w:val="en-US" w:eastAsia="zh-CN"/>
                    </w:rPr>
                    <w:t>大气、</w:t>
                  </w:r>
                  <w:r>
                    <w:rPr>
                      <w:bCs/>
                      <w:color w:val="auto"/>
                      <w:sz w:val="21"/>
                      <w:szCs w:val="21"/>
                      <w:highlight w:val="none"/>
                    </w:rPr>
                    <w:t>地表水、地下水</w:t>
                  </w:r>
                </w:p>
              </w:tc>
              <w:tc>
                <w:tcPr>
                  <w:tcW w:w="3346" w:type="dxa"/>
                  <w:noWrap w:val="0"/>
                  <w:vAlign w:val="center"/>
                </w:tcPr>
                <w:p w14:paraId="71D75B10">
                  <w:pPr>
                    <w:keepNext w:val="0"/>
                    <w:keepLines w:val="0"/>
                    <w:widowControl/>
                    <w:suppressLineNumbers w:val="0"/>
                    <w:spacing w:before="0" w:beforeAutospacing="0" w:after="0" w:afterAutospacing="0"/>
                    <w:ind w:left="0" w:right="0"/>
                    <w:jc w:val="center"/>
                    <w:rPr>
                      <w:bCs/>
                      <w:color w:val="auto"/>
                      <w:sz w:val="21"/>
                      <w:szCs w:val="21"/>
                      <w:highlight w:val="none"/>
                    </w:rPr>
                  </w:pPr>
                  <w:r>
                    <w:rPr>
                      <w:rFonts w:hint="eastAsia" w:ascii="宋体" w:hAnsi="宋体" w:eastAsia="宋体" w:cs="宋体"/>
                      <w:color w:val="auto"/>
                      <w:kern w:val="0"/>
                      <w:sz w:val="21"/>
                      <w:szCs w:val="21"/>
                      <w:highlight w:val="none"/>
                      <w:lang w:val="en-US" w:eastAsia="zh-CN" w:bidi="ar"/>
                    </w:rPr>
                    <w:t>由于堆叠、碰撞等原因导致危险化学品盛装容器倾倒、破裂，将导致化学品发生泄漏</w:t>
                  </w:r>
                </w:p>
              </w:tc>
            </w:tr>
            <w:tr w14:paraId="69B5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353" w:type="dxa"/>
                  <w:noWrap w:val="0"/>
                  <w:vAlign w:val="center"/>
                </w:tcPr>
                <w:p w14:paraId="44D25E2F">
                  <w:pPr>
                    <w:keepNext w:val="0"/>
                    <w:keepLines w:val="0"/>
                    <w:widowControl/>
                    <w:suppressLineNumbers w:val="0"/>
                    <w:spacing w:before="0" w:beforeAutospacing="0" w:after="0" w:afterAutospacing="0"/>
                    <w:ind w:left="0" w:right="0"/>
                    <w:jc w:val="center"/>
                    <w:rPr>
                      <w:color w:val="auto"/>
                      <w:sz w:val="21"/>
                      <w:szCs w:val="21"/>
                      <w:highlight w:val="none"/>
                    </w:rPr>
                  </w:pPr>
                  <w:r>
                    <w:rPr>
                      <w:rFonts w:hint="eastAsia" w:ascii="宋体" w:hAnsi="宋体" w:eastAsia="宋体" w:cs="宋体"/>
                      <w:color w:val="auto"/>
                      <w:kern w:val="0"/>
                      <w:sz w:val="21"/>
                      <w:szCs w:val="21"/>
                      <w:highlight w:val="none"/>
                      <w:lang w:val="en-US" w:eastAsia="zh-CN" w:bidi="ar"/>
                    </w:rPr>
                    <w:t>危废仓库</w:t>
                  </w:r>
                </w:p>
              </w:tc>
              <w:tc>
                <w:tcPr>
                  <w:tcW w:w="1669" w:type="dxa"/>
                  <w:noWrap w:val="0"/>
                  <w:vAlign w:val="center"/>
                </w:tcPr>
                <w:p w14:paraId="70911E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sz w:val="21"/>
                      <w:szCs w:val="21"/>
                      <w:highlight w:val="none"/>
                      <w:lang w:val="en-US" w:eastAsia="zh-CN"/>
                    </w:rPr>
                  </w:pPr>
                  <w:r>
                    <w:rPr>
                      <w:rFonts w:hint="eastAsia" w:cs="Times New Roman"/>
                      <w:b w:val="0"/>
                      <w:bCs w:val="0"/>
                      <w:color w:val="auto"/>
                      <w:kern w:val="0"/>
                      <w:sz w:val="21"/>
                      <w:szCs w:val="21"/>
                      <w:highlight w:val="none"/>
                      <w:lang w:val="en-US" w:eastAsia="zh-CN" w:bidi="ar-SA"/>
                    </w:rPr>
                    <w:t>废机油、清洗废液</w:t>
                  </w:r>
                </w:p>
              </w:tc>
              <w:tc>
                <w:tcPr>
                  <w:tcW w:w="720" w:type="dxa"/>
                  <w:noWrap w:val="0"/>
                  <w:vAlign w:val="center"/>
                </w:tcPr>
                <w:p w14:paraId="4CA727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bCs/>
                      <w:color w:val="auto"/>
                      <w:sz w:val="21"/>
                      <w:szCs w:val="21"/>
                      <w:highlight w:val="none"/>
                    </w:rPr>
                  </w:pPr>
                  <w:r>
                    <w:rPr>
                      <w:bCs/>
                      <w:color w:val="auto"/>
                      <w:sz w:val="21"/>
                      <w:szCs w:val="21"/>
                      <w:highlight w:val="none"/>
                    </w:rPr>
                    <w:t>泄漏</w:t>
                  </w:r>
                </w:p>
              </w:tc>
              <w:tc>
                <w:tcPr>
                  <w:tcW w:w="1349" w:type="dxa"/>
                  <w:noWrap w:val="0"/>
                  <w:vAlign w:val="center"/>
                </w:tcPr>
                <w:p w14:paraId="5ACD66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bCs/>
                      <w:color w:val="auto"/>
                      <w:sz w:val="21"/>
                      <w:szCs w:val="21"/>
                      <w:highlight w:val="none"/>
                    </w:rPr>
                  </w:pPr>
                  <w:r>
                    <w:rPr>
                      <w:bCs/>
                      <w:color w:val="auto"/>
                      <w:sz w:val="21"/>
                      <w:szCs w:val="21"/>
                      <w:highlight w:val="none"/>
                    </w:rPr>
                    <w:t>地表水、地下水</w:t>
                  </w:r>
                </w:p>
              </w:tc>
              <w:tc>
                <w:tcPr>
                  <w:tcW w:w="3346" w:type="dxa"/>
                  <w:noWrap w:val="0"/>
                  <w:vAlign w:val="center"/>
                </w:tcPr>
                <w:p w14:paraId="29A381CF">
                  <w:pPr>
                    <w:keepNext w:val="0"/>
                    <w:keepLines w:val="0"/>
                    <w:widowControl/>
                    <w:suppressLineNumbers w:val="0"/>
                    <w:spacing w:before="0" w:beforeAutospacing="0" w:after="0" w:afterAutospacing="0"/>
                    <w:ind w:left="0" w:right="0"/>
                    <w:jc w:val="center"/>
                    <w:rPr>
                      <w:bCs/>
                      <w:color w:val="auto"/>
                      <w:sz w:val="21"/>
                      <w:szCs w:val="21"/>
                      <w:highlight w:val="none"/>
                    </w:rPr>
                  </w:pPr>
                  <w:r>
                    <w:rPr>
                      <w:rFonts w:hint="eastAsia" w:ascii="宋体" w:hAnsi="宋体" w:eastAsia="宋体" w:cs="宋体"/>
                      <w:color w:val="auto"/>
                      <w:kern w:val="0"/>
                      <w:sz w:val="21"/>
                      <w:szCs w:val="21"/>
                      <w:highlight w:val="none"/>
                      <w:lang w:val="en-US" w:eastAsia="zh-CN" w:bidi="ar"/>
                    </w:rPr>
                    <w:t>由于堆叠、碰撞等原因导致危废的盛装容器倾倒、破裂，将导致危废发生泄漏</w:t>
                  </w:r>
                </w:p>
              </w:tc>
            </w:tr>
            <w:tr w14:paraId="7E5C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353" w:type="dxa"/>
                  <w:noWrap w:val="0"/>
                  <w:vAlign w:val="center"/>
                </w:tcPr>
                <w:p w14:paraId="4A4AA4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转移途中</w:t>
                  </w:r>
                </w:p>
              </w:tc>
              <w:tc>
                <w:tcPr>
                  <w:tcW w:w="1669" w:type="dxa"/>
                  <w:noWrap w:val="0"/>
                  <w:vAlign w:val="center"/>
                </w:tcPr>
                <w:p w14:paraId="337BA9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sz w:val="21"/>
                      <w:szCs w:val="21"/>
                      <w:highlight w:val="none"/>
                      <w:lang w:val="en-US" w:eastAsia="zh-CN"/>
                    </w:rPr>
                  </w:pPr>
                  <w:r>
                    <w:rPr>
                      <w:rFonts w:hint="eastAsia" w:cs="Times New Roman"/>
                      <w:b w:val="0"/>
                      <w:bCs w:val="0"/>
                      <w:color w:val="auto"/>
                      <w:kern w:val="0"/>
                      <w:sz w:val="21"/>
                      <w:szCs w:val="21"/>
                      <w:highlight w:val="none"/>
                      <w:lang w:val="en-US" w:eastAsia="zh-CN" w:bidi="ar-SA"/>
                    </w:rPr>
                    <w:t>废机油、清洗废液、机油、</w:t>
                  </w:r>
                  <w:r>
                    <w:rPr>
                      <w:rFonts w:hint="eastAsia"/>
                      <w:color w:val="auto"/>
                      <w:sz w:val="21"/>
                      <w:szCs w:val="21"/>
                      <w:highlight w:val="none"/>
                      <w:lang w:val="en-US" w:eastAsia="zh-CN"/>
                    </w:rPr>
                    <w:t>DOP、</w:t>
                  </w:r>
                  <w:r>
                    <w:rPr>
                      <w:rFonts w:hint="eastAsia" w:cs="Times New Roman"/>
                      <w:color w:val="auto"/>
                      <w:kern w:val="2"/>
                      <w:sz w:val="21"/>
                      <w:szCs w:val="21"/>
                      <w:highlight w:val="none"/>
                      <w:lang w:val="en-US" w:eastAsia="zh-CN" w:bidi="ar-SA"/>
                    </w:rPr>
                    <w:t>聚氨酯原液、脱模剂</w:t>
                  </w:r>
                </w:p>
              </w:tc>
              <w:tc>
                <w:tcPr>
                  <w:tcW w:w="720" w:type="dxa"/>
                  <w:noWrap w:val="0"/>
                  <w:vAlign w:val="center"/>
                </w:tcPr>
                <w:p w14:paraId="1A5D8A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bCs/>
                      <w:color w:val="auto"/>
                      <w:sz w:val="21"/>
                      <w:szCs w:val="21"/>
                      <w:highlight w:val="none"/>
                    </w:rPr>
                  </w:pPr>
                  <w:r>
                    <w:rPr>
                      <w:bCs/>
                      <w:color w:val="auto"/>
                      <w:sz w:val="21"/>
                      <w:szCs w:val="21"/>
                      <w:highlight w:val="none"/>
                    </w:rPr>
                    <w:t>泄漏</w:t>
                  </w:r>
                </w:p>
              </w:tc>
              <w:tc>
                <w:tcPr>
                  <w:tcW w:w="1349" w:type="dxa"/>
                  <w:noWrap w:val="0"/>
                  <w:vAlign w:val="center"/>
                </w:tcPr>
                <w:p w14:paraId="6FDD69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bCs/>
                      <w:color w:val="auto"/>
                      <w:sz w:val="21"/>
                      <w:szCs w:val="21"/>
                      <w:highlight w:val="none"/>
                    </w:rPr>
                  </w:pPr>
                  <w:r>
                    <w:rPr>
                      <w:rFonts w:hint="eastAsia"/>
                      <w:bCs/>
                      <w:color w:val="auto"/>
                      <w:sz w:val="21"/>
                      <w:szCs w:val="21"/>
                      <w:highlight w:val="none"/>
                      <w:lang w:val="en-US" w:eastAsia="zh-CN"/>
                    </w:rPr>
                    <w:t>大气、</w:t>
                  </w:r>
                  <w:r>
                    <w:rPr>
                      <w:bCs/>
                      <w:color w:val="auto"/>
                      <w:sz w:val="21"/>
                      <w:szCs w:val="21"/>
                      <w:highlight w:val="none"/>
                    </w:rPr>
                    <w:t>地表水、地下水</w:t>
                  </w:r>
                </w:p>
              </w:tc>
              <w:tc>
                <w:tcPr>
                  <w:tcW w:w="3346" w:type="dxa"/>
                  <w:noWrap w:val="0"/>
                  <w:vAlign w:val="center"/>
                </w:tcPr>
                <w:p w14:paraId="7A295EF2">
                  <w:pPr>
                    <w:keepNext w:val="0"/>
                    <w:keepLines w:val="0"/>
                    <w:widowControl/>
                    <w:suppressLineNumbers w:val="0"/>
                    <w:spacing w:before="0" w:beforeAutospacing="0" w:after="0" w:afterAutospacing="0"/>
                    <w:ind w:left="0" w:right="0"/>
                    <w:jc w:val="center"/>
                    <w:rPr>
                      <w:bCs/>
                      <w:color w:val="auto"/>
                      <w:sz w:val="21"/>
                      <w:szCs w:val="21"/>
                      <w:highlight w:val="none"/>
                    </w:rPr>
                  </w:pPr>
                  <w:r>
                    <w:rPr>
                      <w:rFonts w:hint="eastAsia" w:ascii="宋体" w:hAnsi="宋体" w:eastAsia="宋体" w:cs="宋体"/>
                      <w:color w:val="auto"/>
                      <w:kern w:val="0"/>
                      <w:sz w:val="21"/>
                      <w:szCs w:val="21"/>
                      <w:highlight w:val="none"/>
                      <w:lang w:val="en-US" w:eastAsia="zh-CN" w:bidi="ar"/>
                    </w:rPr>
                    <w:t>液态物料或危废在厂区内转移途中由于包装倾倒、碰撞或破损等原因发生泄漏</w:t>
                  </w:r>
                </w:p>
              </w:tc>
            </w:tr>
            <w:tr w14:paraId="644D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353" w:type="dxa"/>
                  <w:noWrap w:val="0"/>
                  <w:vAlign w:val="center"/>
                </w:tcPr>
                <w:p w14:paraId="4B03F4AB">
                  <w:pPr>
                    <w:keepNext w:val="0"/>
                    <w:keepLines w:val="0"/>
                    <w:widowControl/>
                    <w:suppressLineNumbers w:val="0"/>
                    <w:spacing w:before="0" w:beforeAutospacing="0" w:after="0" w:afterAutospacing="0"/>
                    <w:ind w:left="0" w:right="0"/>
                    <w:jc w:val="center"/>
                    <w:rPr>
                      <w:rFonts w:hint="eastAsia"/>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生产车间、危废</w:t>
                  </w:r>
                  <w:r>
                    <w:rPr>
                      <w:rFonts w:hint="eastAsia" w:ascii="宋体" w:hAnsi="宋体" w:cs="宋体"/>
                      <w:color w:val="auto"/>
                      <w:kern w:val="0"/>
                      <w:sz w:val="21"/>
                      <w:szCs w:val="21"/>
                      <w:highlight w:val="none"/>
                      <w:lang w:val="en-US" w:eastAsia="zh-CN" w:bidi="ar"/>
                    </w:rPr>
                    <w:t>暂存</w:t>
                  </w:r>
                  <w:r>
                    <w:rPr>
                      <w:rFonts w:hint="eastAsia" w:ascii="宋体" w:hAnsi="宋体" w:eastAsia="宋体" w:cs="宋体"/>
                      <w:color w:val="auto"/>
                      <w:kern w:val="0"/>
                      <w:sz w:val="21"/>
                      <w:szCs w:val="21"/>
                      <w:highlight w:val="none"/>
                      <w:lang w:val="en-US" w:eastAsia="zh-CN" w:bidi="ar"/>
                    </w:rPr>
                    <w:t>库、化学品库、物料输送管道</w:t>
                  </w:r>
                </w:p>
              </w:tc>
              <w:tc>
                <w:tcPr>
                  <w:tcW w:w="1669" w:type="dxa"/>
                  <w:noWrap w:val="0"/>
                  <w:vAlign w:val="center"/>
                </w:tcPr>
                <w:p w14:paraId="562BCC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DOP、</w:t>
                  </w:r>
                  <w:r>
                    <w:rPr>
                      <w:rFonts w:hint="eastAsia" w:cs="Times New Roman"/>
                      <w:b w:val="0"/>
                      <w:bCs w:val="0"/>
                      <w:color w:val="auto"/>
                      <w:kern w:val="0"/>
                      <w:sz w:val="21"/>
                      <w:szCs w:val="21"/>
                      <w:highlight w:val="none"/>
                      <w:lang w:val="en-US" w:eastAsia="zh-CN" w:bidi="ar-SA"/>
                    </w:rPr>
                    <w:t>废机油、</w:t>
                  </w:r>
                  <w:r>
                    <w:rPr>
                      <w:rFonts w:hint="eastAsia" w:cs="Times New Roman"/>
                      <w:color w:val="auto"/>
                      <w:kern w:val="2"/>
                      <w:sz w:val="21"/>
                      <w:szCs w:val="21"/>
                      <w:highlight w:val="none"/>
                      <w:lang w:val="en-US" w:eastAsia="zh-CN" w:bidi="ar-SA"/>
                    </w:rPr>
                    <w:t>聚氨酯原液、机油、清洗废液、脱模剂</w:t>
                  </w:r>
                </w:p>
              </w:tc>
              <w:tc>
                <w:tcPr>
                  <w:tcW w:w="720" w:type="dxa"/>
                  <w:noWrap w:val="0"/>
                  <w:vAlign w:val="center"/>
                </w:tcPr>
                <w:p w14:paraId="2EBAF2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火灾、爆炸</w:t>
                  </w:r>
                </w:p>
              </w:tc>
              <w:tc>
                <w:tcPr>
                  <w:tcW w:w="1349" w:type="dxa"/>
                  <w:noWrap w:val="0"/>
                  <w:vAlign w:val="center"/>
                </w:tcPr>
                <w:p w14:paraId="002834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bCs/>
                      <w:color w:val="auto"/>
                      <w:sz w:val="21"/>
                      <w:szCs w:val="21"/>
                      <w:highlight w:val="none"/>
                    </w:rPr>
                  </w:pPr>
                  <w:r>
                    <w:rPr>
                      <w:rFonts w:hint="eastAsia"/>
                      <w:bCs/>
                      <w:color w:val="auto"/>
                      <w:sz w:val="21"/>
                      <w:szCs w:val="21"/>
                      <w:highlight w:val="none"/>
                      <w:lang w:val="en-US" w:eastAsia="zh-CN"/>
                    </w:rPr>
                    <w:t>大气、</w:t>
                  </w:r>
                  <w:r>
                    <w:rPr>
                      <w:bCs/>
                      <w:color w:val="auto"/>
                      <w:sz w:val="21"/>
                      <w:szCs w:val="21"/>
                      <w:highlight w:val="none"/>
                    </w:rPr>
                    <w:t>地表水、地下水</w:t>
                  </w:r>
                </w:p>
              </w:tc>
              <w:tc>
                <w:tcPr>
                  <w:tcW w:w="3346" w:type="dxa"/>
                  <w:noWrap w:val="0"/>
                  <w:vAlign w:val="center"/>
                </w:tcPr>
                <w:p w14:paraId="62E22DF4">
                  <w:pPr>
                    <w:keepNext w:val="0"/>
                    <w:keepLines w:val="0"/>
                    <w:widowControl/>
                    <w:suppressLineNumbers w:val="0"/>
                    <w:spacing w:before="0" w:beforeAutospacing="0" w:after="0" w:afterAutospacing="0"/>
                    <w:ind w:left="0" w:right="0"/>
                    <w:jc w:val="center"/>
                    <w:rPr>
                      <w:bCs/>
                      <w:color w:val="auto"/>
                      <w:sz w:val="21"/>
                      <w:szCs w:val="21"/>
                      <w:highlight w:val="none"/>
                    </w:rPr>
                  </w:pPr>
                  <w:r>
                    <w:rPr>
                      <w:rFonts w:hint="eastAsia" w:ascii="宋体" w:hAnsi="宋体" w:eastAsia="宋体" w:cs="宋体"/>
                      <w:color w:val="auto"/>
                      <w:kern w:val="0"/>
                      <w:sz w:val="21"/>
                      <w:szCs w:val="21"/>
                      <w:highlight w:val="none"/>
                      <w:lang w:val="en-US" w:eastAsia="zh-CN" w:bidi="ar"/>
                    </w:rPr>
                    <w:t>检修过程中违章动火作业、现场吸烟等，为导致火灾爆炸事故最常见、最直接的原因，导致生产车间内可燃物、危废库内及危险化学品仓库内的可燃物质燃烧，产生消防下水、消防残渣、火灾烟气等环境污染物质</w:t>
                  </w:r>
                </w:p>
              </w:tc>
            </w:tr>
          </w:tbl>
          <w:p w14:paraId="65341A44">
            <w:pPr>
              <w:keepNext w:val="0"/>
              <w:keepLines w:val="0"/>
              <w:pageBreakBefore w:val="0"/>
              <w:widowControl w:val="0"/>
              <w:suppressLineNumbers w:val="0"/>
              <w:kinsoku/>
              <w:wordWrap/>
              <w:overflowPunct/>
              <w:topLinePunct w:val="0"/>
              <w:autoSpaceDE w:val="0"/>
              <w:autoSpaceDN w:val="0"/>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b/>
                <w:bCs/>
                <w:color w:val="auto"/>
                <w:kern w:val="0"/>
                <w:sz w:val="24"/>
                <w:szCs w:val="22"/>
                <w:highlight w:val="none"/>
              </w:rPr>
            </w:pPr>
            <w:r>
              <w:rPr>
                <w:rFonts w:hint="eastAsia" w:cs="Times New Roman"/>
                <w:b w:val="0"/>
                <w:bCs w:val="0"/>
                <w:color w:val="auto"/>
                <w:kern w:val="0"/>
                <w:sz w:val="24"/>
                <w:szCs w:val="22"/>
                <w:highlight w:val="none"/>
                <w:lang w:val="en-US" w:eastAsia="zh-CN"/>
              </w:rPr>
              <w:t>四、</w:t>
            </w:r>
            <w:r>
              <w:rPr>
                <w:rFonts w:hint="default" w:ascii="Times New Roman" w:hAnsi="Times New Roman" w:eastAsia="宋体" w:cs="Times New Roman"/>
                <w:b w:val="0"/>
                <w:bCs w:val="0"/>
                <w:color w:val="auto"/>
                <w:kern w:val="0"/>
                <w:sz w:val="24"/>
                <w:szCs w:val="22"/>
                <w:highlight w:val="none"/>
              </w:rPr>
              <w:t>环境风险防范措施</w:t>
            </w:r>
          </w:p>
          <w:p w14:paraId="3A95A2D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w:t>
            </w:r>
            <w:r>
              <w:rPr>
                <w:rFonts w:hint="default" w:ascii="Times New Roman" w:hAnsi="Times New Roman" w:eastAsia="宋体" w:cs="Times New Roman"/>
                <w:bCs/>
                <w:color w:val="auto"/>
                <w:kern w:val="0"/>
                <w:sz w:val="24"/>
                <w:szCs w:val="22"/>
                <w:highlight w:val="none"/>
                <w:lang w:val="en-US" w:eastAsia="zh-CN"/>
              </w:rPr>
              <w:t>1</w:t>
            </w:r>
            <w:r>
              <w:rPr>
                <w:rFonts w:hint="default" w:ascii="Times New Roman" w:hAnsi="Times New Roman" w:eastAsia="宋体" w:cs="Times New Roman"/>
                <w:bCs/>
                <w:color w:val="auto"/>
                <w:kern w:val="0"/>
                <w:sz w:val="24"/>
                <w:szCs w:val="22"/>
                <w:highlight w:val="none"/>
              </w:rPr>
              <w:t>）危险化学品贮存风险防范与管理</w:t>
            </w:r>
          </w:p>
          <w:p w14:paraId="56AF7F3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针对厂区内危险废物的存贮必须按照相关环保要求切实做到固废</w:t>
            </w:r>
            <w:r>
              <w:rPr>
                <w:rFonts w:hint="eastAsia" w:ascii="宋体" w:hAnsi="宋体" w:eastAsia="宋体" w:cs="宋体"/>
                <w:bCs/>
                <w:color w:val="auto"/>
                <w:kern w:val="0"/>
                <w:sz w:val="24"/>
                <w:szCs w:val="22"/>
                <w:highlight w:val="none"/>
              </w:rPr>
              <w:t>“资源化、减量化、无害化”处理处置。落实各类固废特别是危险废物的收集处理处置和</w:t>
            </w:r>
            <w:r>
              <w:rPr>
                <w:rFonts w:hint="default" w:ascii="Times New Roman" w:hAnsi="Times New Roman" w:eastAsia="宋体" w:cs="Times New Roman"/>
                <w:bCs/>
                <w:color w:val="auto"/>
                <w:kern w:val="0"/>
                <w:sz w:val="24"/>
                <w:szCs w:val="22"/>
                <w:highlight w:val="none"/>
              </w:rPr>
              <w:t>综合利用措施，实现固废零排放。危险废物须由有资质单位妥善处理处置，严格执行危险废物转移联单制度，外协处置应加强对运输过程及处置单位的跟踪检查。厂区内危险废物的贮存必须符合国家《危险废物贮存污染控制标准》（</w:t>
            </w:r>
            <w:r>
              <w:rPr>
                <w:color w:val="auto"/>
                <w:sz w:val="24"/>
                <w:szCs w:val="22"/>
                <w:highlight w:val="none"/>
              </w:rPr>
              <w:t>GB18597-20</w:t>
            </w:r>
            <w:r>
              <w:rPr>
                <w:rFonts w:hint="eastAsia"/>
                <w:color w:val="auto"/>
                <w:sz w:val="24"/>
                <w:szCs w:val="22"/>
                <w:highlight w:val="none"/>
              </w:rPr>
              <w:t>23</w:t>
            </w:r>
            <w:r>
              <w:rPr>
                <w:rFonts w:hint="default" w:ascii="Times New Roman" w:hAnsi="Times New Roman" w:eastAsia="宋体" w:cs="Times New Roman"/>
                <w:bCs/>
                <w:color w:val="auto"/>
                <w:kern w:val="0"/>
                <w:sz w:val="24"/>
                <w:szCs w:val="22"/>
                <w:highlight w:val="none"/>
              </w:rPr>
              <w:t>）的要求。</w:t>
            </w:r>
          </w:p>
          <w:p w14:paraId="4F77A66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w:t>
            </w:r>
            <w:r>
              <w:rPr>
                <w:rFonts w:hint="default" w:ascii="Times New Roman" w:hAnsi="Times New Roman" w:eastAsia="宋体" w:cs="Times New Roman"/>
                <w:bCs/>
                <w:color w:val="auto"/>
                <w:kern w:val="0"/>
                <w:sz w:val="24"/>
                <w:szCs w:val="22"/>
                <w:highlight w:val="none"/>
                <w:lang w:val="en-US" w:eastAsia="zh-CN"/>
              </w:rPr>
              <w:t>2</w:t>
            </w:r>
            <w:r>
              <w:rPr>
                <w:rFonts w:hint="default" w:ascii="Times New Roman" w:hAnsi="Times New Roman" w:eastAsia="宋体" w:cs="Times New Roman"/>
                <w:bCs/>
                <w:color w:val="auto"/>
                <w:kern w:val="0"/>
                <w:sz w:val="24"/>
                <w:szCs w:val="22"/>
                <w:highlight w:val="none"/>
              </w:rPr>
              <w:t>）物料泄露防范</w:t>
            </w:r>
          </w:p>
          <w:p w14:paraId="3D7CAC4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防范泄漏事故是生产和储运过程中最重要的环节，发生泄漏事故可能引起火灾和爆炸等一系列重大事故，由此会带来环境风险问题项目必须严格落实安监、消防部门对物料的泄漏相关防范要求，同时自觉接受安监、消防部门的监督管理。项目在雨水外排口设置截断阀，在火灾、泄漏等事故情况下关闭截断阀门，防止消防废水通过雨水管道排入外环境。</w:t>
            </w:r>
          </w:p>
          <w:p w14:paraId="6558B4B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项目在危险物质化</w:t>
            </w:r>
            <w:r>
              <w:rPr>
                <w:rFonts w:hint="eastAsia" w:cs="Times New Roman"/>
                <w:bCs/>
                <w:color w:val="auto"/>
                <w:kern w:val="0"/>
                <w:sz w:val="24"/>
                <w:szCs w:val="22"/>
                <w:highlight w:val="none"/>
                <w:lang w:val="en-US" w:eastAsia="zh-CN"/>
              </w:rPr>
              <w:t>学</w:t>
            </w:r>
            <w:r>
              <w:rPr>
                <w:rFonts w:hint="default" w:ascii="Times New Roman" w:hAnsi="Times New Roman" w:eastAsia="宋体" w:cs="Times New Roman"/>
                <w:bCs/>
                <w:color w:val="auto"/>
                <w:kern w:val="0"/>
                <w:sz w:val="24"/>
                <w:szCs w:val="22"/>
                <w:highlight w:val="none"/>
              </w:rPr>
              <w:t>品仓库、</w:t>
            </w:r>
            <w:r>
              <w:rPr>
                <w:rFonts w:hint="eastAsia" w:cs="Times New Roman"/>
                <w:bCs/>
                <w:color w:val="auto"/>
                <w:kern w:val="0"/>
                <w:sz w:val="24"/>
                <w:szCs w:val="22"/>
                <w:highlight w:val="none"/>
                <w:lang w:val="en-US" w:eastAsia="zh-CN"/>
              </w:rPr>
              <w:t>危废暂存库</w:t>
            </w:r>
            <w:r>
              <w:rPr>
                <w:rFonts w:hint="default" w:ascii="Times New Roman" w:hAnsi="Times New Roman" w:eastAsia="宋体" w:cs="Times New Roman"/>
                <w:bCs/>
                <w:color w:val="auto"/>
                <w:kern w:val="0"/>
                <w:sz w:val="24"/>
                <w:szCs w:val="22"/>
                <w:highlight w:val="none"/>
              </w:rPr>
              <w:t>的修建一定的坡度，</w:t>
            </w:r>
            <w:r>
              <w:rPr>
                <w:rFonts w:hint="eastAsia" w:cs="Times New Roman"/>
                <w:bCs/>
                <w:color w:val="auto"/>
                <w:kern w:val="0"/>
                <w:sz w:val="24"/>
                <w:szCs w:val="22"/>
                <w:highlight w:val="none"/>
                <w:lang w:val="en-US" w:eastAsia="zh-CN"/>
              </w:rPr>
              <w:t>液体物料底部</w:t>
            </w:r>
            <w:r>
              <w:rPr>
                <w:rFonts w:hint="default" w:ascii="Times New Roman" w:hAnsi="Times New Roman" w:eastAsia="宋体" w:cs="Times New Roman"/>
                <w:bCs/>
                <w:color w:val="auto"/>
                <w:kern w:val="0"/>
                <w:sz w:val="24"/>
                <w:szCs w:val="22"/>
                <w:highlight w:val="none"/>
              </w:rPr>
              <w:t>设置</w:t>
            </w:r>
            <w:r>
              <w:rPr>
                <w:rFonts w:hint="eastAsia" w:cs="Times New Roman"/>
                <w:bCs/>
                <w:color w:val="auto"/>
                <w:kern w:val="0"/>
                <w:sz w:val="24"/>
                <w:szCs w:val="22"/>
                <w:highlight w:val="none"/>
                <w:lang w:val="en-US" w:eastAsia="zh-CN"/>
              </w:rPr>
              <w:t>防渗漏托盘</w:t>
            </w:r>
            <w:r>
              <w:rPr>
                <w:rFonts w:hint="default" w:ascii="Times New Roman" w:hAnsi="Times New Roman" w:eastAsia="宋体" w:cs="Times New Roman"/>
                <w:bCs/>
                <w:color w:val="auto"/>
                <w:kern w:val="0"/>
                <w:sz w:val="24"/>
                <w:szCs w:val="22"/>
                <w:highlight w:val="none"/>
              </w:rPr>
              <w:t>，液体物料泄漏时，将汇入进行收集，确保物料不会通过雨水管道汇入外面水体。</w:t>
            </w:r>
          </w:p>
          <w:p w14:paraId="2C6EB3F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w:t>
            </w:r>
            <w:r>
              <w:rPr>
                <w:rFonts w:hint="default" w:ascii="Times New Roman" w:hAnsi="Times New Roman" w:eastAsia="宋体" w:cs="Times New Roman"/>
                <w:bCs/>
                <w:color w:val="auto"/>
                <w:kern w:val="0"/>
                <w:sz w:val="24"/>
                <w:szCs w:val="22"/>
                <w:highlight w:val="none"/>
                <w:lang w:val="en-US" w:eastAsia="zh-CN"/>
              </w:rPr>
              <w:t>3</w:t>
            </w:r>
            <w:r>
              <w:rPr>
                <w:rFonts w:hint="default" w:ascii="Times New Roman" w:hAnsi="Times New Roman" w:eastAsia="宋体" w:cs="Times New Roman"/>
                <w:bCs/>
                <w:color w:val="auto"/>
                <w:kern w:val="0"/>
                <w:sz w:val="24"/>
                <w:szCs w:val="22"/>
                <w:highlight w:val="none"/>
              </w:rPr>
              <w:t>）生产过程中的风险防范措施</w:t>
            </w:r>
          </w:p>
          <w:p w14:paraId="346D02C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①风险防范措施</w:t>
            </w:r>
          </w:p>
          <w:p w14:paraId="38DE48E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建设单位必须按公安消防部门要求，委托有资质的设计、施工单位进行消防设计和施工，严格落实消防、安监部门有关生产过程火灾爆炸事故预防的要求和事故发生时的防护措施，同时必须自觉接受公安消防、安监部门监督管理。</w:t>
            </w:r>
          </w:p>
          <w:p w14:paraId="06DA73A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②环境应急措施</w:t>
            </w:r>
          </w:p>
          <w:p w14:paraId="71B10EB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1）应急环境监测、抢险、救援及控制措施</w:t>
            </w:r>
          </w:p>
          <w:p w14:paraId="38A1D58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a.泄漏、火灾等事故发生后，在向安监、消防部门报告的同时，应立即向有关环境管理部门报告，请求环境管理部门应急监测工作组进行应急监测。</w:t>
            </w:r>
          </w:p>
          <w:p w14:paraId="13024E9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b.环境管理部门应急监测工作组应根据污染物的扩散速度和事件发生地的气象和地域特点，确定污染物扩散范围。</w:t>
            </w:r>
          </w:p>
          <w:p w14:paraId="308101D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c.根据监测结果，综合分析突发环境事件污染变化趋势，并通过专家咨询和讨论的方式，预测并报告突发污染事故的发展情况和污染物的变化情况，作为突发环境事件应急决策的依据。</w:t>
            </w:r>
          </w:p>
          <w:p w14:paraId="0DCBEF3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2）消防事故环境风险防范措施</w:t>
            </w:r>
          </w:p>
          <w:p w14:paraId="733A316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一旦发生火灾后，消防过程中会产生二次环境风险，主要体现在消防污水如直接经过雨水或污水管网进入纳污水体或污水处理厂，含高浓度污染物的消防排水势必对地面水体造成极为不利的影响，进入污水厂则可能因冲击负荷过大，造成污水厂处理设施的故障，导致严重的危害后果。因此需要设置雨水</w:t>
            </w:r>
            <w:r>
              <w:rPr>
                <w:rFonts w:hint="eastAsia" w:cs="Times New Roman"/>
                <w:bCs/>
                <w:color w:val="auto"/>
                <w:kern w:val="0"/>
                <w:sz w:val="24"/>
                <w:szCs w:val="22"/>
                <w:highlight w:val="none"/>
                <w:lang w:val="en-US" w:eastAsia="zh-CN"/>
              </w:rPr>
              <w:t>和污水</w:t>
            </w:r>
            <w:r>
              <w:rPr>
                <w:rFonts w:hint="default" w:ascii="Times New Roman" w:hAnsi="Times New Roman" w:eastAsia="宋体" w:cs="Times New Roman"/>
                <w:bCs/>
                <w:color w:val="auto"/>
                <w:kern w:val="0"/>
                <w:sz w:val="24"/>
                <w:szCs w:val="22"/>
                <w:highlight w:val="none"/>
              </w:rPr>
              <w:t>外排口截断阀，在火灾、泄漏等事故情况下关闭截断阀门，防止消防废水未经处理直接通过雨水管道排入外环境或者通过污水管网排入污水处理厂。</w:t>
            </w:r>
          </w:p>
          <w:p w14:paraId="68C0AFF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w:t>
            </w:r>
            <w:r>
              <w:rPr>
                <w:rFonts w:hint="default" w:ascii="Times New Roman" w:hAnsi="Times New Roman" w:eastAsia="宋体" w:cs="Times New Roman"/>
                <w:bCs/>
                <w:color w:val="auto"/>
                <w:kern w:val="0"/>
                <w:sz w:val="24"/>
                <w:szCs w:val="22"/>
                <w:highlight w:val="none"/>
                <w:lang w:val="en-US" w:eastAsia="zh-CN"/>
              </w:rPr>
              <w:t>4</w:t>
            </w:r>
            <w:r>
              <w:rPr>
                <w:rFonts w:hint="default" w:ascii="Times New Roman" w:hAnsi="Times New Roman" w:eastAsia="宋体" w:cs="Times New Roman"/>
                <w:bCs/>
                <w:color w:val="auto"/>
                <w:kern w:val="0"/>
                <w:sz w:val="24"/>
                <w:szCs w:val="22"/>
                <w:highlight w:val="none"/>
              </w:rPr>
              <w:t>）废气事故排放环境风险防范措施</w:t>
            </w:r>
          </w:p>
          <w:p w14:paraId="4CBAAF6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项目在生产管理出现事故或烟气治理设备出现故障时，会有浓度极高的含非甲烷总烃</w:t>
            </w:r>
            <w:r>
              <w:rPr>
                <w:rFonts w:hint="default" w:ascii="Times New Roman" w:hAnsi="Times New Roman" w:eastAsia="宋体" w:cs="Times New Roman"/>
                <w:bCs/>
                <w:color w:val="auto"/>
                <w:kern w:val="0"/>
                <w:sz w:val="24"/>
                <w:szCs w:val="22"/>
                <w:highlight w:val="none"/>
                <w:lang w:eastAsia="zh-CN"/>
              </w:rPr>
              <w:t>等挥发性有机物</w:t>
            </w:r>
            <w:r>
              <w:rPr>
                <w:rFonts w:hint="default" w:ascii="Times New Roman" w:hAnsi="Times New Roman" w:eastAsia="宋体" w:cs="Times New Roman"/>
                <w:bCs/>
                <w:color w:val="auto"/>
                <w:kern w:val="0"/>
                <w:sz w:val="24"/>
                <w:szCs w:val="22"/>
                <w:highlight w:val="none"/>
              </w:rPr>
              <w:t>、烟（粉）尘废气排放。为控制和减少有毒有害气体的事故排放，建议采取如下防范措施：</w:t>
            </w:r>
          </w:p>
          <w:p w14:paraId="230BDF5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①当废气处理设施发生故障时，应立即停止</w:t>
            </w:r>
            <w:r>
              <w:rPr>
                <w:rFonts w:hint="eastAsia" w:cs="Times New Roman"/>
                <w:bCs/>
                <w:color w:val="auto"/>
                <w:kern w:val="0"/>
                <w:sz w:val="24"/>
                <w:szCs w:val="22"/>
                <w:highlight w:val="none"/>
                <w:lang w:val="en-US" w:eastAsia="zh-CN"/>
              </w:rPr>
              <w:t>相应生产工序运行</w:t>
            </w:r>
            <w:r>
              <w:rPr>
                <w:rFonts w:hint="default" w:ascii="Times New Roman" w:hAnsi="Times New Roman" w:eastAsia="宋体" w:cs="Times New Roman"/>
                <w:bCs/>
                <w:color w:val="auto"/>
                <w:kern w:val="0"/>
                <w:sz w:val="24"/>
                <w:szCs w:val="22"/>
                <w:highlight w:val="none"/>
              </w:rPr>
              <w:t>，直至废气处理系统故障排除后才恢复生产。</w:t>
            </w:r>
          </w:p>
          <w:p w14:paraId="05CC93D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②平时加强废气处理设施的维护保养，及时发现处理设备的隐患，并及时进行维修，确保废气处理系统正常运行。</w:t>
            </w:r>
          </w:p>
          <w:p w14:paraId="66575A8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③每年定期对设备、管道进行检修，检修时，检修人员需在残留气体经风机排尽吸收后，再进行检修，同时需佩戴个人防护用具。</w:t>
            </w:r>
          </w:p>
          <w:p w14:paraId="738E663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④建立健全的环保机构，配置必要的监测仪器，对管理人员和技术人员进行岗位培训，对废气处理实行全过程跟踪控制。</w:t>
            </w:r>
          </w:p>
          <w:p w14:paraId="26E42A6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rPr>
            </w:pPr>
            <w:r>
              <w:rPr>
                <w:rFonts w:hint="default" w:ascii="Times New Roman" w:hAnsi="Times New Roman" w:eastAsia="宋体" w:cs="Times New Roman"/>
                <w:bCs/>
                <w:color w:val="auto"/>
                <w:kern w:val="0"/>
                <w:sz w:val="24"/>
                <w:szCs w:val="22"/>
                <w:highlight w:val="none"/>
              </w:rPr>
              <w:t>⑤按相关要求做好泄漏物料的收集处理措施，一旦物料泄漏能做到及时响应，及时收集处理，减少暴露时间。</w:t>
            </w:r>
            <w:bookmarkStart w:id="16" w:name="_Toc408835564"/>
          </w:p>
          <w:p w14:paraId="5E5AC20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2"/>
                <w:highlight w:val="none"/>
                <w:lang w:eastAsia="zh-CN"/>
              </w:rPr>
            </w:pPr>
            <w:r>
              <w:rPr>
                <w:rFonts w:hint="default" w:ascii="Times New Roman" w:hAnsi="Times New Roman" w:eastAsia="宋体" w:cs="Times New Roman"/>
                <w:bCs/>
                <w:color w:val="auto"/>
                <w:kern w:val="0"/>
                <w:sz w:val="24"/>
                <w:szCs w:val="22"/>
                <w:highlight w:val="none"/>
                <w:lang w:eastAsia="zh-CN"/>
              </w:rPr>
              <w:t>（</w:t>
            </w:r>
            <w:r>
              <w:rPr>
                <w:rFonts w:hint="eastAsia" w:cs="Times New Roman"/>
                <w:bCs/>
                <w:color w:val="auto"/>
                <w:kern w:val="0"/>
                <w:sz w:val="24"/>
                <w:szCs w:val="22"/>
                <w:highlight w:val="none"/>
                <w:lang w:val="en-US" w:eastAsia="zh-CN"/>
              </w:rPr>
              <w:t>5</w:t>
            </w:r>
            <w:r>
              <w:rPr>
                <w:rFonts w:hint="default" w:ascii="Times New Roman" w:hAnsi="Times New Roman" w:eastAsia="宋体" w:cs="Times New Roman"/>
                <w:bCs/>
                <w:color w:val="auto"/>
                <w:kern w:val="0"/>
                <w:sz w:val="24"/>
                <w:szCs w:val="22"/>
                <w:highlight w:val="none"/>
                <w:lang w:eastAsia="zh-CN"/>
              </w:rPr>
              <w:t>）</w:t>
            </w:r>
            <w:r>
              <w:rPr>
                <w:rFonts w:hint="eastAsia" w:cs="Times New Roman"/>
                <w:bCs/>
                <w:color w:val="auto"/>
                <w:kern w:val="0"/>
                <w:sz w:val="24"/>
                <w:szCs w:val="22"/>
                <w:highlight w:val="none"/>
                <w:lang w:val="en-US" w:eastAsia="zh-CN"/>
              </w:rPr>
              <w:t>突发环境事件</w:t>
            </w:r>
            <w:r>
              <w:rPr>
                <w:rFonts w:hint="default" w:ascii="Times New Roman" w:hAnsi="Times New Roman" w:eastAsia="宋体" w:cs="Times New Roman"/>
                <w:bCs/>
                <w:color w:val="auto"/>
                <w:kern w:val="0"/>
                <w:sz w:val="24"/>
                <w:szCs w:val="22"/>
                <w:highlight w:val="none"/>
                <w:lang w:eastAsia="zh-CN"/>
              </w:rPr>
              <w:t>应急预案</w:t>
            </w:r>
            <w:bookmarkEnd w:id="16"/>
          </w:p>
          <w:p w14:paraId="0371D88B">
            <w:pPr>
              <w:pStyle w:val="16"/>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Autospacing="0" w:line="360" w:lineRule="auto"/>
              <w:ind w:right="0" w:firstLine="480" w:firstLineChars="200"/>
              <w:jc w:val="both"/>
              <w:textAlignment w:val="auto"/>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制定</w:t>
            </w:r>
            <w:r>
              <w:rPr>
                <w:rFonts w:hint="eastAsia" w:cs="Times New Roman"/>
                <w:bCs/>
                <w:color w:val="auto"/>
                <w:kern w:val="0"/>
                <w:sz w:val="24"/>
                <w:highlight w:val="none"/>
                <w:lang w:val="en-US" w:eastAsia="zh-CN"/>
              </w:rPr>
              <w:t>突发环境事件</w:t>
            </w:r>
            <w:r>
              <w:rPr>
                <w:rFonts w:hint="default" w:ascii="Times New Roman" w:hAnsi="Times New Roman" w:eastAsia="宋体" w:cs="Times New Roman"/>
                <w:bCs/>
                <w:color w:val="auto"/>
                <w:kern w:val="0"/>
                <w:sz w:val="24"/>
                <w:highlight w:val="none"/>
                <w:lang w:eastAsia="zh-CN"/>
              </w:rPr>
              <w:t>应急预案的目的是为了在发生</w:t>
            </w:r>
            <w:r>
              <w:rPr>
                <w:rFonts w:hint="eastAsia" w:cs="Times New Roman"/>
                <w:bCs/>
                <w:color w:val="auto"/>
                <w:kern w:val="0"/>
                <w:sz w:val="24"/>
                <w:highlight w:val="none"/>
                <w:lang w:val="en-US" w:eastAsia="zh-CN"/>
              </w:rPr>
              <w:t>突发环境</w:t>
            </w:r>
            <w:r>
              <w:rPr>
                <w:rFonts w:hint="default" w:ascii="Times New Roman" w:hAnsi="Times New Roman" w:eastAsia="宋体" w:cs="Times New Roman"/>
                <w:bCs/>
                <w:color w:val="auto"/>
                <w:kern w:val="0"/>
                <w:sz w:val="24"/>
                <w:highlight w:val="none"/>
                <w:lang w:eastAsia="zh-CN"/>
              </w:rPr>
              <w:t>事故时，能以最快的速度发挥最大的效能，有序的实施救援，尽快控制事态的发展，降低事故造成的危害，减少事故造成的损失。</w:t>
            </w:r>
          </w:p>
          <w:p w14:paraId="48A01951">
            <w:pPr>
              <w:pStyle w:val="16"/>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Autospacing="0" w:line="360" w:lineRule="auto"/>
              <w:ind w:right="0" w:firstLine="480" w:firstLineChars="200"/>
              <w:jc w:val="both"/>
              <w:textAlignment w:val="auto"/>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按照</w:t>
            </w:r>
            <w:r>
              <w:rPr>
                <w:rFonts w:hint="eastAsia" w:ascii="宋体" w:hAnsi="宋体" w:eastAsia="宋体" w:cs="宋体"/>
                <w:bCs/>
                <w:color w:val="auto"/>
                <w:kern w:val="0"/>
                <w:sz w:val="24"/>
                <w:highlight w:val="none"/>
                <w:lang w:eastAsia="zh-CN"/>
              </w:rPr>
              <w:t>“企业自救、属地为主”的</w:t>
            </w:r>
            <w:r>
              <w:rPr>
                <w:rFonts w:hint="default" w:ascii="Times New Roman" w:hAnsi="Times New Roman" w:eastAsia="宋体" w:cs="Times New Roman"/>
                <w:bCs/>
                <w:color w:val="auto"/>
                <w:kern w:val="0"/>
                <w:sz w:val="24"/>
                <w:highlight w:val="none"/>
                <w:lang w:eastAsia="zh-CN"/>
              </w:rPr>
              <w:t>原则，一旦发生环境污染事件，企业应立即实行自救，采取一切措施控制事态发展，及时向地方人民政府报告，超出本企业应急处置能力时，应启动上一级预案，由地方政府动用社会应急救援力量，实行分级管理、分级响应和联动，充分发挥地方政府职能作用和各部门的专业优势，加强各部门的协同和合作，提高快速反应能力。使环境风险应急预案适应本项目各种环境事件及事件次生、伴生环境事件的应急需要。</w:t>
            </w:r>
          </w:p>
          <w:p w14:paraId="46AF368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color w:val="auto"/>
                <w:szCs w:val="22"/>
                <w:highlight w:val="none"/>
                <w:lang w:val="en-US" w:eastAsia="zh-CN"/>
              </w:rPr>
            </w:pPr>
            <w:r>
              <w:rPr>
                <w:rFonts w:hint="default" w:ascii="Times New Roman" w:hAnsi="Times New Roman" w:eastAsia="宋体" w:cs="Times New Roman"/>
                <w:bCs/>
                <w:color w:val="auto"/>
                <w:kern w:val="0"/>
                <w:sz w:val="24"/>
                <w:szCs w:val="22"/>
                <w:highlight w:val="none"/>
              </w:rPr>
              <w:t>综上所述，项目不存在重大危险源，风险事故对外环境影响较小，项目落实环境风险防范措施的基础上，其环境风险是可接受的</w:t>
            </w:r>
            <w:r>
              <w:rPr>
                <w:rFonts w:hint="default" w:ascii="Times New Roman" w:hAnsi="Times New Roman" w:eastAsia="宋体" w:cs="Times New Roman"/>
                <w:bCs/>
                <w:color w:val="auto"/>
                <w:kern w:val="0"/>
                <w:sz w:val="24"/>
                <w:szCs w:val="22"/>
                <w:highlight w:val="none"/>
                <w:lang w:eastAsia="zh-CN"/>
              </w:rPr>
              <w:t>。</w:t>
            </w:r>
          </w:p>
          <w:p w14:paraId="4A217E90">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b w:val="0"/>
                <w:bCs/>
                <w:color w:val="auto"/>
                <w:sz w:val="24"/>
                <w:szCs w:val="22"/>
                <w:highlight w:val="none"/>
              </w:rPr>
            </w:pPr>
            <w:r>
              <w:rPr>
                <w:rFonts w:hint="eastAsia" w:cs="Times New Roman"/>
                <w:b w:val="0"/>
                <w:bCs/>
                <w:color w:val="auto"/>
                <w:sz w:val="24"/>
                <w:szCs w:val="22"/>
                <w:highlight w:val="none"/>
                <w:lang w:val="en-US" w:eastAsia="zh-CN"/>
              </w:rPr>
              <w:t>五、</w:t>
            </w:r>
            <w:r>
              <w:rPr>
                <w:rFonts w:hint="eastAsia" w:ascii="Times New Roman" w:hAnsi="Times New Roman" w:eastAsia="宋体" w:cs="Times New Roman"/>
                <w:b w:val="0"/>
                <w:bCs/>
                <w:color w:val="auto"/>
                <w:sz w:val="24"/>
                <w:szCs w:val="22"/>
                <w:highlight w:val="none"/>
              </w:rPr>
              <w:t>分析结论</w:t>
            </w:r>
          </w:p>
          <w:p w14:paraId="3EDAD349">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2"/>
                <w:highlight w:val="none"/>
              </w:rPr>
            </w:pPr>
            <w:r>
              <w:rPr>
                <w:rFonts w:hint="eastAsia" w:ascii="Times New Roman" w:hAnsi="Times New Roman" w:eastAsia="宋体" w:cs="Times New Roman"/>
                <w:color w:val="auto"/>
                <w:sz w:val="24"/>
                <w:szCs w:val="22"/>
                <w:highlight w:val="none"/>
              </w:rPr>
              <w:t>本项目环境风险潜势为I，最大可信事故为</w:t>
            </w:r>
            <w:r>
              <w:rPr>
                <w:rFonts w:hint="eastAsia" w:cs="Times New Roman"/>
                <w:color w:val="auto"/>
                <w:sz w:val="24"/>
                <w:szCs w:val="22"/>
                <w:highlight w:val="none"/>
                <w:lang w:val="en-US" w:eastAsia="zh-CN"/>
              </w:rPr>
              <w:t>液态物料</w:t>
            </w:r>
            <w:r>
              <w:rPr>
                <w:rFonts w:hint="eastAsia" w:ascii="Times New Roman" w:hAnsi="Times New Roman" w:eastAsia="宋体" w:cs="Times New Roman"/>
                <w:color w:val="auto"/>
                <w:sz w:val="24"/>
                <w:szCs w:val="22"/>
                <w:highlight w:val="none"/>
              </w:rPr>
              <w:t>泄漏和火灾次生CO/伴生灾害。企业要加强风险管理，认真落实各种风险防范措施，通过相应的技术手段降低风险发生概率，并在风险事故发生后，及时采取风险防范措施，可使风险事故对环境的危害得到有效控制，将事故风险控制在可以接受的范围内，因此，本项目事故风险水平可以接受。</w:t>
            </w:r>
          </w:p>
          <w:p w14:paraId="0FF33C98">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eastAsia="宋体" w:cs="Times New Roman"/>
                <w:b/>
                <w:bCs/>
                <w:color w:val="auto"/>
                <w:kern w:val="0"/>
                <w:sz w:val="21"/>
                <w:szCs w:val="21"/>
                <w:highlight w:val="none"/>
                <w:lang w:bidi="en-US"/>
              </w:rPr>
            </w:pPr>
            <w:r>
              <w:rPr>
                <w:rFonts w:ascii="Times New Roman" w:hAnsi="Times New Roman" w:eastAsia="宋体" w:cs="Times New Roman"/>
                <w:b/>
                <w:bCs/>
                <w:color w:val="auto"/>
                <w:kern w:val="0"/>
                <w:sz w:val="21"/>
                <w:szCs w:val="21"/>
                <w:highlight w:val="none"/>
                <w:lang w:bidi="en-US"/>
              </w:rPr>
              <w:t>表</w:t>
            </w:r>
            <w:r>
              <w:rPr>
                <w:rFonts w:ascii="Times New Roman" w:hAnsi="Times New Roman" w:eastAsia="宋体" w:cs="Times New Roman"/>
                <w:b/>
                <w:bCs/>
                <w:color w:val="auto"/>
                <w:sz w:val="21"/>
                <w:szCs w:val="21"/>
                <w:highlight w:val="none"/>
              </w:rPr>
              <w:t>4</w:t>
            </w:r>
            <w:r>
              <w:rPr>
                <w:rFonts w:hint="eastAsia"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23</w:t>
            </w:r>
            <w:r>
              <w:rPr>
                <w:rFonts w:ascii="Times New Roman" w:hAnsi="Times New Roman" w:eastAsia="宋体" w:cs="Times New Roman"/>
                <w:b/>
                <w:bCs/>
                <w:color w:val="auto"/>
                <w:sz w:val="21"/>
                <w:szCs w:val="21"/>
                <w:highlight w:val="none"/>
              </w:rPr>
              <w:t xml:space="preserve">  </w:t>
            </w:r>
            <w:r>
              <w:rPr>
                <w:rFonts w:ascii="Times New Roman" w:hAnsi="Times New Roman" w:eastAsia="宋体" w:cs="Times New Roman"/>
                <w:b/>
                <w:bCs/>
                <w:color w:val="auto"/>
                <w:kern w:val="0"/>
                <w:sz w:val="21"/>
                <w:szCs w:val="21"/>
                <w:highlight w:val="none"/>
                <w:lang w:bidi="en-US"/>
              </w:rPr>
              <w:t>建设项目环境风险简单分析内容表</w:t>
            </w:r>
          </w:p>
          <w:tbl>
            <w:tblPr>
              <w:tblStyle w:val="39"/>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6422"/>
            </w:tblGrid>
            <w:tr w14:paraId="7CC3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2" w:type="pct"/>
                  <w:tcBorders>
                    <w:tl2br w:val="nil"/>
                    <w:tr2bl w:val="nil"/>
                  </w:tcBorders>
                  <w:noWrap w:val="0"/>
                  <w:vAlign w:val="center"/>
                </w:tcPr>
                <w:p w14:paraId="601E6D2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建设项目名称</w:t>
                  </w:r>
                </w:p>
              </w:tc>
              <w:tc>
                <w:tcPr>
                  <w:tcW w:w="3807" w:type="pct"/>
                  <w:tcBorders>
                    <w:tl2br w:val="nil"/>
                    <w:tr2bl w:val="nil"/>
                  </w:tcBorders>
                  <w:noWrap w:val="0"/>
                  <w:vAlign w:val="center"/>
                </w:tcPr>
                <w:p w14:paraId="0F906E1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蚌埠称心服饰</w:t>
                  </w:r>
                  <w:r>
                    <w:rPr>
                      <w:rFonts w:hint="default" w:ascii="Times New Roman" w:hAnsi="Times New Roman" w:eastAsia="宋体" w:cs="Times New Roman"/>
                      <w:b w:val="0"/>
                      <w:bCs w:val="0"/>
                      <w:color w:val="auto"/>
                      <w:sz w:val="21"/>
                      <w:szCs w:val="21"/>
                      <w:highlight w:val="none"/>
                      <w:lang w:val="en-US" w:eastAsia="zh-CN"/>
                    </w:rPr>
                    <w:t>有限公司</w:t>
                  </w:r>
                  <w:r>
                    <w:rPr>
                      <w:rFonts w:hint="eastAsia" w:ascii="Times New Roman" w:hAnsi="Times New Roman" w:eastAsia="宋体" w:cs="Times New Roman"/>
                      <w:b w:val="0"/>
                      <w:bCs w:val="0"/>
                      <w:color w:val="auto"/>
                      <w:sz w:val="21"/>
                      <w:szCs w:val="21"/>
                      <w:highlight w:val="none"/>
                      <w:lang w:val="en-US" w:eastAsia="zh-CN"/>
                    </w:rPr>
                    <w:t>防静电无尘鞋150万双、防静电无尘服150万套、棉服羽绒服50万套项目</w:t>
                  </w:r>
                </w:p>
              </w:tc>
            </w:tr>
            <w:tr w14:paraId="1192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2" w:type="pct"/>
                  <w:tcBorders>
                    <w:tl2br w:val="nil"/>
                    <w:tr2bl w:val="nil"/>
                  </w:tcBorders>
                  <w:noWrap w:val="0"/>
                  <w:vAlign w:val="center"/>
                </w:tcPr>
                <w:p w14:paraId="158B427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建设地点</w:t>
                  </w:r>
                </w:p>
              </w:tc>
              <w:tc>
                <w:tcPr>
                  <w:tcW w:w="3807" w:type="pct"/>
                  <w:tcBorders>
                    <w:tl2br w:val="nil"/>
                    <w:tr2bl w:val="nil"/>
                  </w:tcBorders>
                  <w:noWrap w:val="0"/>
                  <w:vAlign w:val="center"/>
                </w:tcPr>
                <w:p w14:paraId="148826A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rPr>
                  </w:pPr>
                  <w:r>
                    <w:rPr>
                      <w:rFonts w:hint="eastAsia" w:cs="Times New Roman"/>
                      <w:b w:val="0"/>
                      <w:bCs w:val="0"/>
                      <w:color w:val="auto"/>
                      <w:sz w:val="21"/>
                      <w:szCs w:val="21"/>
                      <w:highlight w:val="none"/>
                      <w:lang w:val="en-US" w:eastAsia="zh-CN"/>
                    </w:rPr>
                    <w:t>五河县城南工业园区工业五路中段南侧</w:t>
                  </w:r>
                </w:p>
              </w:tc>
            </w:tr>
            <w:tr w14:paraId="10F8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2" w:type="pct"/>
                  <w:tcBorders>
                    <w:tl2br w:val="nil"/>
                    <w:tr2bl w:val="nil"/>
                  </w:tcBorders>
                  <w:noWrap w:val="0"/>
                  <w:vAlign w:val="center"/>
                </w:tcPr>
                <w:p w14:paraId="6921B03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地理坐标</w:t>
                  </w:r>
                </w:p>
              </w:tc>
              <w:tc>
                <w:tcPr>
                  <w:tcW w:w="3807" w:type="pct"/>
                  <w:tcBorders>
                    <w:tl2br w:val="nil"/>
                    <w:tr2bl w:val="nil"/>
                  </w:tcBorders>
                  <w:noWrap w:val="0"/>
                  <w:vAlign w:val="center"/>
                </w:tcPr>
                <w:p w14:paraId="7363E9C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东经118度0</w:t>
                  </w:r>
                  <w:r>
                    <w:rPr>
                      <w:rFonts w:hint="eastAsia" w:ascii="Times New Roman" w:hAnsi="Times New Roman" w:eastAsia="宋体" w:cs="Times New Roman"/>
                      <w:bCs/>
                      <w:color w:val="auto"/>
                      <w:sz w:val="21"/>
                      <w:szCs w:val="21"/>
                      <w:highlight w:val="none"/>
                      <w:lang w:val="en-US" w:eastAsia="zh-CN"/>
                    </w:rPr>
                    <w:t>3</w:t>
                  </w:r>
                  <w:r>
                    <w:rPr>
                      <w:rFonts w:hint="default" w:ascii="Times New Roman" w:hAnsi="Times New Roman" w:eastAsia="宋体" w:cs="Times New Roman"/>
                      <w:bCs/>
                      <w:color w:val="auto"/>
                      <w:sz w:val="21"/>
                      <w:szCs w:val="21"/>
                      <w:highlight w:val="none"/>
                      <w:lang w:val="en-US" w:eastAsia="zh-CN"/>
                    </w:rPr>
                    <w:t>分</w:t>
                  </w:r>
                  <w:r>
                    <w:rPr>
                      <w:rFonts w:hint="eastAsia" w:ascii="Times New Roman" w:hAnsi="Times New Roman" w:eastAsia="宋体" w:cs="Times New Roman"/>
                      <w:bCs/>
                      <w:color w:val="auto"/>
                      <w:sz w:val="21"/>
                      <w:szCs w:val="21"/>
                      <w:highlight w:val="none"/>
                      <w:lang w:val="en-US" w:eastAsia="zh-CN"/>
                    </w:rPr>
                    <w:t>26.5</w:t>
                  </w:r>
                  <w:r>
                    <w:rPr>
                      <w:rFonts w:hint="default" w:ascii="Times New Roman" w:hAnsi="Times New Roman" w:eastAsia="宋体" w:cs="Times New Roman"/>
                      <w:bCs/>
                      <w:color w:val="auto"/>
                      <w:sz w:val="21"/>
                      <w:szCs w:val="21"/>
                      <w:highlight w:val="none"/>
                      <w:lang w:val="en-US" w:eastAsia="zh-CN"/>
                    </w:rPr>
                    <w:t>秒，北纬3</w:t>
                  </w:r>
                  <w:r>
                    <w:rPr>
                      <w:rFonts w:hint="eastAsia"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lang w:val="en-US" w:eastAsia="zh-CN"/>
                    </w:rPr>
                    <w:t>度</w:t>
                  </w:r>
                  <w:r>
                    <w:rPr>
                      <w:rFonts w:hint="eastAsia" w:ascii="Times New Roman" w:hAnsi="Times New Roman" w:eastAsia="宋体" w:cs="Times New Roman"/>
                      <w:bCs/>
                      <w:color w:val="auto"/>
                      <w:sz w:val="21"/>
                      <w:szCs w:val="21"/>
                      <w:highlight w:val="none"/>
                      <w:lang w:val="en-US" w:eastAsia="zh-CN"/>
                    </w:rPr>
                    <w:t>47</w:t>
                  </w:r>
                  <w:r>
                    <w:rPr>
                      <w:rFonts w:hint="default" w:ascii="Times New Roman" w:hAnsi="Times New Roman" w:eastAsia="宋体" w:cs="Times New Roman"/>
                      <w:bCs/>
                      <w:color w:val="auto"/>
                      <w:sz w:val="21"/>
                      <w:szCs w:val="21"/>
                      <w:highlight w:val="none"/>
                      <w:lang w:val="en-US" w:eastAsia="zh-CN"/>
                    </w:rPr>
                    <w:t>分3</w:t>
                  </w:r>
                  <w:r>
                    <w:rPr>
                      <w:rFonts w:hint="eastAsia" w:ascii="Times New Roman" w:hAnsi="Times New Roman" w:eastAsia="宋体" w:cs="Times New Roman"/>
                      <w:bCs/>
                      <w:color w:val="auto"/>
                      <w:sz w:val="21"/>
                      <w:szCs w:val="21"/>
                      <w:highlight w:val="none"/>
                      <w:lang w:val="en-US" w:eastAsia="zh-CN"/>
                    </w:rPr>
                    <w:t>3.941</w:t>
                  </w:r>
                  <w:r>
                    <w:rPr>
                      <w:rFonts w:hint="default" w:ascii="Times New Roman" w:hAnsi="Times New Roman" w:eastAsia="宋体" w:cs="Times New Roman"/>
                      <w:bCs/>
                      <w:color w:val="auto"/>
                      <w:sz w:val="21"/>
                      <w:szCs w:val="21"/>
                      <w:highlight w:val="none"/>
                      <w:lang w:val="en-US" w:eastAsia="zh-CN"/>
                    </w:rPr>
                    <w:t>秒</w:t>
                  </w:r>
                </w:p>
              </w:tc>
            </w:tr>
            <w:tr w14:paraId="1A2C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2" w:type="pct"/>
                  <w:tcBorders>
                    <w:tl2br w:val="nil"/>
                    <w:tr2bl w:val="nil"/>
                  </w:tcBorders>
                  <w:noWrap w:val="0"/>
                  <w:vAlign w:val="center"/>
                </w:tcPr>
                <w:p w14:paraId="1215087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主要危险物质分布</w:t>
                  </w:r>
                </w:p>
              </w:tc>
              <w:tc>
                <w:tcPr>
                  <w:tcW w:w="3807" w:type="pct"/>
                  <w:tcBorders>
                    <w:tl2br w:val="nil"/>
                    <w:tr2bl w:val="nil"/>
                  </w:tcBorders>
                  <w:noWrap w:val="0"/>
                  <w:vAlign w:val="center"/>
                </w:tcPr>
                <w:p w14:paraId="77D44FD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化学品库、危废暂存库、</w:t>
                  </w:r>
                  <w:r>
                    <w:rPr>
                      <w:rFonts w:hint="eastAsia" w:cs="Times New Roman"/>
                      <w:color w:val="auto"/>
                      <w:sz w:val="21"/>
                      <w:szCs w:val="21"/>
                      <w:highlight w:val="none"/>
                      <w:lang w:val="en-US" w:eastAsia="zh-CN"/>
                    </w:rPr>
                    <w:t>生产装置区</w:t>
                  </w:r>
                </w:p>
              </w:tc>
            </w:tr>
            <w:tr w14:paraId="55C5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2" w:type="pct"/>
                  <w:tcBorders>
                    <w:tl2br w:val="nil"/>
                    <w:tr2bl w:val="nil"/>
                  </w:tcBorders>
                  <w:noWrap w:val="0"/>
                  <w:vAlign w:val="center"/>
                </w:tcPr>
                <w:p w14:paraId="76C63D7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环境影响途径及危害后果（大气、地表水、地下水等）</w:t>
                  </w:r>
                </w:p>
              </w:tc>
              <w:tc>
                <w:tcPr>
                  <w:tcW w:w="3807" w:type="pct"/>
                  <w:tcBorders>
                    <w:tl2br w:val="nil"/>
                    <w:tr2bl w:val="nil"/>
                  </w:tcBorders>
                  <w:noWrap w:val="0"/>
                  <w:vAlign w:val="center"/>
                </w:tcPr>
                <w:p w14:paraId="251D34F5">
                  <w:pPr>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大气环境：废气处理装置故障事故情况下污染物的排放浓度会有一定程度的增加，并超过相关质量标准，对周围的大气环境产生一定的影响。</w:t>
                  </w:r>
                </w:p>
                <w:p w14:paraId="76BBC2B9">
                  <w:pPr>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地表水、</w:t>
                  </w:r>
                  <w:r>
                    <w:rPr>
                      <w:rFonts w:hint="default" w:ascii="Times New Roman" w:hAnsi="Times New Roman" w:eastAsia="宋体" w:cs="Times New Roman"/>
                      <w:color w:val="auto"/>
                      <w:sz w:val="21"/>
                      <w:szCs w:val="21"/>
                      <w:highlight w:val="none"/>
                    </w:rPr>
                    <w:t>地下水和土壤环境：项目危险物质</w:t>
                  </w:r>
                  <w:r>
                    <w:rPr>
                      <w:rFonts w:hint="default" w:ascii="Times New Roman" w:hAnsi="Times New Roman" w:eastAsia="宋体" w:cs="Times New Roman"/>
                      <w:color w:val="auto"/>
                      <w:sz w:val="21"/>
                      <w:szCs w:val="21"/>
                      <w:highlight w:val="none"/>
                      <w:lang w:eastAsia="zh-CN"/>
                    </w:rPr>
                    <w:t>泄漏</w:t>
                  </w:r>
                  <w:r>
                    <w:rPr>
                      <w:rFonts w:hint="default" w:ascii="Times New Roman" w:hAnsi="Times New Roman" w:eastAsia="宋体" w:cs="Times New Roman"/>
                      <w:color w:val="auto"/>
                      <w:sz w:val="21"/>
                      <w:szCs w:val="21"/>
                      <w:highlight w:val="none"/>
                    </w:rPr>
                    <w:t>，进入</w:t>
                  </w:r>
                  <w:r>
                    <w:rPr>
                      <w:rFonts w:hint="default" w:ascii="Times New Roman" w:hAnsi="Times New Roman" w:eastAsia="宋体" w:cs="Times New Roman"/>
                      <w:color w:val="auto"/>
                      <w:sz w:val="21"/>
                      <w:szCs w:val="21"/>
                      <w:highlight w:val="none"/>
                      <w:lang w:val="en-US" w:eastAsia="zh-CN"/>
                    </w:rPr>
                    <w:t>地表水、</w:t>
                  </w:r>
                  <w:r>
                    <w:rPr>
                      <w:rFonts w:hint="default" w:ascii="Times New Roman" w:hAnsi="Times New Roman" w:eastAsia="宋体" w:cs="Times New Roman"/>
                      <w:color w:val="auto"/>
                      <w:sz w:val="21"/>
                      <w:szCs w:val="21"/>
                      <w:highlight w:val="none"/>
                    </w:rPr>
                    <w:t>地下水和土壤环境，对</w:t>
                  </w:r>
                  <w:r>
                    <w:rPr>
                      <w:rFonts w:hint="default" w:ascii="Times New Roman" w:hAnsi="Times New Roman" w:eastAsia="宋体" w:cs="Times New Roman"/>
                      <w:color w:val="auto"/>
                      <w:sz w:val="21"/>
                      <w:szCs w:val="21"/>
                      <w:highlight w:val="none"/>
                      <w:lang w:val="en-US" w:eastAsia="zh-CN"/>
                    </w:rPr>
                    <w:t>地表和</w:t>
                  </w:r>
                  <w:r>
                    <w:rPr>
                      <w:rFonts w:hint="default" w:ascii="Times New Roman" w:hAnsi="Times New Roman" w:eastAsia="宋体" w:cs="Times New Roman"/>
                      <w:color w:val="auto"/>
                      <w:sz w:val="21"/>
                      <w:szCs w:val="21"/>
                      <w:highlight w:val="none"/>
                    </w:rPr>
                    <w:t>地下水环境造成风险事故。项目</w:t>
                  </w:r>
                  <w:r>
                    <w:rPr>
                      <w:rFonts w:hint="default" w:ascii="Times New Roman" w:hAnsi="Times New Roman" w:eastAsia="宋体" w:cs="Times New Roman"/>
                      <w:color w:val="auto"/>
                      <w:sz w:val="21"/>
                      <w:szCs w:val="21"/>
                      <w:highlight w:val="none"/>
                      <w:lang w:eastAsia="zh-CN"/>
                    </w:rPr>
                    <w:t>危废暂存库</w:t>
                  </w:r>
                  <w:r>
                    <w:rPr>
                      <w:rFonts w:hint="default" w:ascii="Times New Roman" w:hAnsi="Times New Roman" w:eastAsia="宋体" w:cs="Times New Roman"/>
                      <w:color w:val="auto"/>
                      <w:sz w:val="21"/>
                      <w:szCs w:val="21"/>
                      <w:highlight w:val="none"/>
                    </w:rPr>
                    <w:t>采取重点防渗措施，不会对区域地下水和土壤环境产生影响。</w:t>
                  </w:r>
                </w:p>
              </w:tc>
            </w:tr>
            <w:tr w14:paraId="0C3B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2" w:type="pct"/>
                  <w:tcBorders>
                    <w:tl2br w:val="nil"/>
                    <w:tr2bl w:val="nil"/>
                  </w:tcBorders>
                  <w:noWrap w:val="0"/>
                  <w:vAlign w:val="center"/>
                </w:tcPr>
                <w:p w14:paraId="1377ED2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风险防范措施要求</w:t>
                  </w:r>
                </w:p>
              </w:tc>
              <w:tc>
                <w:tcPr>
                  <w:tcW w:w="3807" w:type="pct"/>
                  <w:tcBorders>
                    <w:tl2br w:val="nil"/>
                    <w:tr2bl w:val="nil"/>
                  </w:tcBorders>
                  <w:noWrap w:val="0"/>
                  <w:vAlign w:val="center"/>
                </w:tcPr>
                <w:p w14:paraId="40608841">
                  <w:pPr>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（1）配备完善的消防器材</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定期检查；（2）加强管理，确保废气处理设施正常运行，防止出现风机失效；如处理设备出现故障，应立即停止</w:t>
                  </w:r>
                  <w:r>
                    <w:rPr>
                      <w:rFonts w:hint="eastAsia" w:cs="Times New Roman"/>
                      <w:color w:val="auto"/>
                      <w:sz w:val="21"/>
                      <w:szCs w:val="21"/>
                      <w:highlight w:val="none"/>
                      <w:lang w:val="en-US" w:eastAsia="zh-CN"/>
                    </w:rPr>
                    <w:t>相应生产工序运行</w:t>
                  </w:r>
                  <w:r>
                    <w:rPr>
                      <w:rFonts w:hint="default" w:ascii="Times New Roman" w:hAnsi="Times New Roman" w:eastAsia="宋体" w:cs="Times New Roman"/>
                      <w:color w:val="auto"/>
                      <w:sz w:val="21"/>
                      <w:szCs w:val="21"/>
                      <w:highlight w:val="none"/>
                    </w:rPr>
                    <w:t>，由专人检查、维修后恢复运行；（3）</w:t>
                  </w:r>
                  <w:r>
                    <w:rPr>
                      <w:rFonts w:hint="default" w:ascii="Times New Roman" w:hAnsi="Times New Roman" w:eastAsia="宋体" w:cs="Times New Roman"/>
                      <w:color w:val="auto"/>
                      <w:sz w:val="21"/>
                      <w:szCs w:val="21"/>
                      <w:highlight w:val="none"/>
                      <w:lang w:eastAsia="zh-CN"/>
                    </w:rPr>
                    <w:t>危废暂存库</w:t>
                  </w:r>
                  <w:r>
                    <w:rPr>
                      <w:rFonts w:hint="default" w:ascii="Times New Roman" w:hAnsi="Times New Roman" w:eastAsia="宋体" w:cs="Times New Roman"/>
                      <w:color w:val="auto"/>
                      <w:sz w:val="21"/>
                      <w:szCs w:val="21"/>
                      <w:highlight w:val="none"/>
                    </w:rPr>
                    <w:t>严格按照《危险废物贮存污染控制标准》（GB18597-20</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）的要求进行设计、建设和管理以防危险废物事故排放污染环境。定期对所贮存的危险废物包装容器及贮存设施进行检查，发现破损，应及时采取措施清理更换。</w:t>
                  </w:r>
                </w:p>
              </w:tc>
            </w:tr>
            <w:tr w14:paraId="6888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2"/>
                  <w:tcBorders>
                    <w:tl2br w:val="nil"/>
                    <w:tr2bl w:val="nil"/>
                  </w:tcBorders>
                  <w:noWrap w:val="0"/>
                  <w:vAlign w:val="center"/>
                </w:tcPr>
                <w:p w14:paraId="37DA7614">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填表说明（列出项目相关信息及评价说明）：</w:t>
                  </w:r>
                </w:p>
                <w:p w14:paraId="2DC2C4ED">
                  <w:pPr>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危险物质的总</w:t>
                  </w:r>
                  <w:r>
                    <w:rPr>
                      <w:rFonts w:hint="default" w:ascii="Times New Roman" w:hAnsi="Times New Roman" w:eastAsia="宋体" w:cs="Times New Roman"/>
                      <w:color w:val="auto"/>
                      <w:sz w:val="21"/>
                      <w:szCs w:val="21"/>
                      <w:highlight w:val="none"/>
                      <w:lang w:val="en-US" w:eastAsia="zh-CN"/>
                    </w:rPr>
                    <w:t>量</w:t>
                  </w:r>
                  <w:r>
                    <w:rPr>
                      <w:rFonts w:hint="default" w:ascii="Times New Roman" w:hAnsi="Times New Roman" w:eastAsia="宋体" w:cs="Times New Roman"/>
                      <w:color w:val="auto"/>
                      <w:sz w:val="21"/>
                      <w:szCs w:val="21"/>
                      <w:highlight w:val="none"/>
                    </w:rPr>
                    <w:t>与其临界量比值Q＜1，本项目环境风险潜势为Ⅰ。</w:t>
                  </w:r>
                </w:p>
              </w:tc>
            </w:tr>
          </w:tbl>
          <w:p w14:paraId="52ADFBDE">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0" w:firstLineChars="0"/>
              <w:jc w:val="both"/>
              <w:textAlignment w:val="auto"/>
              <w:rPr>
                <w:rFonts w:hint="eastAsia"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rPr>
              <w:t>7</w:t>
            </w:r>
            <w:r>
              <w:rPr>
                <w:rFonts w:hint="default" w:ascii="Times New Roman" w:hAnsi="Times New Roman" w:eastAsia="宋体" w:cs="Times New Roman"/>
                <w:b/>
                <w:bCs/>
                <w:color w:val="auto"/>
                <w:kern w:val="0"/>
                <w:sz w:val="24"/>
                <w:szCs w:val="24"/>
                <w:highlight w:val="none"/>
                <w:lang w:val="en-US" w:eastAsia="zh-CN"/>
              </w:rPr>
              <w:t>、</w:t>
            </w:r>
            <w:r>
              <w:rPr>
                <w:rFonts w:hint="eastAsia" w:cs="Times New Roman"/>
                <w:b/>
                <w:bCs/>
                <w:color w:val="auto"/>
                <w:kern w:val="0"/>
                <w:sz w:val="24"/>
                <w:szCs w:val="24"/>
                <w:highlight w:val="none"/>
                <w:lang w:val="en-US" w:eastAsia="zh-CN"/>
              </w:rPr>
              <w:t>排污口规范化设置</w:t>
            </w:r>
          </w:p>
          <w:p w14:paraId="540CE51C">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color w:val="auto"/>
                <w:sz w:val="24"/>
                <w:szCs w:val="22"/>
                <w:highlight w:val="none"/>
              </w:rPr>
            </w:pPr>
            <w:r>
              <w:rPr>
                <w:color w:val="auto"/>
                <w:sz w:val="24"/>
                <w:szCs w:val="22"/>
                <w:highlight w:val="none"/>
              </w:rPr>
              <w:t>按照《安徽省污染源排放口规范化整治管理办法》（环法函[2005]114号），排污口规范化整治应遵循便于采集样品，便于计量监测，便于日常现场监督检查的原则，建设项目按有关规定对排污口施行规范化管理，在各排污口和污染物排放电源竖立标志牌，建立管理档案。</w:t>
            </w:r>
          </w:p>
          <w:p w14:paraId="468B6CA5">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color w:val="auto"/>
                <w:sz w:val="24"/>
                <w:szCs w:val="22"/>
                <w:highlight w:val="none"/>
              </w:rPr>
            </w:pPr>
            <w:r>
              <w:rPr>
                <w:color w:val="auto"/>
                <w:sz w:val="24"/>
                <w:szCs w:val="22"/>
                <w:highlight w:val="none"/>
              </w:rPr>
              <w:t>（1）废气排放口规范化</w:t>
            </w:r>
          </w:p>
          <w:p w14:paraId="5CF90F24">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color w:val="auto"/>
                <w:sz w:val="24"/>
                <w:szCs w:val="22"/>
                <w:highlight w:val="none"/>
              </w:rPr>
            </w:pPr>
            <w:r>
              <w:rPr>
                <w:color w:val="auto"/>
                <w:sz w:val="24"/>
                <w:szCs w:val="22"/>
                <w:highlight w:val="none"/>
              </w:rPr>
              <w:t>废气排放口必须符合规定的高度和按照《污染源监测技术规范》便于采样、监测的要求，设置直径不大于75mm的采样口。如无法满足要求的，其采样口与环境监测部门共同确认。</w:t>
            </w:r>
          </w:p>
          <w:p w14:paraId="0061835F">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color w:val="auto"/>
                <w:sz w:val="24"/>
                <w:szCs w:val="22"/>
                <w:highlight w:val="none"/>
              </w:rPr>
            </w:pPr>
            <w:r>
              <w:rPr>
                <w:color w:val="auto"/>
                <w:sz w:val="24"/>
                <w:szCs w:val="22"/>
                <w:highlight w:val="none"/>
              </w:rPr>
              <w:t>（2）污水排放口规范化</w:t>
            </w:r>
          </w:p>
          <w:p w14:paraId="04AB4468">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color w:val="auto"/>
                <w:sz w:val="24"/>
                <w:szCs w:val="22"/>
                <w:highlight w:val="none"/>
              </w:rPr>
            </w:pPr>
            <w:r>
              <w:rPr>
                <w:color w:val="auto"/>
                <w:sz w:val="24"/>
                <w:szCs w:val="22"/>
                <w:highlight w:val="none"/>
              </w:rPr>
              <w:t>应在厂区总排口处设置标志牌，应符合“一明显，二合理，三便于”的要求，设置合理，便于采取水样。</w:t>
            </w:r>
          </w:p>
          <w:p w14:paraId="19710339">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color w:val="auto"/>
                <w:sz w:val="24"/>
                <w:szCs w:val="22"/>
                <w:highlight w:val="none"/>
              </w:rPr>
            </w:pPr>
            <w:r>
              <w:rPr>
                <w:color w:val="auto"/>
                <w:sz w:val="24"/>
                <w:szCs w:val="22"/>
                <w:highlight w:val="none"/>
              </w:rPr>
              <w:t>（3）固定噪声污染源规范化整治</w:t>
            </w:r>
          </w:p>
          <w:p w14:paraId="62B320E8">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color w:val="auto"/>
                <w:sz w:val="24"/>
                <w:szCs w:val="22"/>
                <w:highlight w:val="none"/>
              </w:rPr>
            </w:pPr>
            <w:r>
              <w:rPr>
                <w:color w:val="auto"/>
                <w:sz w:val="24"/>
                <w:szCs w:val="22"/>
                <w:highlight w:val="none"/>
              </w:rPr>
              <w:t>参照《工业企业厂界环境噪声排放标准》（GB12348</w:t>
            </w:r>
            <w:r>
              <w:rPr>
                <w:rFonts w:hint="eastAsia"/>
                <w:color w:val="auto"/>
                <w:sz w:val="24"/>
                <w:szCs w:val="22"/>
                <w:highlight w:val="none"/>
                <w:lang w:val="en-US" w:eastAsia="zh-CN"/>
              </w:rPr>
              <w:t>-</w:t>
            </w:r>
            <w:r>
              <w:rPr>
                <w:color w:val="auto"/>
                <w:sz w:val="24"/>
                <w:szCs w:val="22"/>
                <w:highlight w:val="none"/>
              </w:rPr>
              <w:t>2008）的规定，定期监测，设置环境噪声监测点，并在该处附近醒目处设置环境保护图形标志牌。</w:t>
            </w:r>
          </w:p>
          <w:p w14:paraId="58F1B078">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color w:val="auto"/>
                <w:sz w:val="24"/>
                <w:szCs w:val="22"/>
                <w:highlight w:val="none"/>
              </w:rPr>
            </w:pPr>
            <w:r>
              <w:rPr>
                <w:color w:val="auto"/>
                <w:sz w:val="24"/>
                <w:szCs w:val="22"/>
                <w:highlight w:val="none"/>
              </w:rPr>
              <w:t>（4）固体废物：对于一般固体废物应设置专用贮存、堆放场地。各类固体废物贮存场所均应设置醒目的标志牌。</w:t>
            </w:r>
          </w:p>
          <w:p w14:paraId="71AC1274">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color w:val="auto"/>
                <w:sz w:val="24"/>
                <w:szCs w:val="22"/>
                <w:highlight w:val="none"/>
              </w:rPr>
            </w:pPr>
            <w:r>
              <w:rPr>
                <w:color w:val="auto"/>
                <w:sz w:val="24"/>
                <w:szCs w:val="22"/>
                <w:highlight w:val="none"/>
              </w:rPr>
              <w:t>（5）环境保护图形标志</w:t>
            </w:r>
          </w:p>
          <w:p w14:paraId="1D6B67D6">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color w:val="auto"/>
                <w:sz w:val="24"/>
                <w:szCs w:val="22"/>
                <w:highlight w:val="none"/>
              </w:rPr>
            </w:pPr>
            <w:r>
              <w:rPr>
                <w:color w:val="auto"/>
                <w:sz w:val="24"/>
                <w:szCs w:val="22"/>
                <w:highlight w:val="none"/>
              </w:rPr>
              <w:t>在厂区的废气排放源、</w:t>
            </w:r>
            <w:r>
              <w:rPr>
                <w:rFonts w:hint="eastAsia"/>
                <w:color w:val="auto"/>
                <w:sz w:val="24"/>
                <w:szCs w:val="22"/>
                <w:highlight w:val="none"/>
                <w:lang w:val="en-US" w:eastAsia="zh-CN"/>
              </w:rPr>
              <w:t>废水排放口、</w:t>
            </w:r>
            <w:r>
              <w:rPr>
                <w:color w:val="auto"/>
                <w:sz w:val="24"/>
                <w:szCs w:val="22"/>
                <w:highlight w:val="none"/>
              </w:rPr>
              <w:t>固废贮存处置场应设置环境保护图形标志，图形符号分为提示图形和警告图形符号两种，分别按GB15562.1-1995、GB15562.2-1995</w:t>
            </w:r>
            <w:r>
              <w:rPr>
                <w:rFonts w:hint="eastAsia"/>
                <w:color w:val="auto"/>
                <w:sz w:val="24"/>
                <w:szCs w:val="22"/>
                <w:highlight w:val="none"/>
              </w:rPr>
              <w:t>（2023修改）</w:t>
            </w:r>
            <w:r>
              <w:rPr>
                <w:rFonts w:hint="eastAsia"/>
                <w:color w:val="auto"/>
                <w:sz w:val="24"/>
                <w:szCs w:val="22"/>
                <w:highlight w:val="none"/>
                <w:lang w:eastAsia="zh-CN"/>
              </w:rPr>
              <w:t>、</w:t>
            </w:r>
            <w:r>
              <w:rPr>
                <w:rFonts w:hint="default" w:ascii="Times New Roman" w:hAnsi="Times New Roman" w:cs="Times New Roman"/>
                <w:color w:val="auto"/>
                <w:sz w:val="24"/>
                <w:szCs w:val="24"/>
                <w:highlight w:val="none"/>
              </w:rPr>
              <w:t>HJ 1276-2022</w:t>
            </w:r>
            <w:r>
              <w:rPr>
                <w:color w:val="auto"/>
                <w:sz w:val="24"/>
                <w:szCs w:val="22"/>
                <w:highlight w:val="none"/>
              </w:rPr>
              <w:t>执行。环境保护图形标志的形状及颜色见下表，环境保护图形符号见下表。</w:t>
            </w:r>
          </w:p>
          <w:p w14:paraId="0F9C219D">
            <w:pPr>
              <w:pStyle w:val="352"/>
              <w:keepNext w:val="0"/>
              <w:keepLines w:val="0"/>
              <w:suppressLineNumbers w:val="0"/>
              <w:snapToGrid w:val="0"/>
              <w:spacing w:before="0" w:beforeAutospacing="0" w:after="0" w:afterAutospacing="0"/>
              <w:ind w:left="0" w:right="0"/>
              <w:rPr>
                <w:rFonts w:ascii="Times New Roman" w:hAnsi="Times New Roman" w:eastAsia="宋体" w:cs="Times New Roman"/>
                <w:b/>
                <w:bCs/>
                <w:color w:val="auto"/>
                <w:kern w:val="2"/>
                <w:sz w:val="21"/>
                <w:szCs w:val="21"/>
                <w:highlight w:val="none"/>
                <w:lang w:val="en-US" w:eastAsia="zh-CN" w:bidi="ar-SA"/>
              </w:rPr>
            </w:pPr>
            <w:r>
              <w:rPr>
                <w:rFonts w:ascii="Times New Roman" w:hAnsi="Times New Roman" w:eastAsia="宋体" w:cs="Times New Roman"/>
                <w:b/>
                <w:bCs/>
                <w:color w:val="auto"/>
                <w:kern w:val="2"/>
                <w:sz w:val="21"/>
                <w:szCs w:val="21"/>
                <w:highlight w:val="none"/>
                <w:lang w:val="en-US" w:eastAsia="zh-CN" w:bidi="ar-SA"/>
              </w:rPr>
              <w:t>表4-</w:t>
            </w:r>
            <w:r>
              <w:rPr>
                <w:rFonts w:hint="eastAsia" w:cs="Times New Roman"/>
                <w:b/>
                <w:bCs/>
                <w:color w:val="auto"/>
                <w:kern w:val="2"/>
                <w:sz w:val="21"/>
                <w:szCs w:val="21"/>
                <w:highlight w:val="none"/>
                <w:lang w:val="en-US" w:eastAsia="zh-CN" w:bidi="ar-SA"/>
              </w:rPr>
              <w:t>24</w:t>
            </w:r>
            <w:r>
              <w:rPr>
                <w:rFonts w:ascii="Times New Roman" w:hAnsi="Times New Roman" w:eastAsia="宋体" w:cs="Times New Roman"/>
                <w:b/>
                <w:bCs/>
                <w:color w:val="auto"/>
                <w:kern w:val="2"/>
                <w:sz w:val="21"/>
                <w:szCs w:val="21"/>
                <w:highlight w:val="none"/>
                <w:lang w:val="en-US" w:eastAsia="zh-CN" w:bidi="ar-SA"/>
              </w:rPr>
              <w:t xml:space="preserve"> </w:t>
            </w:r>
            <w:r>
              <w:rPr>
                <w:rFonts w:hint="eastAsia" w:ascii="Times New Roman" w:hAnsi="Times New Roman" w:eastAsia="宋体" w:cs="Times New Roman"/>
                <w:b/>
                <w:bCs/>
                <w:color w:val="auto"/>
                <w:kern w:val="2"/>
                <w:sz w:val="21"/>
                <w:szCs w:val="21"/>
                <w:highlight w:val="none"/>
                <w:lang w:val="en-US" w:eastAsia="zh-CN" w:bidi="ar-SA"/>
              </w:rPr>
              <w:t xml:space="preserve"> </w:t>
            </w:r>
            <w:r>
              <w:rPr>
                <w:rFonts w:ascii="Times New Roman" w:hAnsi="Times New Roman" w:eastAsia="宋体" w:cs="Times New Roman"/>
                <w:b/>
                <w:bCs/>
                <w:color w:val="auto"/>
                <w:kern w:val="2"/>
                <w:sz w:val="21"/>
                <w:szCs w:val="21"/>
                <w:highlight w:val="none"/>
                <w:lang w:val="en-US" w:eastAsia="zh-CN" w:bidi="ar-SA"/>
              </w:rPr>
              <w:t>环境保护图形标志的形状及颜色表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2155"/>
              <w:gridCol w:w="2156"/>
              <w:gridCol w:w="1971"/>
            </w:tblGrid>
            <w:tr w14:paraId="2F6D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7" w:type="pct"/>
                  <w:noWrap w:val="0"/>
                  <w:vAlign w:val="center"/>
                </w:tcPr>
                <w:p w14:paraId="0218D0CA">
                  <w:pPr>
                    <w:keepNext w:val="0"/>
                    <w:keepLines w:val="0"/>
                    <w:suppressLineNumbers w:val="0"/>
                    <w:adjustRightInd w:val="0"/>
                    <w:snapToGrid w:val="0"/>
                    <w:spacing w:before="0" w:beforeAutospacing="0" w:after="0" w:afterAutospacing="0"/>
                    <w:ind w:left="0" w:right="0"/>
                    <w:jc w:val="center"/>
                    <w:rPr>
                      <w:b w:val="0"/>
                      <w:bCs w:val="0"/>
                      <w:color w:val="auto"/>
                      <w:szCs w:val="21"/>
                      <w:highlight w:val="none"/>
                    </w:rPr>
                  </w:pPr>
                  <w:r>
                    <w:rPr>
                      <w:b w:val="0"/>
                      <w:bCs w:val="0"/>
                      <w:color w:val="auto"/>
                      <w:szCs w:val="21"/>
                      <w:highlight w:val="none"/>
                    </w:rPr>
                    <w:t>标志名称</w:t>
                  </w:r>
                </w:p>
              </w:tc>
              <w:tc>
                <w:tcPr>
                  <w:tcW w:w="1277" w:type="pct"/>
                  <w:noWrap w:val="0"/>
                  <w:vAlign w:val="center"/>
                </w:tcPr>
                <w:p w14:paraId="2B7D5FB3">
                  <w:pPr>
                    <w:keepNext w:val="0"/>
                    <w:keepLines w:val="0"/>
                    <w:suppressLineNumbers w:val="0"/>
                    <w:adjustRightInd w:val="0"/>
                    <w:snapToGrid w:val="0"/>
                    <w:spacing w:before="0" w:beforeAutospacing="0" w:after="0" w:afterAutospacing="0"/>
                    <w:ind w:left="0" w:right="0"/>
                    <w:jc w:val="center"/>
                    <w:rPr>
                      <w:b w:val="0"/>
                      <w:bCs w:val="0"/>
                      <w:color w:val="auto"/>
                      <w:szCs w:val="21"/>
                      <w:highlight w:val="none"/>
                    </w:rPr>
                  </w:pPr>
                  <w:r>
                    <w:rPr>
                      <w:b w:val="0"/>
                      <w:bCs w:val="0"/>
                      <w:color w:val="auto"/>
                      <w:szCs w:val="21"/>
                      <w:highlight w:val="none"/>
                    </w:rPr>
                    <w:t>形状</w:t>
                  </w:r>
                </w:p>
              </w:tc>
              <w:tc>
                <w:tcPr>
                  <w:tcW w:w="1278" w:type="pct"/>
                  <w:noWrap w:val="0"/>
                  <w:vAlign w:val="center"/>
                </w:tcPr>
                <w:p w14:paraId="2B9C9ADC">
                  <w:pPr>
                    <w:keepNext w:val="0"/>
                    <w:keepLines w:val="0"/>
                    <w:suppressLineNumbers w:val="0"/>
                    <w:adjustRightInd w:val="0"/>
                    <w:snapToGrid w:val="0"/>
                    <w:spacing w:before="0" w:beforeAutospacing="0" w:after="0" w:afterAutospacing="0"/>
                    <w:ind w:left="0" w:right="0"/>
                    <w:jc w:val="center"/>
                    <w:rPr>
                      <w:b w:val="0"/>
                      <w:bCs w:val="0"/>
                      <w:color w:val="auto"/>
                      <w:szCs w:val="21"/>
                      <w:highlight w:val="none"/>
                    </w:rPr>
                  </w:pPr>
                  <w:r>
                    <w:rPr>
                      <w:b w:val="0"/>
                      <w:bCs w:val="0"/>
                      <w:color w:val="auto"/>
                      <w:szCs w:val="21"/>
                      <w:highlight w:val="none"/>
                    </w:rPr>
                    <w:t>背景颜色</w:t>
                  </w:r>
                </w:p>
              </w:tc>
              <w:tc>
                <w:tcPr>
                  <w:tcW w:w="1168" w:type="pct"/>
                  <w:noWrap w:val="0"/>
                  <w:vAlign w:val="center"/>
                </w:tcPr>
                <w:p w14:paraId="149E5806">
                  <w:pPr>
                    <w:keepNext w:val="0"/>
                    <w:keepLines w:val="0"/>
                    <w:suppressLineNumbers w:val="0"/>
                    <w:adjustRightInd w:val="0"/>
                    <w:snapToGrid w:val="0"/>
                    <w:spacing w:before="0" w:beforeAutospacing="0" w:after="0" w:afterAutospacing="0"/>
                    <w:ind w:left="0" w:right="0"/>
                    <w:jc w:val="center"/>
                    <w:rPr>
                      <w:b w:val="0"/>
                      <w:bCs w:val="0"/>
                      <w:color w:val="auto"/>
                      <w:szCs w:val="21"/>
                      <w:highlight w:val="none"/>
                    </w:rPr>
                  </w:pPr>
                  <w:r>
                    <w:rPr>
                      <w:b w:val="0"/>
                      <w:bCs w:val="0"/>
                      <w:color w:val="auto"/>
                      <w:szCs w:val="21"/>
                      <w:highlight w:val="none"/>
                    </w:rPr>
                    <w:t>图形颜色</w:t>
                  </w:r>
                </w:p>
              </w:tc>
            </w:tr>
            <w:tr w14:paraId="320F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7" w:type="pct"/>
                  <w:noWrap w:val="0"/>
                  <w:vAlign w:val="center"/>
                </w:tcPr>
                <w:p w14:paraId="12A469C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警告标志</w:t>
                  </w:r>
                </w:p>
              </w:tc>
              <w:tc>
                <w:tcPr>
                  <w:tcW w:w="1277" w:type="pct"/>
                  <w:noWrap w:val="0"/>
                  <w:vAlign w:val="center"/>
                </w:tcPr>
                <w:p w14:paraId="191ACA4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三角形边框</w:t>
                  </w:r>
                </w:p>
              </w:tc>
              <w:tc>
                <w:tcPr>
                  <w:tcW w:w="1278" w:type="pct"/>
                  <w:noWrap w:val="0"/>
                  <w:vAlign w:val="center"/>
                </w:tcPr>
                <w:p w14:paraId="7CFD0DF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黄色</w:t>
                  </w:r>
                </w:p>
              </w:tc>
              <w:tc>
                <w:tcPr>
                  <w:tcW w:w="1168" w:type="pct"/>
                  <w:noWrap w:val="0"/>
                  <w:vAlign w:val="center"/>
                </w:tcPr>
                <w:p w14:paraId="5FD07BA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黑色</w:t>
                  </w:r>
                </w:p>
              </w:tc>
            </w:tr>
            <w:tr w14:paraId="1277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7" w:type="pct"/>
                  <w:noWrap w:val="0"/>
                  <w:vAlign w:val="center"/>
                </w:tcPr>
                <w:p w14:paraId="7BBBCA8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提示标志</w:t>
                  </w:r>
                </w:p>
              </w:tc>
              <w:tc>
                <w:tcPr>
                  <w:tcW w:w="1277" w:type="pct"/>
                  <w:noWrap w:val="0"/>
                  <w:vAlign w:val="center"/>
                </w:tcPr>
                <w:p w14:paraId="02849A8E">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正方形边框</w:t>
                  </w:r>
                </w:p>
              </w:tc>
              <w:tc>
                <w:tcPr>
                  <w:tcW w:w="1278" w:type="pct"/>
                  <w:noWrap w:val="0"/>
                  <w:vAlign w:val="center"/>
                </w:tcPr>
                <w:p w14:paraId="06D54352">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绿色</w:t>
                  </w:r>
                </w:p>
              </w:tc>
              <w:tc>
                <w:tcPr>
                  <w:tcW w:w="1168" w:type="pct"/>
                  <w:noWrap w:val="0"/>
                  <w:vAlign w:val="center"/>
                </w:tcPr>
                <w:p w14:paraId="13F2D77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白色</w:t>
                  </w:r>
                </w:p>
              </w:tc>
            </w:tr>
          </w:tbl>
          <w:p w14:paraId="5A4B0275">
            <w:pPr>
              <w:pStyle w:val="352"/>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ind w:left="0" w:right="0"/>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表4-</w:t>
            </w:r>
            <w:r>
              <w:rPr>
                <w:rFonts w:hint="eastAsia" w:cs="Times New Roman"/>
                <w:b/>
                <w:bCs/>
                <w:color w:val="auto"/>
                <w:kern w:val="2"/>
                <w:sz w:val="21"/>
                <w:szCs w:val="21"/>
                <w:highlight w:val="none"/>
                <w:lang w:val="en-US" w:eastAsia="zh-CN" w:bidi="ar-SA"/>
              </w:rPr>
              <w:t>25</w:t>
            </w:r>
            <w:r>
              <w:rPr>
                <w:rFonts w:hint="eastAsia" w:ascii="Times New Roman" w:hAnsi="Times New Roman" w:eastAsia="宋体" w:cs="Times New Roman"/>
                <w:b/>
                <w:bCs/>
                <w:color w:val="auto"/>
                <w:kern w:val="2"/>
                <w:sz w:val="21"/>
                <w:szCs w:val="21"/>
                <w:highlight w:val="none"/>
                <w:lang w:val="en-US" w:eastAsia="zh-CN" w:bidi="ar-SA"/>
              </w:rPr>
              <w:t xml:space="preserve">  环境保护图形符号一览表</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1479"/>
              <w:gridCol w:w="2116"/>
              <w:gridCol w:w="1925"/>
              <w:gridCol w:w="2245"/>
            </w:tblGrid>
            <w:tr w14:paraId="6693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trPr>
              <w:tc>
                <w:tcPr>
                  <w:tcW w:w="447" w:type="pct"/>
                  <w:noWrap w:val="0"/>
                  <w:vAlign w:val="center"/>
                </w:tcPr>
                <w:p w14:paraId="11165D59">
                  <w:pPr>
                    <w:keepNext w:val="0"/>
                    <w:keepLines w:val="0"/>
                    <w:suppressLineNumbers w:val="0"/>
                    <w:spacing w:before="0" w:beforeAutospacing="0" w:after="0" w:afterAutospacing="0"/>
                    <w:ind w:left="0" w:right="0"/>
                    <w:jc w:val="center"/>
                    <w:rPr>
                      <w:b w:val="0"/>
                      <w:bCs w:val="0"/>
                      <w:color w:val="auto"/>
                      <w:szCs w:val="22"/>
                      <w:highlight w:val="none"/>
                    </w:rPr>
                  </w:pPr>
                  <w:r>
                    <w:rPr>
                      <w:b w:val="0"/>
                      <w:bCs w:val="0"/>
                      <w:color w:val="auto"/>
                      <w:szCs w:val="22"/>
                      <w:highlight w:val="none"/>
                    </w:rPr>
                    <w:t>序号</w:t>
                  </w:r>
                </w:p>
              </w:tc>
              <w:tc>
                <w:tcPr>
                  <w:tcW w:w="927" w:type="pct"/>
                  <w:noWrap w:val="0"/>
                  <w:vAlign w:val="center"/>
                </w:tcPr>
                <w:p w14:paraId="1D0CE453">
                  <w:pPr>
                    <w:keepNext w:val="0"/>
                    <w:keepLines w:val="0"/>
                    <w:suppressLineNumbers w:val="0"/>
                    <w:spacing w:before="0" w:beforeAutospacing="0" w:after="0" w:afterAutospacing="0"/>
                    <w:ind w:left="0" w:right="0"/>
                    <w:jc w:val="center"/>
                    <w:rPr>
                      <w:b w:val="0"/>
                      <w:bCs w:val="0"/>
                      <w:color w:val="auto"/>
                      <w:szCs w:val="22"/>
                      <w:highlight w:val="none"/>
                    </w:rPr>
                  </w:pPr>
                  <w:r>
                    <w:rPr>
                      <w:b w:val="0"/>
                      <w:bCs w:val="0"/>
                      <w:color w:val="auto"/>
                      <w:szCs w:val="22"/>
                      <w:highlight w:val="none"/>
                    </w:rPr>
                    <w:t>提示图形符号</w:t>
                  </w:r>
                </w:p>
              </w:tc>
              <w:tc>
                <w:tcPr>
                  <w:tcW w:w="1052" w:type="pct"/>
                  <w:noWrap w:val="0"/>
                  <w:vAlign w:val="center"/>
                </w:tcPr>
                <w:p w14:paraId="22E1A3BE">
                  <w:pPr>
                    <w:keepNext w:val="0"/>
                    <w:keepLines w:val="0"/>
                    <w:suppressLineNumbers w:val="0"/>
                    <w:spacing w:before="0" w:beforeAutospacing="0" w:after="0" w:afterAutospacing="0"/>
                    <w:ind w:left="0" w:right="0"/>
                    <w:jc w:val="center"/>
                    <w:rPr>
                      <w:b w:val="0"/>
                      <w:bCs w:val="0"/>
                      <w:color w:val="auto"/>
                      <w:szCs w:val="22"/>
                      <w:highlight w:val="none"/>
                    </w:rPr>
                  </w:pPr>
                  <w:r>
                    <w:rPr>
                      <w:b w:val="0"/>
                      <w:bCs w:val="0"/>
                      <w:color w:val="auto"/>
                      <w:szCs w:val="22"/>
                      <w:highlight w:val="none"/>
                    </w:rPr>
                    <w:t>警告图形符号</w:t>
                  </w:r>
                </w:p>
              </w:tc>
              <w:tc>
                <w:tcPr>
                  <w:tcW w:w="1191" w:type="pct"/>
                  <w:noWrap w:val="0"/>
                  <w:vAlign w:val="center"/>
                </w:tcPr>
                <w:p w14:paraId="219B7D78">
                  <w:pPr>
                    <w:keepNext w:val="0"/>
                    <w:keepLines w:val="0"/>
                    <w:suppressLineNumbers w:val="0"/>
                    <w:spacing w:before="0" w:beforeAutospacing="0" w:after="0" w:afterAutospacing="0"/>
                    <w:ind w:left="0" w:right="0"/>
                    <w:jc w:val="center"/>
                    <w:rPr>
                      <w:b w:val="0"/>
                      <w:bCs w:val="0"/>
                      <w:color w:val="auto"/>
                      <w:szCs w:val="22"/>
                      <w:highlight w:val="none"/>
                    </w:rPr>
                  </w:pPr>
                  <w:r>
                    <w:rPr>
                      <w:b w:val="0"/>
                      <w:bCs w:val="0"/>
                      <w:color w:val="auto"/>
                      <w:szCs w:val="22"/>
                      <w:highlight w:val="none"/>
                    </w:rPr>
                    <w:t>名称</w:t>
                  </w:r>
                </w:p>
              </w:tc>
              <w:tc>
                <w:tcPr>
                  <w:tcW w:w="1381" w:type="pct"/>
                  <w:noWrap w:val="0"/>
                  <w:vAlign w:val="center"/>
                </w:tcPr>
                <w:p w14:paraId="15C84E5C">
                  <w:pPr>
                    <w:keepNext w:val="0"/>
                    <w:keepLines w:val="0"/>
                    <w:suppressLineNumbers w:val="0"/>
                    <w:spacing w:before="0" w:beforeAutospacing="0" w:after="0" w:afterAutospacing="0"/>
                    <w:ind w:left="0" w:right="0"/>
                    <w:jc w:val="center"/>
                    <w:rPr>
                      <w:b w:val="0"/>
                      <w:bCs w:val="0"/>
                      <w:color w:val="auto"/>
                      <w:szCs w:val="22"/>
                      <w:highlight w:val="none"/>
                    </w:rPr>
                  </w:pPr>
                  <w:r>
                    <w:rPr>
                      <w:b w:val="0"/>
                      <w:bCs w:val="0"/>
                      <w:color w:val="auto"/>
                      <w:szCs w:val="22"/>
                      <w:highlight w:val="none"/>
                    </w:rPr>
                    <w:t>功能</w:t>
                  </w:r>
                </w:p>
              </w:tc>
            </w:tr>
            <w:tr w14:paraId="4FA9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447" w:type="pct"/>
                  <w:noWrap w:val="0"/>
                  <w:vAlign w:val="center"/>
                </w:tcPr>
                <w:p w14:paraId="07E6F3BE">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t>1</w:t>
                  </w:r>
                </w:p>
              </w:tc>
              <w:tc>
                <w:tcPr>
                  <w:tcW w:w="927" w:type="pct"/>
                  <w:noWrap w:val="0"/>
                  <w:vAlign w:val="center"/>
                </w:tcPr>
                <w:p w14:paraId="4B41ADB3">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drawing>
                      <wp:anchor distT="0" distB="0" distL="114300" distR="114300" simplePos="0" relativeHeight="251662336" behindDoc="0" locked="0" layoutInCell="1" allowOverlap="1">
                        <wp:simplePos x="0" y="0"/>
                        <wp:positionH relativeFrom="column">
                          <wp:posOffset>29210</wp:posOffset>
                        </wp:positionH>
                        <wp:positionV relativeFrom="paragraph">
                          <wp:posOffset>57785</wp:posOffset>
                        </wp:positionV>
                        <wp:extent cx="810260" cy="537210"/>
                        <wp:effectExtent l="0" t="0" r="2540" b="8890"/>
                        <wp:wrapNone/>
                        <wp:docPr id="109" name="图片 9" descr="V@W](71CG7GH@($BSX9B4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 descr="V@W](71CG7GH@($BSX9B4CY"/>
                                <pic:cNvPicPr>
                                  <a:picLocks noChangeAspect="1"/>
                                </pic:cNvPicPr>
                              </pic:nvPicPr>
                              <pic:blipFill>
                                <a:blip r:embed="rId39"/>
                                <a:stretch>
                                  <a:fillRect/>
                                </a:stretch>
                              </pic:blipFill>
                              <pic:spPr>
                                <a:xfrm>
                                  <a:off x="0" y="0"/>
                                  <a:ext cx="810260" cy="537210"/>
                                </a:xfrm>
                                <a:prstGeom prst="rect">
                                  <a:avLst/>
                                </a:prstGeom>
                                <a:noFill/>
                                <a:ln>
                                  <a:noFill/>
                                </a:ln>
                              </pic:spPr>
                            </pic:pic>
                          </a:graphicData>
                        </a:graphic>
                      </wp:anchor>
                    </w:drawing>
                  </w:r>
                </w:p>
              </w:tc>
              <w:tc>
                <w:tcPr>
                  <w:tcW w:w="1052" w:type="pct"/>
                  <w:noWrap w:val="0"/>
                  <w:vAlign w:val="center"/>
                </w:tcPr>
                <w:p w14:paraId="7D70C9B1">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drawing>
                      <wp:anchor distT="0" distB="0" distL="114300" distR="114300" simplePos="0" relativeHeight="251661312" behindDoc="0" locked="0" layoutInCell="1" allowOverlap="1">
                        <wp:simplePos x="0" y="0"/>
                        <wp:positionH relativeFrom="column">
                          <wp:posOffset>103505</wp:posOffset>
                        </wp:positionH>
                        <wp:positionV relativeFrom="paragraph">
                          <wp:posOffset>54610</wp:posOffset>
                        </wp:positionV>
                        <wp:extent cx="895350" cy="638175"/>
                        <wp:effectExtent l="0" t="0" r="6350" b="9525"/>
                        <wp:wrapNone/>
                        <wp:docPr id="106" name="图片 8" descr="ZZ]TQF)]20V@N%G~)R3]5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 descr="ZZ]TQF)]20V@N%G~)R3]5J2"/>
                                <pic:cNvPicPr>
                                  <a:picLocks noChangeAspect="1"/>
                                </pic:cNvPicPr>
                              </pic:nvPicPr>
                              <pic:blipFill>
                                <a:blip r:embed="rId40"/>
                                <a:stretch>
                                  <a:fillRect/>
                                </a:stretch>
                              </pic:blipFill>
                              <pic:spPr>
                                <a:xfrm>
                                  <a:off x="0" y="0"/>
                                  <a:ext cx="895350" cy="638175"/>
                                </a:xfrm>
                                <a:prstGeom prst="rect">
                                  <a:avLst/>
                                </a:prstGeom>
                                <a:noFill/>
                                <a:ln>
                                  <a:noFill/>
                                </a:ln>
                              </pic:spPr>
                            </pic:pic>
                          </a:graphicData>
                        </a:graphic>
                      </wp:anchor>
                    </w:drawing>
                  </w:r>
                </w:p>
              </w:tc>
              <w:tc>
                <w:tcPr>
                  <w:tcW w:w="1191" w:type="pct"/>
                  <w:noWrap w:val="0"/>
                  <w:vAlign w:val="center"/>
                </w:tcPr>
                <w:p w14:paraId="4DBDA2BC">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t>废水排放口</w:t>
                  </w:r>
                </w:p>
              </w:tc>
              <w:tc>
                <w:tcPr>
                  <w:tcW w:w="1381" w:type="pct"/>
                  <w:noWrap w:val="0"/>
                  <w:vAlign w:val="center"/>
                </w:tcPr>
                <w:p w14:paraId="05147D00">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t>表示污水向水体排放</w:t>
                  </w:r>
                </w:p>
              </w:tc>
            </w:tr>
            <w:tr w14:paraId="26B4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447" w:type="pct"/>
                  <w:noWrap w:val="0"/>
                  <w:vAlign w:val="center"/>
                </w:tcPr>
                <w:p w14:paraId="7077C44D">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t>2</w:t>
                  </w:r>
                </w:p>
              </w:tc>
              <w:tc>
                <w:tcPr>
                  <w:tcW w:w="927" w:type="pct"/>
                  <w:noWrap w:val="0"/>
                  <w:vAlign w:val="center"/>
                </w:tcPr>
                <w:p w14:paraId="5DEA83E6">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drawing>
                      <wp:anchor distT="0" distB="0" distL="114300" distR="114300" simplePos="0" relativeHeight="251663360" behindDoc="0" locked="0" layoutInCell="1" allowOverlap="1">
                        <wp:simplePos x="0" y="0"/>
                        <wp:positionH relativeFrom="column">
                          <wp:posOffset>29210</wp:posOffset>
                        </wp:positionH>
                        <wp:positionV relativeFrom="paragraph">
                          <wp:posOffset>70485</wp:posOffset>
                        </wp:positionV>
                        <wp:extent cx="817880" cy="563245"/>
                        <wp:effectExtent l="0" t="0" r="7620" b="8255"/>
                        <wp:wrapNone/>
                        <wp:docPr id="107" name="图片 7" descr="V3OQ`G)ZN]VYNC8Y}K]PX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 descr="V3OQ`G)ZN]VYNC8Y}K]PXEP"/>
                                <pic:cNvPicPr>
                                  <a:picLocks noChangeAspect="1"/>
                                </pic:cNvPicPr>
                              </pic:nvPicPr>
                              <pic:blipFill>
                                <a:blip r:embed="rId41"/>
                                <a:stretch>
                                  <a:fillRect/>
                                </a:stretch>
                              </pic:blipFill>
                              <pic:spPr>
                                <a:xfrm>
                                  <a:off x="0" y="0"/>
                                  <a:ext cx="817880" cy="563245"/>
                                </a:xfrm>
                                <a:prstGeom prst="rect">
                                  <a:avLst/>
                                </a:prstGeom>
                                <a:noFill/>
                                <a:ln>
                                  <a:noFill/>
                                </a:ln>
                              </pic:spPr>
                            </pic:pic>
                          </a:graphicData>
                        </a:graphic>
                      </wp:anchor>
                    </w:drawing>
                  </w:r>
                </w:p>
              </w:tc>
              <w:tc>
                <w:tcPr>
                  <w:tcW w:w="1052" w:type="pct"/>
                  <w:noWrap w:val="0"/>
                  <w:vAlign w:val="center"/>
                </w:tcPr>
                <w:p w14:paraId="462C60BD">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drawing>
                      <wp:anchor distT="0" distB="0" distL="114300" distR="114300" simplePos="0" relativeHeight="251664384" behindDoc="0" locked="0" layoutInCell="1" allowOverlap="1">
                        <wp:simplePos x="0" y="0"/>
                        <wp:positionH relativeFrom="column">
                          <wp:posOffset>88900</wp:posOffset>
                        </wp:positionH>
                        <wp:positionV relativeFrom="paragraph">
                          <wp:posOffset>54610</wp:posOffset>
                        </wp:positionV>
                        <wp:extent cx="895350" cy="638175"/>
                        <wp:effectExtent l="0" t="0" r="6350" b="9525"/>
                        <wp:wrapNone/>
                        <wp:docPr id="102" name="图片 6" descr=")CO78GYEM0__E0PWK}J~B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 descr=")CO78GYEM0__E0PWK}J~BHO"/>
                                <pic:cNvPicPr>
                                  <a:picLocks noChangeAspect="1"/>
                                </pic:cNvPicPr>
                              </pic:nvPicPr>
                              <pic:blipFill>
                                <a:blip r:embed="rId42"/>
                                <a:stretch>
                                  <a:fillRect/>
                                </a:stretch>
                              </pic:blipFill>
                              <pic:spPr>
                                <a:xfrm>
                                  <a:off x="0" y="0"/>
                                  <a:ext cx="895350" cy="638175"/>
                                </a:xfrm>
                                <a:prstGeom prst="rect">
                                  <a:avLst/>
                                </a:prstGeom>
                                <a:noFill/>
                                <a:ln>
                                  <a:noFill/>
                                </a:ln>
                              </pic:spPr>
                            </pic:pic>
                          </a:graphicData>
                        </a:graphic>
                      </wp:anchor>
                    </w:drawing>
                  </w:r>
                </w:p>
              </w:tc>
              <w:tc>
                <w:tcPr>
                  <w:tcW w:w="1191" w:type="pct"/>
                  <w:noWrap w:val="0"/>
                  <w:vAlign w:val="center"/>
                </w:tcPr>
                <w:p w14:paraId="7E80D2A4">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t>废气排放口</w:t>
                  </w:r>
                </w:p>
              </w:tc>
              <w:tc>
                <w:tcPr>
                  <w:tcW w:w="1381" w:type="pct"/>
                  <w:noWrap w:val="0"/>
                  <w:vAlign w:val="center"/>
                </w:tcPr>
                <w:p w14:paraId="2DE5D758">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t>表示废气向大气环境排放</w:t>
                  </w:r>
                </w:p>
              </w:tc>
            </w:tr>
            <w:tr w14:paraId="614B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447" w:type="pct"/>
                  <w:noWrap w:val="0"/>
                  <w:vAlign w:val="center"/>
                </w:tcPr>
                <w:p w14:paraId="759683BF">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t>3</w:t>
                  </w:r>
                </w:p>
              </w:tc>
              <w:tc>
                <w:tcPr>
                  <w:tcW w:w="927" w:type="pct"/>
                  <w:noWrap w:val="0"/>
                  <w:vAlign w:val="center"/>
                </w:tcPr>
                <w:p w14:paraId="5926FFF7">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drawing>
                      <wp:anchor distT="0" distB="0" distL="114300" distR="114300" simplePos="0" relativeHeight="251666432" behindDoc="0" locked="0" layoutInCell="1" allowOverlap="1">
                        <wp:simplePos x="0" y="0"/>
                        <wp:positionH relativeFrom="column">
                          <wp:posOffset>43815</wp:posOffset>
                        </wp:positionH>
                        <wp:positionV relativeFrom="paragraph">
                          <wp:posOffset>57150</wp:posOffset>
                        </wp:positionV>
                        <wp:extent cx="803275" cy="535305"/>
                        <wp:effectExtent l="0" t="0" r="9525" b="10795"/>
                        <wp:wrapNone/>
                        <wp:docPr id="105" name="图片 5" descr="U1_05@$XA%BP_})JY4EO7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 descr="U1_05@$XA%BP_})JY4EO7P6"/>
                                <pic:cNvPicPr>
                                  <a:picLocks noChangeAspect="1"/>
                                </pic:cNvPicPr>
                              </pic:nvPicPr>
                              <pic:blipFill>
                                <a:blip r:embed="rId43"/>
                                <a:stretch>
                                  <a:fillRect/>
                                </a:stretch>
                              </pic:blipFill>
                              <pic:spPr>
                                <a:xfrm>
                                  <a:off x="0" y="0"/>
                                  <a:ext cx="803275" cy="535305"/>
                                </a:xfrm>
                                <a:prstGeom prst="rect">
                                  <a:avLst/>
                                </a:prstGeom>
                                <a:noFill/>
                                <a:ln>
                                  <a:noFill/>
                                </a:ln>
                              </pic:spPr>
                            </pic:pic>
                          </a:graphicData>
                        </a:graphic>
                      </wp:anchor>
                    </w:drawing>
                  </w:r>
                </w:p>
              </w:tc>
              <w:tc>
                <w:tcPr>
                  <w:tcW w:w="1052" w:type="pct"/>
                  <w:noWrap w:val="0"/>
                  <w:vAlign w:val="center"/>
                </w:tcPr>
                <w:p w14:paraId="72F9EA2F">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drawing>
                      <wp:anchor distT="0" distB="0" distL="114300" distR="114300" simplePos="0" relativeHeight="251665408" behindDoc="0" locked="0" layoutInCell="1" allowOverlap="1">
                        <wp:simplePos x="0" y="0"/>
                        <wp:positionH relativeFrom="column">
                          <wp:posOffset>93980</wp:posOffset>
                        </wp:positionH>
                        <wp:positionV relativeFrom="paragraph">
                          <wp:posOffset>92710</wp:posOffset>
                        </wp:positionV>
                        <wp:extent cx="904875" cy="600075"/>
                        <wp:effectExtent l="0" t="0" r="9525" b="9525"/>
                        <wp:wrapNone/>
                        <wp:docPr id="104" name="图片 4" descr="HL{CL)7G@6RXZ_@WR[)PK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 descr="HL{CL)7G@6RXZ_@WR[)PKDS"/>
                                <pic:cNvPicPr>
                                  <a:picLocks noChangeAspect="1"/>
                                </pic:cNvPicPr>
                              </pic:nvPicPr>
                              <pic:blipFill>
                                <a:blip r:embed="rId44"/>
                                <a:stretch>
                                  <a:fillRect/>
                                </a:stretch>
                              </pic:blipFill>
                              <pic:spPr>
                                <a:xfrm>
                                  <a:off x="0" y="0"/>
                                  <a:ext cx="904875" cy="600075"/>
                                </a:xfrm>
                                <a:prstGeom prst="rect">
                                  <a:avLst/>
                                </a:prstGeom>
                                <a:noFill/>
                                <a:ln>
                                  <a:noFill/>
                                </a:ln>
                              </pic:spPr>
                            </pic:pic>
                          </a:graphicData>
                        </a:graphic>
                      </wp:anchor>
                    </w:drawing>
                  </w:r>
                </w:p>
              </w:tc>
              <w:tc>
                <w:tcPr>
                  <w:tcW w:w="1191" w:type="pct"/>
                  <w:noWrap w:val="0"/>
                  <w:vAlign w:val="center"/>
                </w:tcPr>
                <w:p w14:paraId="7CF77415">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t>一般固体废物</w:t>
                  </w:r>
                </w:p>
              </w:tc>
              <w:tc>
                <w:tcPr>
                  <w:tcW w:w="1381" w:type="pct"/>
                  <w:noWrap w:val="0"/>
                  <w:vAlign w:val="center"/>
                </w:tcPr>
                <w:p w14:paraId="017485C1">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t>表示一般固体废物贮存、处置场</w:t>
                  </w:r>
                </w:p>
              </w:tc>
            </w:tr>
            <w:tr w14:paraId="54F3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447" w:type="pct"/>
                  <w:noWrap w:val="0"/>
                  <w:vAlign w:val="center"/>
                </w:tcPr>
                <w:p w14:paraId="25CA650B">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t>4</w:t>
                  </w:r>
                </w:p>
              </w:tc>
              <w:tc>
                <w:tcPr>
                  <w:tcW w:w="927" w:type="pct"/>
                  <w:noWrap w:val="0"/>
                  <w:vAlign w:val="center"/>
                </w:tcPr>
                <w:p w14:paraId="74BD4C87">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drawing>
                      <wp:anchor distT="0" distB="0" distL="114300" distR="114300" simplePos="0" relativeHeight="251667456" behindDoc="0" locked="0" layoutInCell="1" allowOverlap="1">
                        <wp:simplePos x="0" y="0"/>
                        <wp:positionH relativeFrom="column">
                          <wp:posOffset>76835</wp:posOffset>
                        </wp:positionH>
                        <wp:positionV relativeFrom="paragraph">
                          <wp:posOffset>52070</wp:posOffset>
                        </wp:positionV>
                        <wp:extent cx="777875" cy="537845"/>
                        <wp:effectExtent l="0" t="0" r="9525" b="8255"/>
                        <wp:wrapNone/>
                        <wp:docPr id="108" name="图片 3" descr="1_6NTSTZZAB3LN)ZML~1X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 descr="1_6NTSTZZAB3LN)ZML~1XAK"/>
                                <pic:cNvPicPr>
                                  <a:picLocks noChangeAspect="1"/>
                                </pic:cNvPicPr>
                              </pic:nvPicPr>
                              <pic:blipFill>
                                <a:blip r:embed="rId45"/>
                                <a:stretch>
                                  <a:fillRect/>
                                </a:stretch>
                              </pic:blipFill>
                              <pic:spPr>
                                <a:xfrm>
                                  <a:off x="0" y="0"/>
                                  <a:ext cx="777875" cy="537845"/>
                                </a:xfrm>
                                <a:prstGeom prst="rect">
                                  <a:avLst/>
                                </a:prstGeom>
                                <a:noFill/>
                                <a:ln>
                                  <a:noFill/>
                                </a:ln>
                              </pic:spPr>
                            </pic:pic>
                          </a:graphicData>
                        </a:graphic>
                      </wp:anchor>
                    </w:drawing>
                  </w:r>
                </w:p>
              </w:tc>
              <w:tc>
                <w:tcPr>
                  <w:tcW w:w="1052" w:type="pct"/>
                  <w:noWrap w:val="0"/>
                  <w:vAlign w:val="center"/>
                </w:tcPr>
                <w:p w14:paraId="4F0E2468">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drawing>
                      <wp:anchor distT="0" distB="0" distL="114300" distR="114300" simplePos="0" relativeHeight="251668480" behindDoc="0" locked="0" layoutInCell="1" allowOverlap="1">
                        <wp:simplePos x="0" y="0"/>
                        <wp:positionH relativeFrom="column">
                          <wp:posOffset>179705</wp:posOffset>
                        </wp:positionH>
                        <wp:positionV relativeFrom="paragraph">
                          <wp:posOffset>54610</wp:posOffset>
                        </wp:positionV>
                        <wp:extent cx="828675" cy="628650"/>
                        <wp:effectExtent l="0" t="0" r="9525" b="6350"/>
                        <wp:wrapNone/>
                        <wp:docPr id="103" name="图片 2" descr="9IADFLE`%R6CV}S~1MNV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 descr="9IADFLE`%R6CV}S~1MNVA%G"/>
                                <pic:cNvPicPr>
                                  <a:picLocks noChangeAspect="1"/>
                                </pic:cNvPicPr>
                              </pic:nvPicPr>
                              <pic:blipFill>
                                <a:blip r:embed="rId46"/>
                                <a:stretch>
                                  <a:fillRect/>
                                </a:stretch>
                              </pic:blipFill>
                              <pic:spPr>
                                <a:xfrm>
                                  <a:off x="0" y="0"/>
                                  <a:ext cx="828675" cy="628650"/>
                                </a:xfrm>
                                <a:prstGeom prst="rect">
                                  <a:avLst/>
                                </a:prstGeom>
                                <a:noFill/>
                                <a:ln>
                                  <a:noFill/>
                                </a:ln>
                              </pic:spPr>
                            </pic:pic>
                          </a:graphicData>
                        </a:graphic>
                      </wp:anchor>
                    </w:drawing>
                  </w:r>
                </w:p>
              </w:tc>
              <w:tc>
                <w:tcPr>
                  <w:tcW w:w="1191" w:type="pct"/>
                  <w:noWrap w:val="0"/>
                  <w:vAlign w:val="center"/>
                </w:tcPr>
                <w:p w14:paraId="19F22347">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t>噪声排放源</w:t>
                  </w:r>
                </w:p>
              </w:tc>
              <w:tc>
                <w:tcPr>
                  <w:tcW w:w="1381" w:type="pct"/>
                  <w:noWrap w:val="0"/>
                  <w:vAlign w:val="center"/>
                </w:tcPr>
                <w:p w14:paraId="5F9E909F">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t>表示噪声向外环境排放</w:t>
                  </w:r>
                </w:p>
              </w:tc>
            </w:tr>
            <w:tr w14:paraId="1EE6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447" w:type="pct"/>
                  <w:noWrap w:val="0"/>
                  <w:vAlign w:val="center"/>
                </w:tcPr>
                <w:p w14:paraId="36C84DA2">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t>5</w:t>
                  </w:r>
                </w:p>
              </w:tc>
              <w:tc>
                <w:tcPr>
                  <w:tcW w:w="927" w:type="pct"/>
                  <w:noWrap w:val="0"/>
                  <w:vAlign w:val="center"/>
                </w:tcPr>
                <w:p w14:paraId="5ED0F411">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t>/</w:t>
                  </w:r>
                </w:p>
              </w:tc>
              <w:tc>
                <w:tcPr>
                  <w:tcW w:w="1052" w:type="pct"/>
                  <w:noWrap w:val="0"/>
                  <w:vAlign w:val="center"/>
                </w:tcPr>
                <w:p w14:paraId="30D27623">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drawing>
                      <wp:inline distT="0" distB="0" distL="114300" distR="114300">
                        <wp:extent cx="1203960" cy="701040"/>
                        <wp:effectExtent l="0" t="0" r="2540" b="10160"/>
                        <wp:docPr id="110" name="图片 13" descr="C:\Users\Administrator\AppData\Local\Temp\WeChat Files\13debdbe396fca56e2063b522e0d8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3" descr="C:\Users\Administrator\AppData\Local\Temp\WeChat Files\13debdbe396fca56e2063b522e0d87f.jpg"/>
                                <pic:cNvPicPr>
                                  <a:picLocks noChangeAspect="1"/>
                                </pic:cNvPicPr>
                              </pic:nvPicPr>
                              <pic:blipFill>
                                <a:blip r:embed="rId47"/>
                                <a:srcRect t="8450" b="13666"/>
                                <a:stretch>
                                  <a:fillRect/>
                                </a:stretch>
                              </pic:blipFill>
                              <pic:spPr>
                                <a:xfrm>
                                  <a:off x="0" y="0"/>
                                  <a:ext cx="1203960" cy="701040"/>
                                </a:xfrm>
                                <a:prstGeom prst="rect">
                                  <a:avLst/>
                                </a:prstGeom>
                                <a:noFill/>
                                <a:ln>
                                  <a:noFill/>
                                </a:ln>
                              </pic:spPr>
                            </pic:pic>
                          </a:graphicData>
                        </a:graphic>
                      </wp:inline>
                    </w:drawing>
                  </w:r>
                </w:p>
              </w:tc>
              <w:tc>
                <w:tcPr>
                  <w:tcW w:w="1191" w:type="pct"/>
                  <w:noWrap w:val="0"/>
                  <w:vAlign w:val="center"/>
                </w:tcPr>
                <w:p w14:paraId="755B6FE7">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t>危险废物</w:t>
                  </w:r>
                </w:p>
              </w:tc>
              <w:tc>
                <w:tcPr>
                  <w:tcW w:w="1381" w:type="pct"/>
                  <w:noWrap w:val="0"/>
                  <w:vAlign w:val="center"/>
                </w:tcPr>
                <w:p w14:paraId="5E741906">
                  <w:pPr>
                    <w:keepNext w:val="0"/>
                    <w:keepLines w:val="0"/>
                    <w:suppressLineNumbers w:val="0"/>
                    <w:spacing w:before="0" w:beforeAutospacing="0" w:after="0" w:afterAutospacing="0"/>
                    <w:ind w:left="0" w:right="0"/>
                    <w:jc w:val="center"/>
                    <w:rPr>
                      <w:color w:val="auto"/>
                      <w:szCs w:val="22"/>
                      <w:highlight w:val="none"/>
                    </w:rPr>
                  </w:pPr>
                  <w:r>
                    <w:rPr>
                      <w:color w:val="auto"/>
                      <w:szCs w:val="22"/>
                      <w:highlight w:val="none"/>
                    </w:rPr>
                    <w:t>表示危险废物贮存、处置场</w:t>
                  </w:r>
                </w:p>
              </w:tc>
            </w:tr>
          </w:tbl>
          <w:p w14:paraId="006854F5">
            <w:pPr>
              <w:pStyle w:val="4"/>
              <w:keepNext/>
              <w:keepLines/>
              <w:pageBreakBefore w:val="0"/>
              <w:widowControl w:val="0"/>
              <w:suppressLineNumbers w:val="0"/>
              <w:kinsoku/>
              <w:wordWrap/>
              <w:overflowPunct/>
              <w:topLinePunct w:val="0"/>
              <w:autoSpaceDE/>
              <w:autoSpaceDN/>
              <w:bidi w:val="0"/>
              <w:adjustRightInd/>
              <w:snapToGrid/>
              <w:spacing w:before="157" w:beforeLines="50" w:beforeAutospacing="0" w:after="0" w:afterLines="0" w:afterAutospacing="0" w:line="360" w:lineRule="auto"/>
              <w:ind w:left="0" w:right="0"/>
              <w:textAlignment w:val="auto"/>
              <w:rPr>
                <w:rFonts w:hint="default" w:ascii="Times New Roman" w:hAnsi="Times New Roman" w:eastAsia="宋体" w:cs="Times New Roman"/>
                <w:bCs w:val="0"/>
                <w:color w:val="auto"/>
                <w:sz w:val="24"/>
                <w:szCs w:val="24"/>
                <w:highlight w:val="none"/>
              </w:rPr>
            </w:pPr>
            <w:r>
              <w:rPr>
                <w:rFonts w:hint="eastAsia" w:ascii="Times New Roman" w:hAnsi="Times New Roman" w:eastAsia="宋体" w:cs="Times New Roman"/>
                <w:bCs w:val="0"/>
                <w:color w:val="auto"/>
                <w:sz w:val="24"/>
                <w:szCs w:val="24"/>
                <w:highlight w:val="none"/>
                <w:lang w:val="en-US" w:eastAsia="zh-CN"/>
              </w:rPr>
              <w:t>8</w:t>
            </w:r>
            <w:r>
              <w:rPr>
                <w:rFonts w:hint="default" w:ascii="Times New Roman" w:hAnsi="Times New Roman" w:eastAsia="宋体" w:cs="Times New Roman"/>
                <w:bCs w:val="0"/>
                <w:color w:val="auto"/>
                <w:sz w:val="24"/>
                <w:szCs w:val="24"/>
                <w:highlight w:val="none"/>
                <w:lang w:val="en-US" w:eastAsia="zh-CN"/>
              </w:rPr>
              <w:t>、环保投资一览表</w:t>
            </w:r>
          </w:p>
          <w:p w14:paraId="08702C92">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szCs w:val="22"/>
                <w:highlight w:val="none"/>
                <w:lang w:eastAsia="zh-CN"/>
              </w:rPr>
            </w:pPr>
            <w:r>
              <w:rPr>
                <w:rFonts w:hint="default" w:ascii="Times New Roman" w:hAnsi="Times New Roman" w:eastAsia="宋体" w:cs="Times New Roman"/>
                <w:color w:val="auto"/>
                <w:sz w:val="24"/>
                <w:szCs w:val="22"/>
                <w:highlight w:val="none"/>
              </w:rPr>
              <w:t>本项目总投资金额为</w:t>
            </w:r>
            <w:r>
              <w:rPr>
                <w:rFonts w:hint="eastAsia" w:cs="Times New Roman"/>
                <w:color w:val="auto"/>
                <w:sz w:val="24"/>
                <w:szCs w:val="22"/>
                <w:highlight w:val="none"/>
                <w:lang w:val="en-US" w:eastAsia="zh-CN"/>
              </w:rPr>
              <w:t>10000</w:t>
            </w:r>
            <w:r>
              <w:rPr>
                <w:rFonts w:hint="default" w:ascii="Times New Roman" w:hAnsi="Times New Roman" w:eastAsia="宋体" w:cs="Times New Roman"/>
                <w:color w:val="auto"/>
                <w:sz w:val="24"/>
                <w:szCs w:val="22"/>
                <w:highlight w:val="none"/>
              </w:rPr>
              <w:t>万元，其中环保投资金额为</w:t>
            </w:r>
            <w:r>
              <w:rPr>
                <w:rFonts w:hint="eastAsia" w:cs="Times New Roman"/>
                <w:color w:val="auto"/>
                <w:sz w:val="24"/>
                <w:szCs w:val="22"/>
                <w:highlight w:val="none"/>
                <w:lang w:val="en-US" w:eastAsia="zh-CN"/>
              </w:rPr>
              <w:t>81</w:t>
            </w:r>
            <w:r>
              <w:rPr>
                <w:rFonts w:hint="default" w:ascii="Times New Roman" w:hAnsi="Times New Roman" w:eastAsia="宋体" w:cs="Times New Roman"/>
                <w:color w:val="auto"/>
                <w:sz w:val="24"/>
                <w:szCs w:val="22"/>
                <w:highlight w:val="none"/>
              </w:rPr>
              <w:t>万元，占项目总投资的</w:t>
            </w:r>
            <w:r>
              <w:rPr>
                <w:rFonts w:hint="eastAsia" w:cs="Times New Roman"/>
                <w:color w:val="auto"/>
                <w:sz w:val="24"/>
                <w:szCs w:val="22"/>
                <w:highlight w:val="none"/>
                <w:lang w:val="en-US" w:eastAsia="zh-CN"/>
              </w:rPr>
              <w:t>0.81</w:t>
            </w:r>
            <w:r>
              <w:rPr>
                <w:rFonts w:hint="default" w:ascii="Times New Roman" w:hAnsi="Times New Roman" w:eastAsia="宋体" w:cs="Times New Roman"/>
                <w:color w:val="auto"/>
                <w:sz w:val="24"/>
                <w:szCs w:val="22"/>
                <w:highlight w:val="none"/>
              </w:rPr>
              <w:t>%。项目环保投资一览表见下表</w:t>
            </w:r>
            <w:r>
              <w:rPr>
                <w:rFonts w:hint="default" w:ascii="Times New Roman" w:hAnsi="Times New Roman" w:eastAsia="宋体" w:cs="Times New Roman"/>
                <w:color w:val="auto"/>
                <w:sz w:val="24"/>
                <w:szCs w:val="22"/>
                <w:highlight w:val="none"/>
                <w:lang w:eastAsia="zh-CN"/>
              </w:rPr>
              <w:t>。</w:t>
            </w:r>
          </w:p>
          <w:p w14:paraId="3AA5FE6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26</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项目</w:t>
            </w:r>
            <w:r>
              <w:rPr>
                <w:rFonts w:hint="eastAsia"/>
                <w:b/>
                <w:bCs/>
                <w:color w:val="auto"/>
                <w:szCs w:val="21"/>
                <w:highlight w:val="none"/>
              </w:rPr>
              <w:t>环保投资</w:t>
            </w:r>
            <w:r>
              <w:rPr>
                <w:rFonts w:hint="default" w:ascii="Times New Roman" w:hAnsi="Times New Roman" w:eastAsia="宋体" w:cs="Times New Roman"/>
                <w:b/>
                <w:bCs/>
                <w:color w:val="auto"/>
                <w:sz w:val="21"/>
                <w:szCs w:val="21"/>
                <w:highlight w:val="none"/>
              </w:rPr>
              <w:t>一览表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287"/>
              <w:gridCol w:w="1883"/>
              <w:gridCol w:w="3599"/>
              <w:gridCol w:w="970"/>
            </w:tblGrid>
            <w:tr w14:paraId="2159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5" w:type="pct"/>
                  <w:gridSpan w:val="2"/>
                  <w:tcBorders>
                    <w:tl2br w:val="nil"/>
                    <w:tr2bl w:val="nil"/>
                  </w:tcBorders>
                  <w:noWrap w:val="0"/>
                  <w:vAlign w:val="center"/>
                </w:tcPr>
                <w:p w14:paraId="0392C37F">
                  <w:pPr>
                    <w:keepNext w:val="0"/>
                    <w:keepLines w:val="0"/>
                    <w:suppressLineNumbers w:val="0"/>
                    <w:tabs>
                      <w:tab w:val="left" w:pos="3360"/>
                    </w:tabs>
                    <w:autoSpaceDE w:val="0"/>
                    <w:autoSpaceDN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内容类型</w:t>
                  </w:r>
                </w:p>
              </w:tc>
              <w:tc>
                <w:tcPr>
                  <w:tcW w:w="1116" w:type="pct"/>
                  <w:tcBorders>
                    <w:tl2br w:val="nil"/>
                    <w:tr2bl w:val="nil"/>
                  </w:tcBorders>
                  <w:noWrap w:val="0"/>
                  <w:vAlign w:val="center"/>
                </w:tcPr>
                <w:p w14:paraId="366735F7">
                  <w:pPr>
                    <w:keepNext w:val="0"/>
                    <w:keepLines w:val="0"/>
                    <w:suppressLineNumbers w:val="0"/>
                    <w:tabs>
                      <w:tab w:val="left" w:pos="3360"/>
                    </w:tabs>
                    <w:autoSpaceDE w:val="0"/>
                    <w:autoSpaceDN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2133" w:type="pct"/>
                  <w:tcBorders>
                    <w:tl2br w:val="nil"/>
                    <w:tr2bl w:val="nil"/>
                  </w:tcBorders>
                  <w:noWrap w:val="0"/>
                  <w:vAlign w:val="center"/>
                </w:tcPr>
                <w:p w14:paraId="18BCFC1C">
                  <w:pPr>
                    <w:keepNext w:val="0"/>
                    <w:keepLines w:val="0"/>
                    <w:suppressLineNumbers w:val="0"/>
                    <w:tabs>
                      <w:tab w:val="left" w:pos="3360"/>
                    </w:tabs>
                    <w:autoSpaceDE w:val="0"/>
                    <w:autoSpaceDN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治理方案</w:t>
                  </w:r>
                </w:p>
              </w:tc>
              <w:tc>
                <w:tcPr>
                  <w:tcW w:w="575" w:type="pct"/>
                  <w:tcBorders>
                    <w:tl2br w:val="nil"/>
                    <w:tr2bl w:val="nil"/>
                  </w:tcBorders>
                  <w:noWrap w:val="0"/>
                  <w:vAlign w:val="center"/>
                </w:tcPr>
                <w:p w14:paraId="7D4D7261">
                  <w:pPr>
                    <w:keepNext w:val="0"/>
                    <w:keepLines w:val="0"/>
                    <w:suppressLineNumbers w:val="0"/>
                    <w:tabs>
                      <w:tab w:val="left" w:pos="3360"/>
                    </w:tabs>
                    <w:autoSpaceDE w:val="0"/>
                    <w:autoSpaceDN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环保投资</w:t>
                  </w:r>
                </w:p>
              </w:tc>
            </w:tr>
            <w:tr w14:paraId="0A36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412" w:type="pct"/>
                  <w:vMerge w:val="restart"/>
                  <w:tcBorders>
                    <w:tl2br w:val="nil"/>
                    <w:tr2bl w:val="nil"/>
                  </w:tcBorders>
                  <w:noWrap w:val="0"/>
                  <w:vAlign w:val="center"/>
                </w:tcPr>
                <w:p w14:paraId="7863179E">
                  <w:pPr>
                    <w:keepNext w:val="0"/>
                    <w:keepLines w:val="0"/>
                    <w:suppressLineNumbers w:val="0"/>
                    <w:tabs>
                      <w:tab w:val="left" w:pos="3360"/>
                    </w:tabs>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w:t>
                  </w:r>
                </w:p>
              </w:tc>
              <w:tc>
                <w:tcPr>
                  <w:tcW w:w="762" w:type="pct"/>
                  <w:tcBorders>
                    <w:tl2br w:val="nil"/>
                    <w:tr2bl w:val="nil"/>
                  </w:tcBorders>
                  <w:noWrap w:val="0"/>
                  <w:vAlign w:val="center"/>
                </w:tcPr>
                <w:p w14:paraId="5237CD09">
                  <w:pPr>
                    <w:keepNext w:val="0"/>
                    <w:keepLines w:val="0"/>
                    <w:suppressLineNumbers w:val="0"/>
                    <w:tabs>
                      <w:tab w:val="left" w:pos="3360"/>
                    </w:tabs>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投料粉尘</w:t>
                  </w:r>
                </w:p>
              </w:tc>
              <w:tc>
                <w:tcPr>
                  <w:tcW w:w="1116" w:type="pct"/>
                  <w:tcBorders>
                    <w:tl2br w:val="nil"/>
                    <w:tr2bl w:val="nil"/>
                  </w:tcBorders>
                  <w:noWrap w:val="0"/>
                  <w:vAlign w:val="center"/>
                </w:tcPr>
                <w:p w14:paraId="13F17A37">
                  <w:pPr>
                    <w:keepNext w:val="0"/>
                    <w:keepLines w:val="0"/>
                    <w:suppressLineNumbers w:val="0"/>
                    <w:tabs>
                      <w:tab w:val="left" w:pos="3360"/>
                    </w:tabs>
                    <w:autoSpaceDE w:val="0"/>
                    <w:autoSpaceDN w:val="0"/>
                    <w:snapToGrid w:val="0"/>
                    <w:spacing w:before="0" w:beforeAutospacing="0" w:after="0" w:afterAutospacing="0"/>
                    <w:ind w:left="0" w:right="0"/>
                    <w:jc w:val="center"/>
                    <w:rPr>
                      <w:rFonts w:hint="default" w:ascii="Times New Roman" w:hAnsi="Times New Roman" w:eastAsia="宋体" w:cs="Times New Roman"/>
                      <w:snapToGrid w:val="0"/>
                      <w:color w:val="auto"/>
                      <w:szCs w:val="21"/>
                      <w:highlight w:val="none"/>
                      <w:lang w:eastAsia="zh-CN"/>
                    </w:rPr>
                  </w:pPr>
                  <w:r>
                    <w:rPr>
                      <w:rFonts w:hint="default" w:ascii="Times New Roman" w:hAnsi="Times New Roman" w:eastAsia="宋体" w:cs="Times New Roman"/>
                      <w:snapToGrid w:val="0"/>
                      <w:color w:val="auto"/>
                      <w:szCs w:val="21"/>
                      <w:highlight w:val="none"/>
                      <w:lang w:eastAsia="zh-CN"/>
                    </w:rPr>
                    <w:t>颗粒物</w:t>
                  </w:r>
                </w:p>
              </w:tc>
              <w:tc>
                <w:tcPr>
                  <w:tcW w:w="2133" w:type="pct"/>
                  <w:tcBorders>
                    <w:tl2br w:val="nil"/>
                    <w:tr2bl w:val="nil"/>
                  </w:tcBorders>
                  <w:noWrap w:val="0"/>
                  <w:vAlign w:val="center"/>
                </w:tcPr>
                <w:p w14:paraId="0C543D15">
                  <w:pPr>
                    <w:keepNext w:val="0"/>
                    <w:keepLines w:val="0"/>
                    <w:suppressLineNumbers w:val="0"/>
                    <w:tabs>
                      <w:tab w:val="left" w:pos="3360"/>
                    </w:tabs>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cs="Times New Roman"/>
                      <w:color w:val="auto"/>
                      <w:sz w:val="21"/>
                      <w:szCs w:val="21"/>
                      <w:highlight w:val="none"/>
                      <w:lang w:val="en-US" w:eastAsia="zh-CN"/>
                    </w:rPr>
                    <w:t>车间密闭，</w:t>
                  </w:r>
                  <w:r>
                    <w:rPr>
                      <w:rFonts w:hint="default" w:ascii="Times New Roman" w:hAnsi="Times New Roman" w:eastAsia="宋体" w:cs="Times New Roman"/>
                      <w:color w:val="auto"/>
                      <w:sz w:val="21"/>
                      <w:szCs w:val="21"/>
                      <w:highlight w:val="none"/>
                    </w:rPr>
                    <w:t>集气罩收集+</w:t>
                  </w:r>
                  <w:r>
                    <w:rPr>
                      <w:rFonts w:hint="default" w:ascii="Times New Roman" w:hAnsi="Times New Roman" w:eastAsia="宋体" w:cs="Times New Roman"/>
                      <w:color w:val="auto"/>
                      <w:sz w:val="21"/>
                      <w:szCs w:val="21"/>
                      <w:highlight w:val="none"/>
                      <w:lang w:val="en-US" w:eastAsia="zh-CN"/>
                    </w:rPr>
                    <w:t>1套</w:t>
                  </w:r>
                  <w:r>
                    <w:rPr>
                      <w:rFonts w:hint="eastAsia" w:cs="Times New Roman"/>
                      <w:color w:val="auto"/>
                      <w:sz w:val="21"/>
                      <w:szCs w:val="21"/>
                      <w:highlight w:val="none"/>
                      <w:lang w:val="en-US" w:eastAsia="zh-CN"/>
                    </w:rPr>
                    <w:t>袋式除尘器（TA001）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m高排气筒</w:t>
                  </w:r>
                  <w:r>
                    <w:rPr>
                      <w:rFonts w:hint="default" w:ascii="Times New Roman" w:hAnsi="Times New Roman" w:eastAsia="宋体" w:cs="Times New Roman"/>
                      <w:color w:val="auto"/>
                      <w:kern w:val="0"/>
                      <w:sz w:val="21"/>
                      <w:szCs w:val="21"/>
                      <w:highlight w:val="none"/>
                      <w:lang w:val="en-US" w:eastAsia="zh-CN"/>
                    </w:rPr>
                    <w:t>（DA001）</w:t>
                  </w:r>
                  <w:r>
                    <w:rPr>
                      <w:rFonts w:hint="default" w:ascii="Times New Roman" w:hAnsi="Times New Roman" w:eastAsia="宋体" w:cs="Times New Roman"/>
                      <w:color w:val="auto"/>
                      <w:sz w:val="21"/>
                      <w:szCs w:val="21"/>
                      <w:highlight w:val="none"/>
                    </w:rPr>
                    <w:t>排放</w:t>
                  </w:r>
                </w:p>
              </w:tc>
              <w:tc>
                <w:tcPr>
                  <w:tcW w:w="575" w:type="pct"/>
                  <w:tcBorders>
                    <w:tl2br w:val="nil"/>
                    <w:tr2bl w:val="nil"/>
                  </w:tcBorders>
                  <w:noWrap w:val="0"/>
                  <w:vAlign w:val="center"/>
                </w:tcPr>
                <w:p w14:paraId="04732284">
                  <w:pPr>
                    <w:keepNext w:val="0"/>
                    <w:keepLines w:val="0"/>
                    <w:suppressLineNumbers w:val="0"/>
                    <w:tabs>
                      <w:tab w:val="left" w:pos="3360"/>
                    </w:tabs>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15</w:t>
                  </w:r>
                </w:p>
              </w:tc>
            </w:tr>
            <w:tr w14:paraId="24BAF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noWrap w:val="0"/>
                  <w:vAlign w:val="center"/>
                </w:tcPr>
                <w:p w14:paraId="1ED93F51">
                  <w:pPr>
                    <w:keepNext w:val="0"/>
                    <w:keepLines w:val="0"/>
                    <w:suppressLineNumbers w:val="0"/>
                    <w:tabs>
                      <w:tab w:val="left" w:pos="3360"/>
                    </w:tabs>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762" w:type="pct"/>
                  <w:tcBorders>
                    <w:tl2br w:val="nil"/>
                    <w:tr2bl w:val="nil"/>
                  </w:tcBorders>
                  <w:noWrap w:val="0"/>
                  <w:vAlign w:val="center"/>
                </w:tcPr>
                <w:p w14:paraId="1578FEDC">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注塑、浇注废气、脱模剂废气</w:t>
                  </w:r>
                </w:p>
              </w:tc>
              <w:tc>
                <w:tcPr>
                  <w:tcW w:w="1116" w:type="pct"/>
                  <w:tcBorders>
                    <w:tl2br w:val="nil"/>
                    <w:tr2bl w:val="nil"/>
                  </w:tcBorders>
                  <w:noWrap w:val="0"/>
                  <w:vAlign w:val="center"/>
                </w:tcPr>
                <w:p w14:paraId="509B4D7B">
                  <w:pPr>
                    <w:keepNext w:val="0"/>
                    <w:keepLines w:val="0"/>
                    <w:suppressLineNumbers w:val="0"/>
                    <w:tabs>
                      <w:tab w:val="left" w:pos="3360"/>
                    </w:tabs>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非甲烷总烃、氯乙烯</w:t>
                  </w:r>
                </w:p>
              </w:tc>
              <w:tc>
                <w:tcPr>
                  <w:tcW w:w="2133" w:type="pct"/>
                  <w:tcBorders>
                    <w:tl2br w:val="nil"/>
                    <w:tr2bl w:val="nil"/>
                  </w:tcBorders>
                  <w:noWrap w:val="0"/>
                  <w:vAlign w:val="center"/>
                </w:tcPr>
                <w:p w14:paraId="01A32E46">
                  <w:pPr>
                    <w:keepNext w:val="0"/>
                    <w:keepLines w:val="0"/>
                    <w:suppressLineNumbers w:val="0"/>
                    <w:tabs>
                      <w:tab w:val="left" w:pos="3360"/>
                    </w:tabs>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cs="Times New Roman"/>
                      <w:color w:val="auto"/>
                      <w:sz w:val="21"/>
                      <w:szCs w:val="21"/>
                      <w:highlight w:val="none"/>
                      <w:lang w:val="en-US" w:eastAsia="zh-CN"/>
                    </w:rPr>
                    <w:t>车间密闭，</w:t>
                  </w:r>
                  <w:r>
                    <w:rPr>
                      <w:rFonts w:hint="eastAsia" w:cs="Times New Roman"/>
                      <w:color w:val="auto"/>
                      <w:kern w:val="0"/>
                      <w:sz w:val="21"/>
                      <w:szCs w:val="21"/>
                      <w:highlight w:val="none"/>
                      <w:lang w:val="en-US" w:eastAsia="zh-CN"/>
                    </w:rPr>
                    <w:t>集气罩</w:t>
                  </w:r>
                  <w:r>
                    <w:rPr>
                      <w:rFonts w:hint="default" w:ascii="Times New Roman" w:hAnsi="Times New Roman" w:eastAsia="宋体" w:cs="Times New Roman"/>
                      <w:color w:val="auto"/>
                      <w:kern w:val="0"/>
                      <w:sz w:val="21"/>
                      <w:szCs w:val="21"/>
                      <w:highlight w:val="none"/>
                      <w:lang w:val="en-US" w:eastAsia="zh-CN"/>
                    </w:rPr>
                    <w:t>收集+</w:t>
                  </w:r>
                  <w:r>
                    <w:rPr>
                      <w:rFonts w:hint="eastAsia" w:cs="Times New Roman"/>
                      <w:color w:val="auto"/>
                      <w:kern w:val="0"/>
                      <w:sz w:val="21"/>
                      <w:szCs w:val="21"/>
                      <w:highlight w:val="none"/>
                      <w:lang w:val="en-US" w:eastAsia="zh-CN"/>
                    </w:rPr>
                    <w:t>“</w:t>
                  </w:r>
                  <w:r>
                    <w:rPr>
                      <w:rFonts w:hint="eastAsia" w:cs="Times New Roman"/>
                      <w:b w:val="0"/>
                      <w:bCs w:val="0"/>
                      <w:color w:val="auto"/>
                      <w:kern w:val="0"/>
                      <w:sz w:val="21"/>
                      <w:szCs w:val="21"/>
                      <w:highlight w:val="none"/>
                      <w:lang w:val="en-US" w:eastAsia="zh-CN" w:bidi="ar-SA"/>
                    </w:rPr>
                    <w:t>二级活性炭吸附</w:t>
                  </w:r>
                  <w:r>
                    <w:rPr>
                      <w:rFonts w:hint="eastAsia" w:cs="Times New Roman"/>
                      <w:color w:val="auto"/>
                      <w:kern w:val="0"/>
                      <w:sz w:val="21"/>
                      <w:szCs w:val="21"/>
                      <w:highlight w:val="none"/>
                      <w:lang w:val="en-US" w:eastAsia="zh-CN"/>
                    </w:rPr>
                    <w:t>”（TA002）</w:t>
                  </w:r>
                  <w:r>
                    <w:rPr>
                      <w:rFonts w:hint="default" w:ascii="Times New Roman" w:hAnsi="Times New Roman" w:eastAsia="宋体" w:cs="Times New Roman"/>
                      <w:color w:val="auto"/>
                      <w:kern w:val="0"/>
                      <w:sz w:val="21"/>
                      <w:szCs w:val="21"/>
                      <w:highlight w:val="none"/>
                      <w:lang w:val="en-US" w:eastAsia="zh-CN"/>
                    </w:rPr>
                    <w:t>+15</w:t>
                  </w:r>
                  <w:r>
                    <w:rPr>
                      <w:rFonts w:hint="eastAsia" w:cs="Times New Roman"/>
                      <w:color w:val="auto"/>
                      <w:kern w:val="0"/>
                      <w:sz w:val="21"/>
                      <w:szCs w:val="21"/>
                      <w:highlight w:val="none"/>
                      <w:lang w:val="en-US" w:eastAsia="zh-CN"/>
                    </w:rPr>
                    <w:t>m</w:t>
                  </w:r>
                  <w:r>
                    <w:rPr>
                      <w:rFonts w:hint="default" w:ascii="Times New Roman" w:hAnsi="Times New Roman" w:eastAsia="宋体" w:cs="Times New Roman"/>
                      <w:color w:val="auto"/>
                      <w:kern w:val="0"/>
                      <w:sz w:val="21"/>
                      <w:szCs w:val="21"/>
                      <w:highlight w:val="none"/>
                      <w:lang w:val="en-US" w:eastAsia="zh-CN"/>
                    </w:rPr>
                    <w:t>高排气筒（DA00</w:t>
                  </w:r>
                  <w:r>
                    <w:rPr>
                      <w:rFonts w:hint="eastAsia"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val="en-US" w:eastAsia="zh-CN"/>
                    </w:rPr>
                    <w:t>）</w:t>
                  </w:r>
                </w:p>
              </w:tc>
              <w:tc>
                <w:tcPr>
                  <w:tcW w:w="575" w:type="pct"/>
                  <w:tcBorders>
                    <w:tl2br w:val="nil"/>
                    <w:tr2bl w:val="nil"/>
                  </w:tcBorders>
                  <w:noWrap w:val="0"/>
                  <w:vAlign w:val="center"/>
                </w:tcPr>
                <w:p w14:paraId="27145E59">
                  <w:pPr>
                    <w:keepNext w:val="0"/>
                    <w:keepLines w:val="0"/>
                    <w:suppressLineNumbers w:val="0"/>
                    <w:tabs>
                      <w:tab w:val="left" w:pos="3360"/>
                    </w:tabs>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30</w:t>
                  </w:r>
                </w:p>
              </w:tc>
            </w:tr>
            <w:tr w14:paraId="54A4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tcBorders>
                    <w:tl2br w:val="nil"/>
                    <w:tr2bl w:val="nil"/>
                  </w:tcBorders>
                  <w:noWrap w:val="0"/>
                  <w:vAlign w:val="center"/>
                </w:tcPr>
                <w:p w14:paraId="04E36E7B">
                  <w:pPr>
                    <w:keepNext w:val="0"/>
                    <w:keepLines w:val="0"/>
                    <w:suppressLineNumbers w:val="0"/>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762" w:type="pct"/>
                  <w:tcBorders>
                    <w:tl2br w:val="nil"/>
                    <w:tr2bl w:val="nil"/>
                  </w:tcBorders>
                  <w:noWrap w:val="0"/>
                  <w:vAlign w:val="center"/>
                </w:tcPr>
                <w:p w14:paraId="73C0B941">
                  <w:pPr>
                    <w:keepNext w:val="0"/>
                    <w:keepLines w:val="0"/>
                    <w:suppressLineNumbers w:val="0"/>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运营</w:t>
                  </w:r>
                </w:p>
                <w:p w14:paraId="55B9E2FA">
                  <w:pPr>
                    <w:keepNext w:val="0"/>
                    <w:keepLines w:val="0"/>
                    <w:suppressLineNumbers w:val="0"/>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1116" w:type="pct"/>
                  <w:tcBorders>
                    <w:tl2br w:val="nil"/>
                    <w:tr2bl w:val="nil"/>
                  </w:tcBorders>
                  <w:noWrap w:val="0"/>
                  <w:vAlign w:val="center"/>
                </w:tcPr>
                <w:p w14:paraId="43FD8AA1">
                  <w:pPr>
                    <w:keepNext w:val="0"/>
                    <w:keepLines w:val="0"/>
                    <w:suppressLineNumbers w:val="0"/>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LAeq</w:t>
                  </w:r>
                </w:p>
              </w:tc>
              <w:tc>
                <w:tcPr>
                  <w:tcW w:w="2133" w:type="pct"/>
                  <w:tcBorders>
                    <w:tl2br w:val="nil"/>
                    <w:tr2bl w:val="nil"/>
                  </w:tcBorders>
                  <w:noWrap w:val="0"/>
                  <w:vAlign w:val="center"/>
                </w:tcPr>
                <w:p w14:paraId="0A43B6FE">
                  <w:pPr>
                    <w:keepNext w:val="0"/>
                    <w:keepLines w:val="0"/>
                    <w:suppressLineNumbers w:val="0"/>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选用低噪声设备、</w:t>
                  </w:r>
                  <w:r>
                    <w:rPr>
                      <w:rFonts w:hint="default" w:ascii="Times New Roman" w:hAnsi="Times New Roman" w:eastAsia="宋体" w:cs="Times New Roman"/>
                      <w:color w:val="auto"/>
                      <w:szCs w:val="21"/>
                      <w:highlight w:val="none"/>
                    </w:rPr>
                    <w:t>高噪声设备安装减振基座、</w:t>
                  </w:r>
                  <w:r>
                    <w:rPr>
                      <w:rFonts w:hint="default" w:ascii="Times New Roman" w:hAnsi="Times New Roman" w:eastAsia="宋体" w:cs="Times New Roman"/>
                      <w:color w:val="auto"/>
                      <w:szCs w:val="21"/>
                      <w:highlight w:val="none"/>
                      <w:lang w:eastAsia="zh-CN"/>
                    </w:rPr>
                    <w:t>合理布局、</w:t>
                  </w:r>
                  <w:r>
                    <w:rPr>
                      <w:rFonts w:hint="default" w:ascii="Times New Roman" w:hAnsi="Times New Roman" w:eastAsia="宋体" w:cs="Times New Roman"/>
                      <w:color w:val="auto"/>
                      <w:szCs w:val="21"/>
                      <w:highlight w:val="none"/>
                    </w:rPr>
                    <w:t>厂房隔声</w:t>
                  </w:r>
                  <w:r>
                    <w:rPr>
                      <w:rFonts w:hint="eastAsia" w:cs="Times New Roman"/>
                      <w:color w:val="auto"/>
                      <w:szCs w:val="21"/>
                      <w:highlight w:val="none"/>
                      <w:lang w:eastAsia="zh-CN"/>
                    </w:rPr>
                    <w:t>、</w:t>
                  </w:r>
                  <w:r>
                    <w:rPr>
                      <w:rFonts w:hint="eastAsia" w:cs="Times New Roman"/>
                      <w:color w:val="auto"/>
                      <w:szCs w:val="21"/>
                      <w:highlight w:val="none"/>
                      <w:lang w:val="en-US" w:eastAsia="zh-CN"/>
                    </w:rPr>
                    <w:t>安装消音器</w:t>
                  </w:r>
                  <w:r>
                    <w:rPr>
                      <w:rFonts w:hint="default" w:ascii="Times New Roman" w:hAnsi="Times New Roman" w:eastAsia="宋体" w:cs="Times New Roman"/>
                      <w:color w:val="auto"/>
                      <w:szCs w:val="21"/>
                      <w:highlight w:val="none"/>
                    </w:rPr>
                    <w:t>等措施</w:t>
                  </w:r>
                </w:p>
              </w:tc>
              <w:tc>
                <w:tcPr>
                  <w:tcW w:w="575" w:type="pct"/>
                  <w:tcBorders>
                    <w:tl2br w:val="nil"/>
                    <w:tr2bl w:val="nil"/>
                  </w:tcBorders>
                  <w:noWrap w:val="0"/>
                  <w:vAlign w:val="center"/>
                </w:tcPr>
                <w:p w14:paraId="0C44DF20">
                  <w:pPr>
                    <w:keepNext w:val="0"/>
                    <w:keepLines w:val="0"/>
                    <w:suppressLineNumbers w:val="0"/>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20</w:t>
                  </w:r>
                </w:p>
              </w:tc>
            </w:tr>
            <w:tr w14:paraId="09CB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412" w:type="pct"/>
                  <w:vMerge w:val="restart"/>
                  <w:tcBorders>
                    <w:tl2br w:val="nil"/>
                    <w:tr2bl w:val="nil"/>
                  </w:tcBorders>
                  <w:noWrap w:val="0"/>
                  <w:vAlign w:val="center"/>
                </w:tcPr>
                <w:p w14:paraId="3986E16C">
                  <w:pPr>
                    <w:keepNext w:val="0"/>
                    <w:keepLines w:val="0"/>
                    <w:suppressLineNumbers w:val="0"/>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固体废物</w:t>
                  </w:r>
                </w:p>
              </w:tc>
              <w:tc>
                <w:tcPr>
                  <w:tcW w:w="762" w:type="pct"/>
                  <w:tcBorders>
                    <w:tl2br w:val="nil"/>
                    <w:tr2bl w:val="nil"/>
                  </w:tcBorders>
                  <w:noWrap w:val="0"/>
                  <w:vAlign w:val="center"/>
                </w:tcPr>
                <w:p w14:paraId="53A5CE7C">
                  <w:pPr>
                    <w:keepNext w:val="0"/>
                    <w:keepLines w:val="0"/>
                    <w:suppressLineNumbers w:val="0"/>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w:t>
                  </w:r>
                </w:p>
                <w:p w14:paraId="7107ED7C">
                  <w:pPr>
                    <w:keepNext w:val="0"/>
                    <w:keepLines w:val="0"/>
                    <w:suppressLineNumbers w:val="0"/>
                    <w:autoSpaceDE w:val="0"/>
                    <w:autoSpaceDN w:val="0"/>
                    <w:snapToGrid w:val="0"/>
                    <w:spacing w:before="0" w:beforeAutospacing="0" w:after="0" w:afterAutospacing="0"/>
                    <w:ind w:left="0" w:right="0"/>
                    <w:jc w:val="center"/>
                    <w:rPr>
                      <w:rFonts w:hint="default" w:ascii="Times New Roman" w:hAnsi="Times New Roman" w:eastAsia="宋体" w:cs="Times New Roman"/>
                      <w:snapToGrid w:val="0"/>
                      <w:color w:val="auto"/>
                      <w:szCs w:val="21"/>
                      <w:highlight w:val="none"/>
                    </w:rPr>
                  </w:pPr>
                  <w:r>
                    <w:rPr>
                      <w:rFonts w:hint="default" w:ascii="Times New Roman" w:hAnsi="Times New Roman" w:eastAsia="宋体" w:cs="Times New Roman"/>
                      <w:color w:val="auto"/>
                      <w:szCs w:val="21"/>
                      <w:highlight w:val="none"/>
                    </w:rPr>
                    <w:t>固废</w:t>
                  </w:r>
                </w:p>
              </w:tc>
              <w:tc>
                <w:tcPr>
                  <w:tcW w:w="1116" w:type="pct"/>
                  <w:tcBorders>
                    <w:tl2br w:val="nil"/>
                    <w:tr2bl w:val="nil"/>
                  </w:tcBorders>
                  <w:noWrap w:val="0"/>
                  <w:vAlign w:val="center"/>
                </w:tcPr>
                <w:p w14:paraId="74D0ECD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Cs w:val="21"/>
                      <w:highlight w:val="none"/>
                      <w:lang w:val="en-US" w:eastAsia="zh-CN"/>
                    </w:rPr>
                  </w:pPr>
                  <w:r>
                    <w:rPr>
                      <w:rFonts w:hint="eastAsia" w:cs="Times New Roman"/>
                      <w:snapToGrid w:val="0"/>
                      <w:color w:val="auto"/>
                      <w:szCs w:val="21"/>
                      <w:highlight w:val="none"/>
                      <w:lang w:val="en-US" w:eastAsia="zh-CN"/>
                    </w:rPr>
                    <w:t>废包装材料、除尘灰、边角料和不合格品等</w:t>
                  </w:r>
                </w:p>
              </w:tc>
              <w:tc>
                <w:tcPr>
                  <w:tcW w:w="2133" w:type="pct"/>
                  <w:tcBorders>
                    <w:tl2br w:val="nil"/>
                    <w:tr2bl w:val="nil"/>
                  </w:tcBorders>
                  <w:noWrap w:val="0"/>
                  <w:vAlign w:val="center"/>
                </w:tcPr>
                <w:p w14:paraId="525687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暂存一般固废间</w:t>
                  </w:r>
                  <w:r>
                    <w:rPr>
                      <w:rFonts w:hint="eastAsia" w:cs="Times New Roman"/>
                      <w:color w:val="auto"/>
                      <w:szCs w:val="21"/>
                      <w:highlight w:val="none"/>
                      <w:lang w:eastAsia="zh-CN"/>
                    </w:rPr>
                    <w:t>，</w:t>
                  </w:r>
                  <w:r>
                    <w:rPr>
                      <w:rFonts w:hint="eastAsia" w:cs="Times New Roman"/>
                      <w:color w:val="auto"/>
                      <w:szCs w:val="21"/>
                      <w:highlight w:val="none"/>
                      <w:lang w:val="en-US" w:eastAsia="zh-CN"/>
                    </w:rPr>
                    <w:t>回用生产工序或</w:t>
                  </w:r>
                  <w:r>
                    <w:rPr>
                      <w:rFonts w:hint="default" w:ascii="Times New Roman" w:hAnsi="Times New Roman" w:eastAsia="宋体" w:cs="Times New Roman"/>
                      <w:color w:val="auto"/>
                      <w:szCs w:val="21"/>
                      <w:highlight w:val="none"/>
                    </w:rPr>
                    <w:t>外售物资回收单位</w:t>
                  </w:r>
                </w:p>
              </w:tc>
              <w:tc>
                <w:tcPr>
                  <w:tcW w:w="575" w:type="pct"/>
                  <w:tcBorders>
                    <w:tl2br w:val="nil"/>
                    <w:tr2bl w:val="nil"/>
                  </w:tcBorders>
                  <w:noWrap w:val="0"/>
                  <w:vAlign w:val="center"/>
                </w:tcPr>
                <w:p w14:paraId="0CFD6E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snapToGrid w:val="0"/>
                      <w:color w:val="auto"/>
                      <w:szCs w:val="21"/>
                      <w:highlight w:val="none"/>
                      <w:lang w:val="en-US" w:eastAsia="zh-CN"/>
                    </w:rPr>
                    <w:t>5</w:t>
                  </w:r>
                </w:p>
              </w:tc>
            </w:tr>
            <w:tr w14:paraId="5CE3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noWrap w:val="0"/>
                  <w:vAlign w:val="center"/>
                </w:tcPr>
                <w:p w14:paraId="7461EAE0">
                  <w:pPr>
                    <w:keepNext w:val="0"/>
                    <w:keepLines w:val="0"/>
                    <w:suppressLineNumbers w:val="0"/>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762" w:type="pct"/>
                  <w:tcBorders>
                    <w:tl2br w:val="nil"/>
                    <w:tr2bl w:val="nil"/>
                  </w:tcBorders>
                  <w:noWrap w:val="0"/>
                  <w:vAlign w:val="center"/>
                </w:tcPr>
                <w:p w14:paraId="513DF4E2">
                  <w:pPr>
                    <w:keepNext w:val="0"/>
                    <w:keepLines w:val="0"/>
                    <w:suppressLineNumbers w:val="0"/>
                    <w:autoSpaceDE w:val="0"/>
                    <w:autoSpaceDN w:val="0"/>
                    <w:snapToGrid w:val="0"/>
                    <w:spacing w:before="0" w:beforeAutospacing="0" w:after="0" w:afterAutospacing="0"/>
                    <w:ind w:left="0" w:right="0"/>
                    <w:jc w:val="center"/>
                    <w:rPr>
                      <w:rFonts w:hint="default" w:ascii="Times New Roman" w:hAnsi="Times New Roman" w:eastAsia="宋体" w:cs="Times New Roman"/>
                      <w:snapToGrid w:val="0"/>
                      <w:color w:val="auto"/>
                      <w:szCs w:val="21"/>
                      <w:highlight w:val="none"/>
                    </w:rPr>
                  </w:pPr>
                  <w:r>
                    <w:rPr>
                      <w:rFonts w:hint="default" w:ascii="Times New Roman" w:hAnsi="Times New Roman" w:eastAsia="宋体" w:cs="Times New Roman"/>
                      <w:color w:val="auto"/>
                      <w:szCs w:val="21"/>
                      <w:highlight w:val="none"/>
                    </w:rPr>
                    <w:t>危险废物</w:t>
                  </w:r>
                </w:p>
              </w:tc>
              <w:tc>
                <w:tcPr>
                  <w:tcW w:w="1116" w:type="pct"/>
                  <w:tcBorders>
                    <w:tl2br w:val="nil"/>
                    <w:tr2bl w:val="nil"/>
                  </w:tcBorders>
                  <w:noWrap w:val="0"/>
                  <w:vAlign w:val="center"/>
                </w:tcPr>
                <w:p w14:paraId="14CADCE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zCs w:val="21"/>
                      <w:highlight w:val="none"/>
                      <w:lang w:val="en-US" w:eastAsia="zh-CN"/>
                    </w:rPr>
                  </w:pPr>
                  <w:r>
                    <w:rPr>
                      <w:rFonts w:hint="default" w:ascii="Times New Roman" w:hAnsi="Times New Roman" w:eastAsia="宋体" w:cs="Times New Roman"/>
                      <w:color w:val="auto"/>
                      <w:szCs w:val="21"/>
                      <w:highlight w:val="none"/>
                      <w:lang w:eastAsia="zh-CN"/>
                    </w:rPr>
                    <w:t>废</w:t>
                  </w:r>
                  <w:r>
                    <w:rPr>
                      <w:rFonts w:hint="eastAsia" w:cs="Times New Roman"/>
                      <w:color w:val="auto"/>
                      <w:szCs w:val="21"/>
                      <w:highlight w:val="none"/>
                      <w:lang w:val="en-US" w:eastAsia="zh-CN"/>
                    </w:rPr>
                    <w:t>包装</w:t>
                  </w:r>
                  <w:r>
                    <w:rPr>
                      <w:rFonts w:hint="default" w:ascii="Times New Roman" w:hAnsi="Times New Roman" w:eastAsia="宋体" w:cs="Times New Roman"/>
                      <w:color w:val="auto"/>
                      <w:szCs w:val="21"/>
                      <w:highlight w:val="none"/>
                      <w:lang w:eastAsia="zh-CN"/>
                    </w:rPr>
                    <w:t>桶、废活性炭、废</w:t>
                  </w:r>
                  <w:r>
                    <w:rPr>
                      <w:rFonts w:hint="eastAsia" w:cs="Times New Roman"/>
                      <w:color w:val="auto"/>
                      <w:szCs w:val="21"/>
                      <w:highlight w:val="none"/>
                      <w:lang w:eastAsia="zh-CN"/>
                    </w:rPr>
                    <w:t>机油</w:t>
                  </w:r>
                  <w:r>
                    <w:rPr>
                      <w:rFonts w:hint="eastAsia" w:cs="Times New Roman"/>
                      <w:color w:val="auto"/>
                      <w:szCs w:val="21"/>
                      <w:highlight w:val="none"/>
                      <w:lang w:val="en-US" w:eastAsia="zh-CN"/>
                    </w:rPr>
                    <w:t>、清洗废液</w:t>
                  </w:r>
                </w:p>
              </w:tc>
              <w:tc>
                <w:tcPr>
                  <w:tcW w:w="2133" w:type="pct"/>
                  <w:tcBorders>
                    <w:tl2br w:val="nil"/>
                    <w:tr2bl w:val="nil"/>
                  </w:tcBorders>
                  <w:noWrap w:val="0"/>
                  <w:vAlign w:val="center"/>
                </w:tcPr>
                <w:p w14:paraId="1289447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szCs w:val="21"/>
                      <w:highlight w:val="none"/>
                    </w:rPr>
                  </w:pPr>
                  <w:r>
                    <w:rPr>
                      <w:rFonts w:hint="default" w:ascii="Times New Roman" w:hAnsi="Times New Roman" w:eastAsia="宋体" w:cs="Times New Roman"/>
                      <w:color w:val="auto"/>
                      <w:sz w:val="21"/>
                      <w:szCs w:val="22"/>
                      <w:highlight w:val="none"/>
                      <w:lang w:eastAsia="zh-CN"/>
                    </w:rPr>
                    <w:t>设置设</w:t>
                  </w:r>
                  <w:r>
                    <w:rPr>
                      <w:rFonts w:hint="eastAsia" w:cs="Times New Roman"/>
                      <w:color w:val="auto"/>
                      <w:sz w:val="21"/>
                      <w:szCs w:val="22"/>
                      <w:highlight w:val="none"/>
                      <w:lang w:eastAsia="zh-CN"/>
                    </w:rPr>
                    <w:t>危废暂存库</w:t>
                  </w:r>
                  <w:r>
                    <w:rPr>
                      <w:rFonts w:hint="default" w:ascii="Times New Roman" w:hAnsi="Times New Roman" w:eastAsia="宋体" w:cs="Times New Roman"/>
                      <w:color w:val="auto"/>
                      <w:sz w:val="21"/>
                      <w:szCs w:val="22"/>
                      <w:highlight w:val="none"/>
                      <w:lang w:eastAsia="zh-CN"/>
                    </w:rPr>
                    <w:t>1处，面积约</w:t>
                  </w:r>
                  <w:r>
                    <w:rPr>
                      <w:rFonts w:hint="eastAsia" w:cs="Times New Roman"/>
                      <w:color w:val="auto"/>
                      <w:sz w:val="21"/>
                      <w:szCs w:val="22"/>
                      <w:highlight w:val="none"/>
                      <w:lang w:val="en-US" w:eastAsia="zh-CN"/>
                    </w:rPr>
                    <w:t>20</w:t>
                  </w:r>
                  <w:r>
                    <w:rPr>
                      <w:rFonts w:hint="default" w:ascii="Times New Roman" w:hAnsi="Times New Roman" w:eastAsia="宋体" w:cs="Times New Roman"/>
                      <w:color w:val="auto"/>
                      <w:sz w:val="21"/>
                      <w:szCs w:val="22"/>
                      <w:highlight w:val="none"/>
                      <w:lang w:eastAsia="zh-CN"/>
                    </w:rPr>
                    <w:t>m</w:t>
                  </w:r>
                  <w:r>
                    <w:rPr>
                      <w:rFonts w:hint="default" w:ascii="Times New Roman" w:hAnsi="Times New Roman" w:eastAsia="宋体" w:cs="Times New Roman"/>
                      <w:color w:val="auto"/>
                      <w:sz w:val="21"/>
                      <w:szCs w:val="22"/>
                      <w:highlight w:val="none"/>
                      <w:vertAlign w:val="superscript"/>
                      <w:lang w:eastAsia="zh-CN"/>
                    </w:rPr>
                    <w:t>2</w:t>
                  </w:r>
                  <w:r>
                    <w:rPr>
                      <w:rFonts w:hint="default" w:ascii="Times New Roman" w:hAnsi="Times New Roman" w:eastAsia="宋体" w:cs="Times New Roman"/>
                      <w:color w:val="auto"/>
                      <w:sz w:val="21"/>
                      <w:szCs w:val="22"/>
                      <w:highlight w:val="none"/>
                      <w:lang w:eastAsia="zh-CN"/>
                    </w:rPr>
                    <w:t>，危险固废分类贮存，定期交由有资质单位回收处置</w:t>
                  </w:r>
                </w:p>
              </w:tc>
              <w:tc>
                <w:tcPr>
                  <w:tcW w:w="575" w:type="pct"/>
                  <w:tcBorders>
                    <w:tl2br w:val="nil"/>
                    <w:tr2bl w:val="nil"/>
                  </w:tcBorders>
                  <w:noWrap w:val="0"/>
                  <w:vAlign w:val="center"/>
                </w:tcPr>
                <w:p w14:paraId="7892BB6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w:t>
                  </w:r>
                </w:p>
              </w:tc>
            </w:tr>
            <w:tr w14:paraId="643C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noWrap w:val="0"/>
                  <w:vAlign w:val="center"/>
                </w:tcPr>
                <w:p w14:paraId="5C6763B2">
                  <w:pPr>
                    <w:keepNext w:val="0"/>
                    <w:keepLines w:val="0"/>
                    <w:suppressLineNumbers w:val="0"/>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879" w:type="pct"/>
                  <w:gridSpan w:val="2"/>
                  <w:tcBorders>
                    <w:tl2br w:val="nil"/>
                    <w:tr2bl w:val="nil"/>
                  </w:tcBorders>
                  <w:noWrap w:val="0"/>
                  <w:vAlign w:val="center"/>
                </w:tcPr>
                <w:p w14:paraId="300D223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szCs w:val="21"/>
                      <w:highlight w:val="none"/>
                    </w:rPr>
                  </w:pPr>
                  <w:r>
                    <w:rPr>
                      <w:rFonts w:hint="default" w:ascii="Times New Roman" w:hAnsi="Times New Roman" w:eastAsia="宋体" w:cs="Times New Roman"/>
                      <w:snapToGrid w:val="0"/>
                      <w:color w:val="auto"/>
                      <w:szCs w:val="21"/>
                      <w:highlight w:val="none"/>
                    </w:rPr>
                    <w:t>生活垃圾</w:t>
                  </w:r>
                </w:p>
              </w:tc>
              <w:tc>
                <w:tcPr>
                  <w:tcW w:w="2133" w:type="pct"/>
                  <w:tcBorders>
                    <w:tl2br w:val="nil"/>
                    <w:tr2bl w:val="nil"/>
                  </w:tcBorders>
                  <w:noWrap w:val="0"/>
                  <w:vAlign w:val="center"/>
                </w:tcPr>
                <w:p w14:paraId="70809A78">
                  <w:pPr>
                    <w:keepNext w:val="0"/>
                    <w:keepLines w:val="0"/>
                    <w:suppressLineNumbers w:val="0"/>
                    <w:tabs>
                      <w:tab w:val="left" w:pos="3360"/>
                    </w:tabs>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环卫</w:t>
                  </w:r>
                  <w:r>
                    <w:rPr>
                      <w:rFonts w:hint="default" w:ascii="Times New Roman" w:hAnsi="Times New Roman" w:eastAsia="宋体" w:cs="Times New Roman"/>
                      <w:color w:val="auto"/>
                      <w:szCs w:val="21"/>
                      <w:highlight w:val="none"/>
                      <w:lang w:eastAsia="zh-CN"/>
                    </w:rPr>
                    <w:t>部门</w:t>
                  </w:r>
                  <w:r>
                    <w:rPr>
                      <w:rFonts w:hint="default" w:ascii="Times New Roman" w:hAnsi="Times New Roman" w:eastAsia="宋体" w:cs="Times New Roman"/>
                      <w:color w:val="auto"/>
                      <w:szCs w:val="21"/>
                      <w:highlight w:val="none"/>
                    </w:rPr>
                    <w:t>统一清运</w:t>
                  </w:r>
                </w:p>
              </w:tc>
              <w:tc>
                <w:tcPr>
                  <w:tcW w:w="575" w:type="pct"/>
                  <w:tcBorders>
                    <w:tl2br w:val="nil"/>
                    <w:tr2bl w:val="nil"/>
                  </w:tcBorders>
                  <w:noWrap w:val="0"/>
                  <w:vAlign w:val="center"/>
                </w:tcPr>
                <w:p w14:paraId="1E3D22C1">
                  <w:pPr>
                    <w:keepNext w:val="0"/>
                    <w:keepLines w:val="0"/>
                    <w:suppressLineNumbers w:val="0"/>
                    <w:tabs>
                      <w:tab w:val="left" w:pos="3360"/>
                    </w:tabs>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r>
            <w:tr w14:paraId="3F59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4" w:type="pct"/>
                  <w:gridSpan w:val="4"/>
                  <w:tcBorders>
                    <w:tl2br w:val="nil"/>
                    <w:tr2bl w:val="nil"/>
                  </w:tcBorders>
                  <w:noWrap w:val="0"/>
                  <w:vAlign w:val="center"/>
                </w:tcPr>
                <w:p w14:paraId="1F21A4C0">
                  <w:pPr>
                    <w:keepNext w:val="0"/>
                    <w:keepLines w:val="0"/>
                    <w:suppressLineNumbers w:val="0"/>
                    <w:tabs>
                      <w:tab w:val="left" w:pos="3360"/>
                    </w:tabs>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总计</w:t>
                  </w:r>
                </w:p>
              </w:tc>
              <w:tc>
                <w:tcPr>
                  <w:tcW w:w="575" w:type="pct"/>
                  <w:tcBorders>
                    <w:tl2br w:val="nil"/>
                    <w:tr2bl w:val="nil"/>
                  </w:tcBorders>
                  <w:noWrap w:val="0"/>
                  <w:vAlign w:val="center"/>
                </w:tcPr>
                <w:p w14:paraId="32E0CD3B">
                  <w:pPr>
                    <w:keepNext w:val="0"/>
                    <w:keepLines w:val="0"/>
                    <w:suppressLineNumbers w:val="0"/>
                    <w:tabs>
                      <w:tab w:val="left" w:pos="3360"/>
                    </w:tabs>
                    <w:autoSpaceDE w:val="0"/>
                    <w:autoSpaceDN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81</w:t>
                  </w:r>
                </w:p>
              </w:tc>
            </w:tr>
          </w:tbl>
          <w:p w14:paraId="217B600C">
            <w:pPr>
              <w:keepNext w:val="0"/>
              <w:keepLines w:val="0"/>
              <w:suppressLineNumbers w:val="0"/>
              <w:spacing w:before="0" w:beforeAutospacing="0" w:after="0" w:afterAutospacing="0"/>
              <w:ind w:left="0" w:right="0"/>
              <w:rPr>
                <w:color w:val="auto"/>
                <w:szCs w:val="22"/>
                <w:highlight w:val="none"/>
              </w:rPr>
            </w:pPr>
          </w:p>
        </w:tc>
      </w:tr>
    </w:tbl>
    <w:p w14:paraId="571D288E">
      <w:pPr>
        <w:pStyle w:val="5"/>
        <w:rPr>
          <w:rFonts w:hint="eastAsia"/>
        </w:rPr>
      </w:pPr>
    </w:p>
    <w:p w14:paraId="200C44EF">
      <w:pPr>
        <w:rPr>
          <w:rFonts w:hint="eastAsia" w:ascii="Times New Roman"/>
          <w:b/>
          <w:snapToGrid w:val="0"/>
          <w:color w:val="auto"/>
          <w:sz w:val="30"/>
          <w:szCs w:val="30"/>
        </w:rPr>
      </w:pPr>
      <w:r>
        <w:rPr>
          <w:rFonts w:hint="eastAsia" w:ascii="Times New Roman"/>
          <w:b/>
          <w:snapToGrid w:val="0"/>
          <w:color w:val="auto"/>
          <w:sz w:val="30"/>
          <w:szCs w:val="30"/>
        </w:rPr>
        <w:br w:type="page"/>
      </w:r>
    </w:p>
    <w:p w14:paraId="703ED292">
      <w:pPr>
        <w:pStyle w:val="36"/>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outlineLvl w:val="0"/>
        <w:rPr>
          <w:rFonts w:hint="eastAsia" w:ascii="黑体" w:hAnsi="黑体" w:eastAsia="黑体" w:cs="Times New Roman"/>
          <w:snapToGrid w:val="0"/>
          <w:color w:val="auto"/>
          <w:kern w:val="0"/>
          <w:sz w:val="30"/>
          <w:szCs w:val="30"/>
          <w:highlight w:val="none"/>
          <w:lang w:val="en-US" w:eastAsia="zh-CN" w:bidi="ar-SA"/>
        </w:rPr>
      </w:pPr>
      <w:bookmarkStart w:id="17" w:name="_Toc28182"/>
      <w:r>
        <w:rPr>
          <w:rFonts w:hint="eastAsia" w:ascii="黑体" w:hAnsi="黑体" w:eastAsia="黑体" w:cs="Times New Roman"/>
          <w:snapToGrid w:val="0"/>
          <w:color w:val="auto"/>
          <w:kern w:val="0"/>
          <w:sz w:val="30"/>
          <w:szCs w:val="30"/>
          <w:highlight w:val="none"/>
          <w:lang w:val="en-US" w:eastAsia="zh-CN" w:bidi="ar-SA"/>
        </w:rPr>
        <w:t>五、</w:t>
      </w:r>
      <w:bookmarkStart w:id="18" w:name="_Hlk54167917"/>
      <w:r>
        <w:rPr>
          <w:rFonts w:hint="eastAsia" w:ascii="黑体" w:hAnsi="黑体" w:eastAsia="黑体" w:cs="Times New Roman"/>
          <w:snapToGrid w:val="0"/>
          <w:color w:val="auto"/>
          <w:kern w:val="0"/>
          <w:sz w:val="30"/>
          <w:szCs w:val="30"/>
          <w:highlight w:val="none"/>
          <w:lang w:val="en-US" w:eastAsia="zh-CN" w:bidi="ar-SA"/>
        </w:rPr>
        <w:t>环境保护措施监督检查清单</w:t>
      </w:r>
      <w:bookmarkEnd w:id="17"/>
      <w:bookmarkEnd w:id="18"/>
    </w:p>
    <w:tbl>
      <w:tblPr>
        <w:tblStyle w:val="39"/>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818"/>
        <w:gridCol w:w="997"/>
        <w:gridCol w:w="1367"/>
        <w:gridCol w:w="2081"/>
        <w:gridCol w:w="2795"/>
      </w:tblGrid>
      <w:tr w14:paraId="0C89C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04" w:type="pct"/>
            <w:tcBorders>
              <w:tl2br w:val="single" w:color="auto" w:sz="4" w:space="0"/>
            </w:tcBorders>
            <w:noWrap w:val="0"/>
            <w:vAlign w:val="center"/>
          </w:tcPr>
          <w:p w14:paraId="54FBAF1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420" w:firstLineChars="200"/>
              <w:jc w:val="right"/>
              <w:textAlignment w:val="auto"/>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内容</w:t>
            </w:r>
          </w:p>
          <w:p w14:paraId="2BC2AB8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both"/>
              <w:textAlignment w:val="auto"/>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要素</w:t>
            </w:r>
          </w:p>
        </w:tc>
        <w:tc>
          <w:tcPr>
            <w:tcW w:w="989" w:type="pct"/>
            <w:gridSpan w:val="2"/>
            <w:noWrap w:val="0"/>
            <w:vAlign w:val="center"/>
          </w:tcPr>
          <w:p w14:paraId="4CAB419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排放口</w:t>
            </w:r>
            <w:r>
              <w:rPr>
                <w:rFonts w:hint="eastAsia" w:ascii="宋体" w:hAnsi="宋体" w:eastAsia="宋体" w:cs="宋体"/>
                <w:color w:val="auto"/>
                <w:szCs w:val="21"/>
                <w:highlight w:val="none"/>
              </w:rPr>
              <w:t>(</w:t>
            </w:r>
            <w:r>
              <w:rPr>
                <w:rFonts w:ascii="Times New Roman" w:hAnsi="宋体" w:eastAsia="宋体" w:cs="Times New Roman"/>
                <w:color w:val="auto"/>
                <w:szCs w:val="21"/>
                <w:highlight w:val="none"/>
              </w:rPr>
              <w:t>编号、名称</w:t>
            </w:r>
            <w:r>
              <w:rPr>
                <w:rFonts w:hint="eastAsia" w:ascii="宋体" w:hAnsi="宋体" w:eastAsia="宋体" w:cs="宋体"/>
                <w:color w:val="auto"/>
                <w:szCs w:val="21"/>
                <w:highlight w:val="none"/>
              </w:rPr>
              <w:t>)</w:t>
            </w:r>
            <w:r>
              <w:rPr>
                <w:rFonts w:ascii="Times New Roman" w:hAnsi="Times New Roman" w:eastAsia="宋体" w:cs="Times New Roman"/>
                <w:color w:val="auto"/>
                <w:szCs w:val="21"/>
                <w:highlight w:val="none"/>
              </w:rPr>
              <w:t>/</w:t>
            </w:r>
            <w:r>
              <w:rPr>
                <w:rFonts w:ascii="Times New Roman" w:hAnsi="宋体" w:eastAsia="宋体" w:cs="Times New Roman"/>
                <w:color w:val="auto"/>
                <w:szCs w:val="21"/>
                <w:highlight w:val="none"/>
              </w:rPr>
              <w:t>污染源</w:t>
            </w:r>
          </w:p>
        </w:tc>
        <w:tc>
          <w:tcPr>
            <w:tcW w:w="745" w:type="pct"/>
            <w:tcBorders>
              <w:bottom w:val="single" w:color="auto" w:sz="8" w:space="0"/>
            </w:tcBorders>
            <w:noWrap w:val="0"/>
            <w:vAlign w:val="center"/>
          </w:tcPr>
          <w:p w14:paraId="034E63E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污染物项目</w:t>
            </w:r>
          </w:p>
        </w:tc>
        <w:tc>
          <w:tcPr>
            <w:tcW w:w="1135" w:type="pct"/>
            <w:noWrap w:val="0"/>
            <w:vAlign w:val="center"/>
          </w:tcPr>
          <w:p w14:paraId="4DCA865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环境保护措施</w:t>
            </w:r>
          </w:p>
        </w:tc>
        <w:tc>
          <w:tcPr>
            <w:tcW w:w="1524" w:type="pct"/>
            <w:noWrap w:val="0"/>
            <w:vAlign w:val="center"/>
          </w:tcPr>
          <w:p w14:paraId="3EDA913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执行标准</w:t>
            </w:r>
          </w:p>
        </w:tc>
      </w:tr>
      <w:tr w14:paraId="010ADB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04" w:type="pct"/>
            <w:vMerge w:val="restart"/>
            <w:noWrap w:val="0"/>
            <w:vAlign w:val="center"/>
          </w:tcPr>
          <w:p w14:paraId="73EE831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宋体" w:eastAsia="宋体" w:cs="Times New Roman"/>
                <w:color w:val="auto"/>
                <w:szCs w:val="21"/>
                <w:highlight w:val="none"/>
                <w:lang w:val="en-US" w:eastAsia="zh-CN"/>
              </w:rPr>
            </w:pPr>
            <w:r>
              <w:rPr>
                <w:rFonts w:hint="eastAsia" w:hAnsi="宋体" w:cs="Times New Roman"/>
                <w:color w:val="auto"/>
                <w:szCs w:val="21"/>
                <w:highlight w:val="none"/>
                <w:lang w:val="en-US" w:eastAsia="zh-CN"/>
              </w:rPr>
              <w:t>大气环境</w:t>
            </w:r>
          </w:p>
        </w:tc>
        <w:tc>
          <w:tcPr>
            <w:tcW w:w="446" w:type="pct"/>
            <w:noWrap w:val="0"/>
            <w:vAlign w:val="center"/>
          </w:tcPr>
          <w:p w14:paraId="6ED3D4F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szCs w:val="22"/>
                <w:lang w:val="en-US" w:eastAsia="zh-CN"/>
              </w:rPr>
            </w:pPr>
            <w:r>
              <w:rPr>
                <w:rFonts w:hint="eastAsia" w:hAnsi="宋体" w:cs="Times New Roman"/>
                <w:color w:val="auto"/>
                <w:kern w:val="0"/>
                <w:szCs w:val="21"/>
                <w:highlight w:val="none"/>
                <w:lang w:val="en-US" w:eastAsia="zh-CN"/>
              </w:rPr>
              <w:t>DA001排气筒</w:t>
            </w:r>
          </w:p>
        </w:tc>
        <w:tc>
          <w:tcPr>
            <w:tcW w:w="543" w:type="pct"/>
            <w:tcBorders>
              <w:bottom w:val="single" w:color="auto" w:sz="4" w:space="0"/>
            </w:tcBorders>
            <w:noWrap w:val="0"/>
            <w:vAlign w:val="center"/>
          </w:tcPr>
          <w:p w14:paraId="62E76E2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hAnsi="宋体" w:cs="Times New Roman"/>
                <w:color w:val="auto"/>
                <w:kern w:val="0"/>
                <w:szCs w:val="21"/>
                <w:highlight w:val="none"/>
                <w:lang w:val="en-US" w:eastAsia="zh-CN"/>
              </w:rPr>
            </w:pPr>
            <w:r>
              <w:rPr>
                <w:rFonts w:hint="eastAsia" w:cs="Times New Roman"/>
                <w:color w:val="auto"/>
                <w:szCs w:val="21"/>
                <w:highlight w:val="none"/>
                <w:lang w:val="en-US" w:eastAsia="zh-CN"/>
              </w:rPr>
              <w:t>投料粉尘</w:t>
            </w:r>
          </w:p>
        </w:tc>
        <w:tc>
          <w:tcPr>
            <w:tcW w:w="745" w:type="pct"/>
            <w:tcBorders>
              <w:bottom w:val="single" w:color="auto" w:sz="4" w:space="0"/>
            </w:tcBorders>
            <w:noWrap w:val="0"/>
            <w:vAlign w:val="center"/>
          </w:tcPr>
          <w:p w14:paraId="6506A2CE">
            <w:pPr>
              <w:pStyle w:val="16"/>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颗粒物</w:t>
            </w:r>
          </w:p>
        </w:tc>
        <w:tc>
          <w:tcPr>
            <w:tcW w:w="1135" w:type="pct"/>
            <w:tcBorders>
              <w:bottom w:val="single" w:color="auto" w:sz="4" w:space="0"/>
            </w:tcBorders>
            <w:shd w:val="clear" w:color="auto" w:fill="auto"/>
            <w:noWrap w:val="0"/>
            <w:vAlign w:val="center"/>
          </w:tcPr>
          <w:p w14:paraId="0913BA43">
            <w:pPr>
              <w:keepNext w:val="0"/>
              <w:keepLines w:val="0"/>
              <w:suppressLineNumbers w:val="0"/>
              <w:tabs>
                <w:tab w:val="left" w:pos="3360"/>
              </w:tabs>
              <w:autoSpaceDE w:val="0"/>
              <w:autoSpaceDN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集气罩收集+</w:t>
            </w:r>
            <w:r>
              <w:rPr>
                <w:rFonts w:hint="default" w:ascii="Times New Roman" w:hAnsi="Times New Roman" w:eastAsia="宋体" w:cs="Times New Roman"/>
                <w:color w:val="auto"/>
                <w:sz w:val="21"/>
                <w:szCs w:val="21"/>
                <w:highlight w:val="none"/>
                <w:lang w:val="en-US" w:eastAsia="zh-CN"/>
              </w:rPr>
              <w:t>1套</w:t>
            </w:r>
            <w:r>
              <w:rPr>
                <w:rFonts w:hint="eastAsia" w:cs="Times New Roman"/>
                <w:color w:val="auto"/>
                <w:sz w:val="21"/>
                <w:szCs w:val="21"/>
                <w:highlight w:val="none"/>
                <w:lang w:val="en-US" w:eastAsia="zh-CN"/>
              </w:rPr>
              <w:t>袋式除尘器（TA001）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m高排气筒</w:t>
            </w:r>
            <w:r>
              <w:rPr>
                <w:rFonts w:hint="default" w:ascii="Times New Roman" w:hAnsi="Times New Roman" w:eastAsia="宋体" w:cs="Times New Roman"/>
                <w:color w:val="auto"/>
                <w:kern w:val="0"/>
                <w:sz w:val="21"/>
                <w:szCs w:val="21"/>
                <w:lang w:val="en-US" w:eastAsia="zh-CN"/>
              </w:rPr>
              <w:t>（DA001）</w:t>
            </w:r>
            <w:r>
              <w:rPr>
                <w:rFonts w:hint="default" w:ascii="Times New Roman" w:hAnsi="Times New Roman" w:eastAsia="宋体" w:cs="Times New Roman"/>
                <w:color w:val="auto"/>
                <w:sz w:val="21"/>
                <w:szCs w:val="21"/>
                <w:highlight w:val="none"/>
              </w:rPr>
              <w:t>排放</w:t>
            </w:r>
          </w:p>
        </w:tc>
        <w:tc>
          <w:tcPr>
            <w:tcW w:w="1524" w:type="pct"/>
            <w:tcBorders>
              <w:bottom w:val="single" w:color="auto" w:sz="4" w:space="0"/>
            </w:tcBorders>
            <w:noWrap w:val="0"/>
            <w:vAlign w:val="center"/>
          </w:tcPr>
          <w:p w14:paraId="03D58C1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Calibri" w:hAnsi="Calibri" w:eastAsia="宋体" w:cs="Times New Roman"/>
                <w:color w:val="auto"/>
                <w:kern w:val="0"/>
                <w:szCs w:val="21"/>
                <w:highlight w:val="none"/>
              </w:rPr>
            </w:pPr>
            <w:r>
              <w:rPr>
                <w:rFonts w:hint="eastAsia" w:cs="Times New Roman"/>
                <w:color w:val="auto"/>
                <w:spacing w:val="2"/>
                <w:kern w:val="2"/>
                <w:sz w:val="21"/>
                <w:szCs w:val="21"/>
                <w:lang w:val="en-US" w:eastAsia="zh-CN" w:bidi="ar-SA"/>
              </w:rPr>
              <w:t>安徽省《制鞋工业大气污染物排放标准》（DB34/4809-2024）</w:t>
            </w:r>
          </w:p>
        </w:tc>
      </w:tr>
      <w:tr w14:paraId="619598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604" w:type="pct"/>
            <w:vMerge w:val="continue"/>
            <w:noWrap w:val="0"/>
            <w:vAlign w:val="center"/>
          </w:tcPr>
          <w:p w14:paraId="01E61C9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宋体" w:eastAsia="宋体" w:cs="Times New Roman"/>
                <w:color w:val="auto"/>
                <w:szCs w:val="21"/>
                <w:highlight w:val="none"/>
              </w:rPr>
            </w:pPr>
          </w:p>
        </w:tc>
        <w:tc>
          <w:tcPr>
            <w:tcW w:w="446" w:type="pct"/>
            <w:tcBorders>
              <w:bottom w:val="single" w:color="auto" w:sz="4" w:space="0"/>
            </w:tcBorders>
            <w:noWrap w:val="0"/>
            <w:vAlign w:val="center"/>
          </w:tcPr>
          <w:p w14:paraId="520A0EE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宋体" w:eastAsia="宋体" w:cs="Times New Roman"/>
                <w:color w:val="auto"/>
                <w:kern w:val="0"/>
                <w:szCs w:val="21"/>
                <w:highlight w:val="none"/>
              </w:rPr>
            </w:pPr>
            <w:r>
              <w:rPr>
                <w:rFonts w:hint="eastAsia" w:hAnsi="宋体" w:cs="Times New Roman"/>
                <w:color w:val="auto"/>
                <w:kern w:val="0"/>
                <w:szCs w:val="21"/>
                <w:highlight w:val="none"/>
                <w:lang w:val="en-US" w:eastAsia="zh-CN"/>
              </w:rPr>
              <w:t>DA002排气筒</w:t>
            </w:r>
          </w:p>
        </w:tc>
        <w:tc>
          <w:tcPr>
            <w:tcW w:w="543" w:type="pct"/>
            <w:tcBorders>
              <w:bottom w:val="single" w:color="auto" w:sz="4" w:space="0"/>
            </w:tcBorders>
            <w:noWrap w:val="0"/>
            <w:vAlign w:val="center"/>
          </w:tcPr>
          <w:p w14:paraId="7C432CF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宋体" w:eastAsia="宋体" w:cs="Times New Roman"/>
                <w:color w:val="auto"/>
                <w:kern w:val="0"/>
                <w:szCs w:val="21"/>
                <w:highlight w:val="none"/>
              </w:rPr>
            </w:pPr>
            <w:r>
              <w:rPr>
                <w:rFonts w:hint="eastAsia" w:cs="Times New Roman"/>
                <w:color w:val="auto"/>
                <w:szCs w:val="21"/>
                <w:highlight w:val="none"/>
                <w:lang w:val="en-US" w:eastAsia="zh-CN"/>
              </w:rPr>
              <w:t>注塑、浇注废气、脱模剂废气</w:t>
            </w:r>
          </w:p>
        </w:tc>
        <w:tc>
          <w:tcPr>
            <w:tcW w:w="745" w:type="pct"/>
            <w:tcBorders>
              <w:bottom w:val="single" w:color="auto" w:sz="4" w:space="0"/>
            </w:tcBorders>
            <w:noWrap w:val="0"/>
            <w:vAlign w:val="center"/>
          </w:tcPr>
          <w:p w14:paraId="5950F31B">
            <w:pPr>
              <w:pStyle w:val="16"/>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非甲烷总烃、氯乙烯</w:t>
            </w:r>
          </w:p>
        </w:tc>
        <w:tc>
          <w:tcPr>
            <w:tcW w:w="1135" w:type="pct"/>
            <w:tcBorders>
              <w:bottom w:val="single" w:color="auto" w:sz="4" w:space="0"/>
            </w:tcBorders>
            <w:shd w:val="clear" w:color="auto" w:fill="auto"/>
            <w:noWrap w:val="0"/>
            <w:vAlign w:val="center"/>
          </w:tcPr>
          <w:p w14:paraId="2A9A5CF4">
            <w:pPr>
              <w:keepNext w:val="0"/>
              <w:keepLines w:val="0"/>
              <w:suppressLineNumbers w:val="0"/>
              <w:tabs>
                <w:tab w:val="left" w:pos="3360"/>
              </w:tabs>
              <w:autoSpaceDE w:val="0"/>
              <w:autoSpaceDN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lang w:val="en-US" w:eastAsia="zh-CN"/>
              </w:rPr>
              <w:t>集气罩</w:t>
            </w:r>
            <w:r>
              <w:rPr>
                <w:rFonts w:hint="default" w:ascii="Times New Roman" w:hAnsi="Times New Roman" w:eastAsia="宋体" w:cs="Times New Roman"/>
                <w:color w:val="auto"/>
                <w:kern w:val="0"/>
                <w:sz w:val="21"/>
                <w:szCs w:val="21"/>
                <w:lang w:val="en-US" w:eastAsia="zh-CN"/>
              </w:rPr>
              <w:t>收集+</w:t>
            </w:r>
            <w:r>
              <w:rPr>
                <w:rFonts w:hint="eastAsia" w:cs="Times New Roman"/>
                <w:color w:val="auto"/>
                <w:kern w:val="0"/>
                <w:sz w:val="21"/>
                <w:szCs w:val="21"/>
                <w:lang w:val="en-US" w:eastAsia="zh-CN"/>
              </w:rPr>
              <w:t>1套</w:t>
            </w:r>
            <w:r>
              <w:rPr>
                <w:rFonts w:hint="eastAsia" w:cs="Times New Roman"/>
                <w:b w:val="0"/>
                <w:bCs w:val="0"/>
                <w:color w:val="auto"/>
                <w:kern w:val="0"/>
                <w:sz w:val="21"/>
                <w:szCs w:val="21"/>
                <w:highlight w:val="none"/>
                <w:lang w:val="en-US" w:eastAsia="zh-CN" w:bidi="ar-SA"/>
              </w:rPr>
              <w:t>二级活性炭吸附</w:t>
            </w:r>
            <w:r>
              <w:rPr>
                <w:rFonts w:hint="eastAsia" w:cs="Times New Roman"/>
                <w:color w:val="auto"/>
                <w:kern w:val="0"/>
                <w:sz w:val="21"/>
                <w:szCs w:val="21"/>
                <w:lang w:val="en-US" w:eastAsia="zh-CN"/>
              </w:rPr>
              <w:t>”（TA002）</w:t>
            </w:r>
            <w:r>
              <w:rPr>
                <w:rFonts w:hint="default"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15m</w:t>
            </w:r>
            <w:r>
              <w:rPr>
                <w:rFonts w:hint="default" w:ascii="Times New Roman" w:hAnsi="Times New Roman" w:eastAsia="宋体" w:cs="Times New Roman"/>
                <w:color w:val="auto"/>
                <w:kern w:val="0"/>
                <w:sz w:val="21"/>
                <w:szCs w:val="21"/>
                <w:lang w:val="en-US" w:eastAsia="zh-CN"/>
              </w:rPr>
              <w:t>高排气筒（DA00</w:t>
            </w:r>
            <w:r>
              <w:rPr>
                <w:rFonts w:hint="eastAsia"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w:t>
            </w:r>
          </w:p>
        </w:tc>
        <w:tc>
          <w:tcPr>
            <w:tcW w:w="1524" w:type="pct"/>
            <w:tcBorders>
              <w:bottom w:val="single" w:color="auto" w:sz="4" w:space="0"/>
            </w:tcBorders>
            <w:noWrap w:val="0"/>
            <w:vAlign w:val="center"/>
          </w:tcPr>
          <w:p w14:paraId="74F8C91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Calibri" w:hAnsi="Calibri" w:eastAsia="宋体" w:cs="Times New Roman"/>
                <w:color w:val="auto"/>
                <w:kern w:val="0"/>
                <w:szCs w:val="21"/>
                <w:highlight w:val="none"/>
                <w:lang w:val="en-US"/>
              </w:rPr>
            </w:pPr>
            <w:r>
              <w:rPr>
                <w:rFonts w:hint="eastAsia" w:cs="Times New Roman"/>
                <w:color w:val="auto"/>
                <w:spacing w:val="2"/>
                <w:kern w:val="2"/>
                <w:sz w:val="21"/>
                <w:szCs w:val="21"/>
                <w:lang w:val="en-US" w:eastAsia="zh-CN" w:bidi="ar-SA"/>
              </w:rPr>
              <w:t>安徽省《制鞋工业大气污染物排放标准》（DB34/4809-2024）、</w:t>
            </w:r>
            <w:r>
              <w:rPr>
                <w:rFonts w:hint="default" w:ascii="Times New Roman" w:hAnsi="Times New Roman" w:eastAsia="宋体" w:cs="Times New Roman"/>
                <w:b w:val="0"/>
                <w:bCs w:val="0"/>
                <w:color w:val="auto"/>
                <w:sz w:val="21"/>
                <w:szCs w:val="21"/>
                <w:highlight w:val="none"/>
                <w:lang w:val="en-US" w:eastAsia="zh-CN"/>
              </w:rPr>
              <w:t>《大气污染物综合排放标准》（GB16297-1996）</w:t>
            </w:r>
          </w:p>
        </w:tc>
      </w:tr>
      <w:tr w14:paraId="14C7B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04" w:type="pct"/>
            <w:vMerge w:val="continue"/>
            <w:noWrap w:val="0"/>
            <w:vAlign w:val="center"/>
          </w:tcPr>
          <w:p w14:paraId="1F9CB2E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宋体" w:eastAsia="宋体" w:cs="Times New Roman"/>
                <w:color w:val="auto"/>
                <w:szCs w:val="21"/>
                <w:highlight w:val="none"/>
              </w:rPr>
            </w:pPr>
          </w:p>
        </w:tc>
        <w:tc>
          <w:tcPr>
            <w:tcW w:w="446" w:type="pct"/>
            <w:noWrap w:val="0"/>
            <w:vAlign w:val="center"/>
          </w:tcPr>
          <w:p w14:paraId="7AC37C6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宋体" w:eastAsia="宋体" w:cs="Times New Roman"/>
                <w:color w:val="auto"/>
                <w:kern w:val="0"/>
                <w:szCs w:val="21"/>
                <w:highlight w:val="none"/>
                <w:lang w:val="en-US" w:eastAsia="zh-CN"/>
              </w:rPr>
            </w:pPr>
            <w:r>
              <w:rPr>
                <w:rFonts w:hint="eastAsia" w:hAnsi="宋体" w:cs="Times New Roman"/>
                <w:color w:val="auto"/>
                <w:kern w:val="0"/>
                <w:szCs w:val="21"/>
                <w:highlight w:val="none"/>
                <w:lang w:val="en-US" w:eastAsia="zh-CN"/>
              </w:rPr>
              <w:t>油烟烟道</w:t>
            </w:r>
          </w:p>
        </w:tc>
        <w:tc>
          <w:tcPr>
            <w:tcW w:w="543" w:type="pct"/>
            <w:tcBorders>
              <w:bottom w:val="single" w:color="auto" w:sz="4" w:space="0"/>
            </w:tcBorders>
            <w:shd w:val="clear" w:color="auto" w:fill="auto"/>
            <w:noWrap w:val="0"/>
            <w:vAlign w:val="center"/>
          </w:tcPr>
          <w:p w14:paraId="770DCF7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宋体" w:eastAsia="宋体" w:cs="Times New Roman"/>
                <w:color w:val="auto"/>
                <w:kern w:val="0"/>
                <w:sz w:val="21"/>
                <w:szCs w:val="21"/>
                <w:highlight w:val="none"/>
                <w:lang w:val="en-US" w:eastAsia="zh-CN" w:bidi="ar-SA"/>
              </w:rPr>
            </w:pPr>
            <w:r>
              <w:rPr>
                <w:rFonts w:hint="eastAsia" w:hAnsi="宋体" w:cs="Times New Roman"/>
                <w:color w:val="auto"/>
                <w:kern w:val="0"/>
                <w:sz w:val="21"/>
                <w:szCs w:val="21"/>
                <w:highlight w:val="none"/>
                <w:lang w:val="en-US" w:eastAsia="zh-CN" w:bidi="ar-SA"/>
              </w:rPr>
              <w:t>食堂油烟</w:t>
            </w:r>
          </w:p>
        </w:tc>
        <w:tc>
          <w:tcPr>
            <w:tcW w:w="745" w:type="pct"/>
            <w:tcBorders>
              <w:bottom w:val="single" w:color="auto" w:sz="4" w:space="0"/>
            </w:tcBorders>
            <w:shd w:val="clear" w:color="auto" w:fill="auto"/>
            <w:noWrap w:val="0"/>
            <w:vAlign w:val="center"/>
          </w:tcPr>
          <w:p w14:paraId="2FFB4258">
            <w:pPr>
              <w:keepNext w:val="0"/>
              <w:keepLines w:val="0"/>
              <w:suppressLineNumbers w:val="0"/>
              <w:tabs>
                <w:tab w:val="left" w:pos="3360"/>
              </w:tabs>
              <w:autoSpaceDE w:val="0"/>
              <w:autoSpaceDN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hAnsi="宋体" w:cs="Times New Roman"/>
                <w:color w:val="auto"/>
                <w:kern w:val="0"/>
                <w:sz w:val="21"/>
                <w:szCs w:val="21"/>
                <w:highlight w:val="none"/>
                <w:lang w:val="en-US" w:eastAsia="zh-CN" w:bidi="ar-SA"/>
              </w:rPr>
              <w:t>油烟</w:t>
            </w:r>
          </w:p>
        </w:tc>
        <w:tc>
          <w:tcPr>
            <w:tcW w:w="1135" w:type="pct"/>
            <w:tcBorders>
              <w:bottom w:val="single" w:color="auto" w:sz="4" w:space="0"/>
            </w:tcBorders>
            <w:shd w:val="clear" w:color="auto" w:fill="auto"/>
            <w:noWrap w:val="0"/>
            <w:vAlign w:val="center"/>
          </w:tcPr>
          <w:p w14:paraId="032A7A47">
            <w:pPr>
              <w:keepNext w:val="0"/>
              <w:keepLines w:val="0"/>
              <w:suppressLineNumbers w:val="0"/>
              <w:tabs>
                <w:tab w:val="left" w:pos="3360"/>
              </w:tabs>
              <w:autoSpaceDE w:val="0"/>
              <w:autoSpaceDN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油烟净化器</w:t>
            </w:r>
          </w:p>
        </w:tc>
        <w:tc>
          <w:tcPr>
            <w:tcW w:w="1524" w:type="pct"/>
            <w:tcBorders>
              <w:bottom w:val="single" w:color="auto" w:sz="4" w:space="0"/>
            </w:tcBorders>
            <w:noWrap w:val="0"/>
            <w:vAlign w:val="center"/>
          </w:tcPr>
          <w:p w14:paraId="2ACFA6D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Calibri" w:hAnsi="Calibri" w:eastAsia="宋体" w:cs="Times New Roman"/>
                <w:color w:val="auto"/>
                <w:kern w:val="0"/>
                <w:szCs w:val="21"/>
                <w:highlight w:val="none"/>
              </w:rPr>
            </w:pPr>
            <w:r>
              <w:rPr>
                <w:rFonts w:hint="eastAsia" w:ascii="Times New Roman" w:hAnsi="Times New Roman" w:eastAsia="宋体" w:cs="Times New Roman"/>
                <w:color w:val="auto"/>
                <w:spacing w:val="2"/>
                <w:sz w:val="21"/>
                <w:szCs w:val="21"/>
                <w:lang w:val="en-US" w:eastAsia="zh-CN"/>
              </w:rPr>
              <w:t>《饮食业油烟排放标准》（GB18483-2001）</w:t>
            </w:r>
          </w:p>
        </w:tc>
      </w:tr>
      <w:tr w14:paraId="54EDE1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04" w:type="pct"/>
            <w:vMerge w:val="continue"/>
            <w:noWrap w:val="0"/>
            <w:vAlign w:val="center"/>
          </w:tcPr>
          <w:p w14:paraId="1F2A50B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宋体" w:eastAsia="宋体" w:cs="Times New Roman"/>
                <w:color w:val="auto"/>
                <w:szCs w:val="21"/>
                <w:highlight w:val="none"/>
              </w:rPr>
            </w:pPr>
          </w:p>
        </w:tc>
        <w:tc>
          <w:tcPr>
            <w:tcW w:w="989" w:type="pct"/>
            <w:gridSpan w:val="2"/>
            <w:tcBorders>
              <w:bottom w:val="single" w:color="auto" w:sz="4" w:space="0"/>
            </w:tcBorders>
            <w:noWrap w:val="0"/>
            <w:vAlign w:val="center"/>
          </w:tcPr>
          <w:p w14:paraId="45A13CB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宋体" w:eastAsia="宋体" w:cs="Times New Roman"/>
                <w:color w:val="auto"/>
                <w:kern w:val="0"/>
                <w:sz w:val="21"/>
                <w:szCs w:val="21"/>
                <w:highlight w:val="none"/>
                <w:lang w:val="en-US" w:eastAsia="zh-CN" w:bidi="ar-SA"/>
              </w:rPr>
            </w:pPr>
            <w:r>
              <w:rPr>
                <w:rFonts w:hint="eastAsia" w:hAnsi="宋体" w:cs="Times New Roman"/>
                <w:color w:val="auto"/>
                <w:kern w:val="0"/>
                <w:sz w:val="21"/>
                <w:szCs w:val="21"/>
                <w:highlight w:val="none"/>
                <w:lang w:val="en-US" w:eastAsia="zh-CN" w:bidi="ar-SA"/>
              </w:rPr>
              <w:t>厂界</w:t>
            </w:r>
          </w:p>
        </w:tc>
        <w:tc>
          <w:tcPr>
            <w:tcW w:w="745" w:type="pct"/>
            <w:tcBorders>
              <w:bottom w:val="single" w:color="auto" w:sz="4" w:space="0"/>
            </w:tcBorders>
            <w:shd w:val="clear" w:color="auto" w:fill="auto"/>
            <w:noWrap w:val="0"/>
            <w:vAlign w:val="center"/>
          </w:tcPr>
          <w:p w14:paraId="0ACC63EC">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auto"/>
                <w:kern w:val="2"/>
                <w:sz w:val="21"/>
                <w:szCs w:val="21"/>
                <w:lang w:val="en-US" w:eastAsia="zh-CN" w:bidi="ar-SA"/>
              </w:rPr>
            </w:pPr>
            <w:r>
              <w:rPr>
                <w:rFonts w:hint="eastAsia" w:ascii="宋体" w:hAnsi="宋体" w:cs="宋体"/>
                <w:color w:val="auto"/>
                <w:szCs w:val="21"/>
              </w:rPr>
              <w:t>非甲烷总烃、</w:t>
            </w:r>
            <w:r>
              <w:rPr>
                <w:rFonts w:hint="eastAsia" w:ascii="宋体" w:hAnsi="宋体" w:cs="宋体"/>
                <w:color w:val="auto"/>
                <w:szCs w:val="21"/>
                <w:lang w:val="en-US" w:eastAsia="zh-CN"/>
              </w:rPr>
              <w:t>氯</w:t>
            </w:r>
            <w:r>
              <w:rPr>
                <w:rFonts w:hint="eastAsia" w:ascii="宋体" w:hAnsi="宋体" w:cs="宋体"/>
                <w:color w:val="auto"/>
                <w:szCs w:val="21"/>
              </w:rPr>
              <w:t>乙烯</w:t>
            </w:r>
            <w:r>
              <w:rPr>
                <w:rFonts w:hint="eastAsia" w:ascii="宋体" w:hAnsi="宋体" w:cs="宋体"/>
                <w:color w:val="auto"/>
                <w:szCs w:val="21"/>
                <w:lang w:eastAsia="zh-CN"/>
              </w:rPr>
              <w:t>、</w:t>
            </w:r>
            <w:r>
              <w:rPr>
                <w:rFonts w:hint="eastAsia" w:ascii="宋体" w:hAnsi="宋体" w:cs="宋体"/>
                <w:color w:val="auto"/>
                <w:szCs w:val="21"/>
                <w:lang w:val="en-US" w:eastAsia="zh-CN"/>
              </w:rPr>
              <w:t>颗粒物</w:t>
            </w:r>
          </w:p>
        </w:tc>
        <w:tc>
          <w:tcPr>
            <w:tcW w:w="1135" w:type="pct"/>
            <w:tcBorders>
              <w:bottom w:val="single" w:color="auto" w:sz="4" w:space="0"/>
            </w:tcBorders>
            <w:shd w:val="clear" w:color="auto" w:fill="auto"/>
            <w:noWrap w:val="0"/>
            <w:vAlign w:val="center"/>
          </w:tcPr>
          <w:p w14:paraId="4C343D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color w:val="auto"/>
                <w:szCs w:val="21"/>
              </w:rPr>
              <w:t>增设通排风设施</w:t>
            </w:r>
            <w:r>
              <w:rPr>
                <w:rFonts w:hint="eastAsia"/>
                <w:color w:val="auto"/>
                <w:szCs w:val="21"/>
              </w:rPr>
              <w:t>、加强车间通风</w:t>
            </w:r>
          </w:p>
        </w:tc>
        <w:tc>
          <w:tcPr>
            <w:tcW w:w="1524" w:type="pct"/>
            <w:tcBorders>
              <w:bottom w:val="single" w:color="auto" w:sz="4" w:space="0"/>
            </w:tcBorders>
            <w:noWrap w:val="0"/>
            <w:vAlign w:val="center"/>
          </w:tcPr>
          <w:p w14:paraId="333A6A3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Calibri" w:hAnsi="Calibri" w:eastAsia="宋体" w:cs="Times New Roman"/>
                <w:color w:val="auto"/>
                <w:kern w:val="0"/>
                <w:szCs w:val="21"/>
                <w:highlight w:val="none"/>
                <w:lang w:val="en-US"/>
              </w:rPr>
            </w:pP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大气污染物综合排放标准》（GB16297-1996）</w:t>
            </w:r>
            <w:r>
              <w:rPr>
                <w:rFonts w:hint="eastAsia" w:cs="Times New Roman"/>
                <w:b w:val="0"/>
                <w:bCs w:val="0"/>
                <w:color w:val="auto"/>
                <w:sz w:val="21"/>
                <w:szCs w:val="21"/>
                <w:highlight w:val="none"/>
                <w:lang w:val="en-US" w:eastAsia="zh-CN"/>
              </w:rPr>
              <w:t>、</w:t>
            </w:r>
            <w:r>
              <w:rPr>
                <w:rFonts w:hint="eastAsia" w:cs="Times New Roman"/>
                <w:color w:val="auto"/>
                <w:spacing w:val="2"/>
                <w:kern w:val="2"/>
                <w:sz w:val="21"/>
                <w:szCs w:val="21"/>
                <w:lang w:val="en-US" w:eastAsia="zh-CN" w:bidi="ar-SA"/>
              </w:rPr>
              <w:t>安徽省《制鞋工业大气污染物排放标准》（DB34/4809-2024）</w:t>
            </w:r>
          </w:p>
        </w:tc>
      </w:tr>
      <w:tr w14:paraId="2CEA3A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04" w:type="pct"/>
            <w:noWrap w:val="0"/>
            <w:vAlign w:val="center"/>
          </w:tcPr>
          <w:p w14:paraId="5B4794B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地表水环境</w:t>
            </w:r>
          </w:p>
        </w:tc>
        <w:tc>
          <w:tcPr>
            <w:tcW w:w="989" w:type="pct"/>
            <w:gridSpan w:val="2"/>
            <w:tcBorders>
              <w:bottom w:val="single" w:color="auto" w:sz="4" w:space="0"/>
            </w:tcBorders>
            <w:noWrap w:val="0"/>
            <w:vAlign w:val="center"/>
          </w:tcPr>
          <w:p w14:paraId="521C6BC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lang w:val="en-US" w:eastAsia="zh-CN"/>
              </w:rPr>
            </w:pPr>
            <w:r>
              <w:rPr>
                <w:rFonts w:ascii="Times New Roman" w:hAnsi="宋体" w:eastAsia="宋体" w:cs="Times New Roman"/>
                <w:color w:val="auto"/>
                <w:kern w:val="0"/>
                <w:szCs w:val="21"/>
                <w:highlight w:val="none"/>
              </w:rPr>
              <w:t>生活污水</w:t>
            </w:r>
            <w:r>
              <w:rPr>
                <w:rFonts w:hint="eastAsia" w:ascii="Times New Roman" w:hAnsi="宋体" w:eastAsia="宋体" w:cs="Times New Roman"/>
                <w:color w:val="auto"/>
                <w:kern w:val="0"/>
                <w:szCs w:val="21"/>
                <w:highlight w:val="none"/>
                <w:lang w:eastAsia="zh-CN"/>
              </w:rPr>
              <w:t>、保洁废水</w:t>
            </w:r>
            <w:r>
              <w:rPr>
                <w:rFonts w:hint="eastAsia" w:hAnsi="宋体" w:cs="Times New Roman"/>
                <w:color w:val="auto"/>
                <w:kern w:val="0"/>
                <w:szCs w:val="21"/>
                <w:highlight w:val="none"/>
                <w:lang w:eastAsia="zh-CN"/>
              </w:rPr>
              <w:t>、</w:t>
            </w:r>
            <w:r>
              <w:rPr>
                <w:rFonts w:hint="eastAsia" w:hAnsi="宋体" w:cs="Times New Roman"/>
                <w:color w:val="auto"/>
                <w:kern w:val="0"/>
                <w:szCs w:val="21"/>
                <w:highlight w:val="none"/>
                <w:lang w:val="en-US" w:eastAsia="zh-CN"/>
              </w:rPr>
              <w:t>食堂废水</w:t>
            </w:r>
          </w:p>
        </w:tc>
        <w:tc>
          <w:tcPr>
            <w:tcW w:w="745" w:type="pct"/>
            <w:tcBorders>
              <w:bottom w:val="single" w:color="auto" w:sz="4" w:space="0"/>
            </w:tcBorders>
            <w:noWrap w:val="0"/>
            <w:vAlign w:val="center"/>
          </w:tcPr>
          <w:p w14:paraId="7115F040">
            <w:pPr>
              <w:pStyle w:val="16"/>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Cs w:val="21"/>
                <w:highlight w:val="none"/>
                <w:lang w:eastAsia="zh-CN"/>
              </w:rPr>
            </w:pPr>
            <w:r>
              <w:rPr>
                <w:rFonts w:hint="eastAsia" w:cs="Times New Roman"/>
                <w:color w:val="auto"/>
                <w:szCs w:val="21"/>
                <w:highlight w:val="none"/>
                <w:lang w:val="en-US" w:eastAsia="zh-CN"/>
              </w:rPr>
              <w:t>pH、</w:t>
            </w:r>
            <w:r>
              <w:rPr>
                <w:rFonts w:hint="default" w:ascii="Times New Roman" w:hAnsi="Times New Roman" w:eastAsia="宋体" w:cs="Times New Roman"/>
                <w:color w:val="auto"/>
                <w:szCs w:val="21"/>
                <w:highlight w:val="none"/>
              </w:rPr>
              <w:t>COD、BOD</w:t>
            </w:r>
            <w:r>
              <w:rPr>
                <w:rFonts w:hint="default" w:ascii="Times New Roman" w:hAnsi="Times New Roman" w:eastAsia="宋体" w:cs="Times New Roman"/>
                <w:color w:val="auto"/>
                <w:szCs w:val="21"/>
                <w:highlight w:val="none"/>
                <w:vertAlign w:val="subscript"/>
              </w:rPr>
              <w:t>5</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NH</w:t>
            </w:r>
            <w:r>
              <w:rPr>
                <w:rFonts w:hint="eastAsia" w:cs="Times New Roman"/>
                <w:color w:val="auto"/>
                <w:szCs w:val="21"/>
                <w:highlight w:val="none"/>
                <w:vertAlign w:val="subscript"/>
                <w:lang w:val="en-US" w:eastAsia="zh-CN"/>
              </w:rPr>
              <w:t>3</w:t>
            </w:r>
            <w:r>
              <w:rPr>
                <w:rFonts w:hint="eastAsia" w:cs="Times New Roman"/>
                <w:color w:val="auto"/>
                <w:szCs w:val="21"/>
                <w:highlight w:val="none"/>
                <w:lang w:val="en-US" w:eastAsia="zh-CN"/>
              </w:rPr>
              <w:t>-N</w:t>
            </w:r>
            <w:r>
              <w:rPr>
                <w:rFonts w:hint="default" w:ascii="Times New Roman" w:hAnsi="Times New Roman" w:eastAsia="宋体" w:cs="Times New Roman"/>
                <w:color w:val="auto"/>
                <w:szCs w:val="21"/>
                <w:highlight w:val="none"/>
              </w:rPr>
              <w:t>、SS</w:t>
            </w:r>
            <w:r>
              <w:rPr>
                <w:rFonts w:hint="eastAsia" w:cs="Times New Roman"/>
                <w:color w:val="auto"/>
                <w:szCs w:val="21"/>
                <w:highlight w:val="none"/>
                <w:lang w:eastAsia="zh-CN"/>
              </w:rPr>
              <w:t>、</w:t>
            </w:r>
            <w:r>
              <w:rPr>
                <w:rFonts w:hint="eastAsia" w:cs="Times New Roman"/>
                <w:color w:val="auto"/>
                <w:szCs w:val="21"/>
                <w:highlight w:val="none"/>
                <w:lang w:val="en-US" w:eastAsia="zh-CN"/>
              </w:rPr>
              <w:t>动植物油</w:t>
            </w:r>
          </w:p>
        </w:tc>
        <w:tc>
          <w:tcPr>
            <w:tcW w:w="1135" w:type="pct"/>
            <w:tcBorders>
              <w:bottom w:val="single" w:color="auto" w:sz="4" w:space="0"/>
            </w:tcBorders>
            <w:noWrap w:val="0"/>
            <w:vAlign w:val="center"/>
          </w:tcPr>
          <w:p w14:paraId="2A5BF17E">
            <w:pPr>
              <w:pStyle w:val="330"/>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textAlignment w:val="auto"/>
              <w:rPr>
                <w:rFonts w:hint="eastAsia" w:ascii="Times New Roman" w:hAnsi="Times New Roman" w:eastAsia="宋体" w:cs="Times New Roman"/>
                <w:bCs/>
                <w:color w:val="auto"/>
                <w:szCs w:val="21"/>
                <w:highlight w:val="none"/>
                <w:lang w:val="en-US" w:eastAsia="zh-CN"/>
              </w:rPr>
            </w:pPr>
            <w:r>
              <w:rPr>
                <w:rFonts w:hint="eastAsia" w:cs="Times New Roman"/>
                <w:color w:val="auto"/>
                <w:szCs w:val="21"/>
                <w:highlight w:val="none"/>
                <w:lang w:val="en-US" w:eastAsia="zh-CN"/>
              </w:rPr>
              <w:t>食堂废水经隔油池预处理、</w:t>
            </w:r>
            <w:r>
              <w:rPr>
                <w:rFonts w:hint="default" w:ascii="Times New Roman" w:hAnsi="Times New Roman" w:eastAsia="宋体" w:cs="Times New Roman"/>
                <w:color w:val="auto"/>
                <w:szCs w:val="21"/>
                <w:highlight w:val="none"/>
                <w:lang w:eastAsia="zh-CN"/>
              </w:rPr>
              <w:t>生活污水经</w:t>
            </w:r>
            <w:r>
              <w:rPr>
                <w:rFonts w:hint="default" w:ascii="Times New Roman" w:hAnsi="Times New Roman" w:eastAsia="宋体" w:cs="Times New Roman"/>
                <w:color w:val="auto"/>
                <w:szCs w:val="21"/>
                <w:highlight w:val="none"/>
              </w:rPr>
              <w:t>化粪池</w:t>
            </w:r>
            <w:r>
              <w:rPr>
                <w:rFonts w:hint="eastAsia" w:cs="Times New Roman"/>
                <w:color w:val="auto"/>
                <w:szCs w:val="21"/>
                <w:highlight w:val="none"/>
                <w:lang w:val="en-US" w:eastAsia="zh-CN"/>
              </w:rPr>
              <w:t>收集</w:t>
            </w:r>
          </w:p>
        </w:tc>
        <w:tc>
          <w:tcPr>
            <w:tcW w:w="1524" w:type="pct"/>
            <w:noWrap w:val="0"/>
            <w:vAlign w:val="center"/>
          </w:tcPr>
          <w:p w14:paraId="3DE51F7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lang w:val="en-US"/>
              </w:rPr>
            </w:pPr>
            <w:r>
              <w:rPr>
                <w:rFonts w:hint="eastAsia" w:ascii="Calibri" w:hAnsi="Calibri" w:eastAsia="宋体" w:cs="Times New Roman"/>
                <w:color w:val="auto"/>
                <w:kern w:val="0"/>
                <w:szCs w:val="21"/>
                <w:highlight w:val="none"/>
              </w:rPr>
              <w:t>满足</w:t>
            </w:r>
            <w:r>
              <w:rPr>
                <w:rFonts w:hint="eastAsia" w:cs="Times New Roman"/>
                <w:bCs/>
                <w:color w:val="auto"/>
                <w:szCs w:val="21"/>
                <w:highlight w:val="none"/>
                <w:lang w:val="en-US" w:eastAsia="zh-CN"/>
              </w:rPr>
              <w:t>五河县</w:t>
            </w:r>
            <w:r>
              <w:rPr>
                <w:rFonts w:hint="eastAsia" w:ascii="Times New Roman" w:hAnsi="Times New Roman" w:eastAsia="宋体" w:cs="Times New Roman"/>
                <w:bCs/>
                <w:color w:val="auto"/>
                <w:szCs w:val="21"/>
                <w:highlight w:val="none"/>
                <w:lang w:val="en-US" w:eastAsia="zh-CN"/>
              </w:rPr>
              <w:t>城</w:t>
            </w:r>
            <w:r>
              <w:rPr>
                <w:rFonts w:hint="eastAsia" w:cs="Times New Roman"/>
                <w:bCs/>
                <w:color w:val="auto"/>
                <w:szCs w:val="21"/>
                <w:highlight w:val="none"/>
                <w:lang w:val="en-US" w:eastAsia="zh-CN"/>
              </w:rPr>
              <w:t>南</w:t>
            </w:r>
            <w:r>
              <w:rPr>
                <w:rFonts w:hint="eastAsia" w:ascii="Times New Roman" w:hAnsi="Times New Roman" w:eastAsia="宋体" w:cs="Times New Roman"/>
                <w:bCs/>
                <w:color w:val="auto"/>
                <w:szCs w:val="21"/>
                <w:highlight w:val="none"/>
              </w:rPr>
              <w:t>污水处理厂接管标准</w:t>
            </w:r>
            <w:r>
              <w:rPr>
                <w:rFonts w:hint="eastAsia" w:ascii="Times New Roman" w:hAnsi="Times New Roman" w:eastAsia="宋体" w:cs="Times New Roman"/>
                <w:bCs/>
                <w:color w:val="auto"/>
                <w:szCs w:val="21"/>
                <w:highlight w:val="none"/>
                <w:lang w:val="en-US" w:eastAsia="zh-CN"/>
              </w:rPr>
              <w:t>和《污水综合排放标准》（</w:t>
            </w:r>
            <w:r>
              <w:rPr>
                <w:rFonts w:hint="default" w:ascii="Times New Roman" w:hAnsi="Times New Roman" w:eastAsia="宋体" w:cs="Times New Roman"/>
                <w:bCs/>
                <w:color w:val="auto"/>
                <w:szCs w:val="21"/>
                <w:highlight w:val="none"/>
                <w:lang w:val="en-US" w:eastAsia="zh-CN"/>
              </w:rPr>
              <w:t>GB8978-1996</w:t>
            </w:r>
            <w:r>
              <w:rPr>
                <w:rFonts w:hint="eastAsia" w:ascii="Times New Roman" w:hAnsi="Times New Roman" w:eastAsia="宋体" w:cs="Times New Roman"/>
                <w:bCs/>
                <w:color w:val="auto"/>
                <w:szCs w:val="21"/>
                <w:highlight w:val="none"/>
                <w:lang w:val="en-US" w:eastAsia="zh-CN"/>
              </w:rPr>
              <w:t>）</w:t>
            </w:r>
            <w:r>
              <w:rPr>
                <w:rFonts w:hint="eastAsia" w:cs="Times New Roman"/>
                <w:bCs/>
                <w:color w:val="auto"/>
                <w:szCs w:val="21"/>
                <w:highlight w:val="none"/>
                <w:lang w:val="en-US" w:eastAsia="zh-CN"/>
              </w:rPr>
              <w:t>三级标准</w:t>
            </w:r>
          </w:p>
        </w:tc>
      </w:tr>
      <w:tr w14:paraId="79C98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604" w:type="pct"/>
            <w:tcBorders>
              <w:bottom w:val="single" w:color="auto" w:sz="4" w:space="0"/>
            </w:tcBorders>
            <w:noWrap w:val="0"/>
            <w:vAlign w:val="center"/>
          </w:tcPr>
          <w:p w14:paraId="6516C82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声环境</w:t>
            </w:r>
          </w:p>
        </w:tc>
        <w:tc>
          <w:tcPr>
            <w:tcW w:w="989" w:type="pct"/>
            <w:gridSpan w:val="2"/>
            <w:tcBorders>
              <w:bottom w:val="single" w:color="auto" w:sz="4" w:space="0"/>
            </w:tcBorders>
            <w:noWrap w:val="0"/>
            <w:vAlign w:val="center"/>
          </w:tcPr>
          <w:p w14:paraId="0E6138E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生产设备</w:t>
            </w:r>
          </w:p>
        </w:tc>
        <w:tc>
          <w:tcPr>
            <w:tcW w:w="745" w:type="pct"/>
            <w:tcBorders>
              <w:bottom w:val="single" w:color="auto" w:sz="4" w:space="0"/>
            </w:tcBorders>
            <w:noWrap w:val="0"/>
            <w:vAlign w:val="center"/>
          </w:tcPr>
          <w:p w14:paraId="62F1B69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噪声</w:t>
            </w:r>
          </w:p>
        </w:tc>
        <w:tc>
          <w:tcPr>
            <w:tcW w:w="1135" w:type="pct"/>
            <w:tcBorders>
              <w:bottom w:val="single" w:color="auto" w:sz="4" w:space="0"/>
            </w:tcBorders>
            <w:noWrap w:val="0"/>
            <w:vAlign w:val="center"/>
          </w:tcPr>
          <w:p w14:paraId="566F411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kern w:val="0"/>
                <w:szCs w:val="21"/>
                <w:highlight w:val="none"/>
              </w:rPr>
            </w:pPr>
            <w:r>
              <w:rPr>
                <w:rFonts w:ascii="Times New Roman" w:hAnsi="Times New Roman" w:eastAsia="宋体" w:cs="Times New Roman"/>
                <w:color w:val="auto"/>
                <w:szCs w:val="21"/>
                <w:highlight w:val="none"/>
              </w:rPr>
              <w:t>选用低噪声机械设备，采取隔声、减震等措施</w:t>
            </w:r>
          </w:p>
        </w:tc>
        <w:tc>
          <w:tcPr>
            <w:tcW w:w="1524" w:type="pct"/>
            <w:tcBorders>
              <w:bottom w:val="single" w:color="auto" w:sz="4" w:space="0"/>
            </w:tcBorders>
            <w:noWrap w:val="0"/>
            <w:vAlign w:val="center"/>
          </w:tcPr>
          <w:p w14:paraId="759C6BE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kern w:val="0"/>
                <w:szCs w:val="21"/>
                <w:highlight w:val="none"/>
              </w:rPr>
            </w:pPr>
            <w:r>
              <w:rPr>
                <w:rFonts w:ascii="Times New Roman" w:hAnsi="Times New Roman" w:eastAsia="宋体" w:cs="Times New Roman"/>
                <w:bCs/>
                <w:color w:val="auto"/>
                <w:szCs w:val="21"/>
                <w:highlight w:val="none"/>
              </w:rPr>
              <w:t>《工业企业厂界环境噪声排放标准》（GB12348-2008）中3类标准</w:t>
            </w:r>
          </w:p>
        </w:tc>
      </w:tr>
      <w:tr w14:paraId="1D48FE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4" w:type="pct"/>
            <w:tcBorders>
              <w:bottom w:val="single" w:color="auto" w:sz="4" w:space="0"/>
            </w:tcBorders>
            <w:noWrap w:val="0"/>
            <w:vAlign w:val="center"/>
          </w:tcPr>
          <w:p w14:paraId="18A10AD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电磁辐射</w:t>
            </w:r>
          </w:p>
        </w:tc>
        <w:tc>
          <w:tcPr>
            <w:tcW w:w="989" w:type="pct"/>
            <w:gridSpan w:val="2"/>
            <w:tcBorders>
              <w:bottom w:val="single" w:color="auto" w:sz="4" w:space="0"/>
            </w:tcBorders>
            <w:noWrap w:val="0"/>
            <w:vAlign w:val="center"/>
          </w:tcPr>
          <w:p w14:paraId="13CE474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w:t>
            </w:r>
          </w:p>
        </w:tc>
        <w:tc>
          <w:tcPr>
            <w:tcW w:w="745" w:type="pct"/>
            <w:tcBorders>
              <w:bottom w:val="single" w:color="auto" w:sz="4" w:space="0"/>
            </w:tcBorders>
            <w:noWrap w:val="0"/>
            <w:vAlign w:val="center"/>
          </w:tcPr>
          <w:p w14:paraId="65BCD93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w:t>
            </w:r>
          </w:p>
        </w:tc>
        <w:tc>
          <w:tcPr>
            <w:tcW w:w="1135" w:type="pct"/>
            <w:tcBorders>
              <w:bottom w:val="single" w:color="auto" w:sz="4" w:space="0"/>
            </w:tcBorders>
            <w:noWrap w:val="0"/>
            <w:vAlign w:val="center"/>
          </w:tcPr>
          <w:p w14:paraId="5A2FEFE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w:t>
            </w:r>
          </w:p>
        </w:tc>
        <w:tc>
          <w:tcPr>
            <w:tcW w:w="1524" w:type="pct"/>
            <w:tcBorders>
              <w:bottom w:val="single" w:color="auto" w:sz="4" w:space="0"/>
            </w:tcBorders>
            <w:noWrap w:val="0"/>
            <w:vAlign w:val="center"/>
          </w:tcPr>
          <w:p w14:paraId="669B799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w:t>
            </w:r>
          </w:p>
        </w:tc>
      </w:tr>
      <w:tr w14:paraId="19B524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4" w:type="pct"/>
            <w:noWrap w:val="0"/>
            <w:vAlign w:val="center"/>
          </w:tcPr>
          <w:p w14:paraId="4BEC712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固体废物</w:t>
            </w:r>
          </w:p>
        </w:tc>
        <w:tc>
          <w:tcPr>
            <w:tcW w:w="4395" w:type="pct"/>
            <w:gridSpan w:val="5"/>
            <w:noWrap w:val="0"/>
            <w:vAlign w:val="center"/>
          </w:tcPr>
          <w:p w14:paraId="1CCF7E6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szCs w:val="21"/>
              </w:rPr>
              <w:t>固废分类收集，建设一般固废</w:t>
            </w:r>
            <w:r>
              <w:rPr>
                <w:rFonts w:hint="default" w:ascii="Times New Roman" w:hAnsi="Times New Roman" w:eastAsia="宋体" w:cs="Times New Roman"/>
                <w:color w:val="auto"/>
                <w:szCs w:val="21"/>
                <w:lang w:eastAsia="zh-CN"/>
              </w:rPr>
              <w:t>暂存间</w:t>
            </w:r>
            <w:r>
              <w:rPr>
                <w:rFonts w:hint="default" w:ascii="Times New Roman" w:hAnsi="Times New Roman" w:eastAsia="宋体" w:cs="Times New Roman"/>
                <w:color w:val="auto"/>
                <w:szCs w:val="21"/>
              </w:rPr>
              <w:t>和</w:t>
            </w:r>
            <w:r>
              <w:rPr>
                <w:rFonts w:hint="eastAsia" w:cs="Times New Roman"/>
                <w:color w:val="auto"/>
                <w:szCs w:val="21"/>
                <w:lang w:eastAsia="zh-CN"/>
              </w:rPr>
              <w:t>危废暂存库</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其中</w:t>
            </w:r>
            <w:r>
              <w:rPr>
                <w:rFonts w:hint="eastAsia" w:cs="Times New Roman"/>
                <w:color w:val="auto"/>
                <w:szCs w:val="21"/>
                <w:lang w:eastAsia="zh-CN"/>
              </w:rPr>
              <w:t>危废暂存库</w:t>
            </w:r>
            <w:r>
              <w:rPr>
                <w:rFonts w:hint="default" w:ascii="Times New Roman" w:hAnsi="Times New Roman" w:eastAsia="宋体" w:cs="Times New Roman"/>
                <w:color w:val="auto"/>
                <w:szCs w:val="21"/>
              </w:rPr>
              <w:t>面积为</w:t>
            </w:r>
            <w:r>
              <w:rPr>
                <w:rFonts w:hint="eastAsia" w:cs="Times New Roman"/>
                <w:color w:val="auto"/>
                <w:szCs w:val="21"/>
                <w:lang w:val="en-US" w:eastAsia="zh-CN"/>
              </w:rPr>
              <w:t>2</w:t>
            </w:r>
            <w:r>
              <w:rPr>
                <w:rFonts w:hint="default" w:ascii="Times New Roman" w:hAnsi="Times New Roman" w:cs="Times New Roman"/>
                <w:color w:val="auto"/>
                <w:szCs w:val="21"/>
                <w:lang w:val="en-US" w:eastAsia="zh-CN"/>
              </w:rPr>
              <w:t>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。一般固体废物满足</w:t>
            </w:r>
            <w:r>
              <w:rPr>
                <w:rFonts w:hint="default" w:ascii="Times New Roman" w:hAnsi="Times New Roman" w:eastAsia="宋体" w:cs="Times New Roman"/>
                <w:color w:val="auto"/>
                <w:szCs w:val="21"/>
                <w:lang w:eastAsia="zh-CN"/>
              </w:rPr>
              <w:t>《一般工业固体废物贮存和填埋污染控制标准》（GB18599-2020）</w:t>
            </w:r>
            <w:r>
              <w:rPr>
                <w:rFonts w:hint="default" w:ascii="Times New Roman" w:hAnsi="Times New Roman" w:eastAsia="宋体" w:cs="Times New Roman"/>
                <w:color w:val="auto"/>
                <w:szCs w:val="21"/>
              </w:rPr>
              <w:t>；危险废物满足《危险废物贮存污染控制标准》（GB18597-20</w:t>
            </w:r>
            <w:r>
              <w:rPr>
                <w:rFonts w:hint="default" w:ascii="Times New Roman" w:hAnsi="Times New Roman" w:cs="Times New Roman"/>
                <w:color w:val="auto"/>
                <w:szCs w:val="21"/>
                <w:lang w:val="en-US" w:eastAsia="zh-CN"/>
              </w:rPr>
              <w:t>23</w:t>
            </w:r>
            <w:r>
              <w:rPr>
                <w:rFonts w:hint="default" w:ascii="Times New Roman" w:hAnsi="Times New Roman" w:eastAsia="宋体" w:cs="Times New Roman"/>
                <w:color w:val="auto"/>
                <w:szCs w:val="21"/>
              </w:rPr>
              <w:t>）中的相关规定</w:t>
            </w:r>
            <w:r>
              <w:rPr>
                <w:rFonts w:hint="default" w:ascii="Times New Roman" w:hAnsi="Times New Roman" w:eastAsia="宋体" w:cs="Times New Roman"/>
                <w:color w:val="auto"/>
                <w:szCs w:val="21"/>
                <w:lang w:eastAsia="zh-CN"/>
              </w:rPr>
              <w:t>，</w:t>
            </w:r>
            <w:r>
              <w:rPr>
                <w:rFonts w:hint="eastAsia" w:cs="Times New Roman"/>
                <w:color w:val="auto"/>
                <w:szCs w:val="21"/>
                <w:lang w:eastAsia="zh-CN"/>
              </w:rPr>
              <w:t>危废暂存库</w:t>
            </w:r>
            <w:r>
              <w:rPr>
                <w:rFonts w:hint="default" w:ascii="Times New Roman" w:hAnsi="Times New Roman" w:eastAsia="宋体" w:cs="Times New Roman"/>
                <w:color w:val="auto"/>
                <w:szCs w:val="21"/>
                <w:lang w:val="en-US" w:eastAsia="zh-CN"/>
              </w:rPr>
              <w:t>应具有防风、防雨、防渗漏功能，并粘贴标识牌，建设单位需建立档案制度，将危险废物的种类和数量记录在案。</w:t>
            </w:r>
          </w:p>
        </w:tc>
      </w:tr>
      <w:tr w14:paraId="40C3B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04" w:type="pct"/>
            <w:noWrap w:val="0"/>
            <w:vAlign w:val="center"/>
          </w:tcPr>
          <w:p w14:paraId="5AE7AD4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土壤及地下水污染防治措施</w:t>
            </w:r>
          </w:p>
        </w:tc>
        <w:tc>
          <w:tcPr>
            <w:tcW w:w="4395" w:type="pct"/>
            <w:gridSpan w:val="5"/>
            <w:noWrap w:val="0"/>
            <w:vAlign w:val="center"/>
          </w:tcPr>
          <w:p w14:paraId="6045156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both"/>
              <w:textAlignment w:val="auto"/>
              <w:rPr>
                <w:rFonts w:hint="eastAsia" w:ascii="Calibri" w:hAnsi="Calibri" w:eastAsia="宋体" w:cs="Times New Roman"/>
                <w:color w:val="auto"/>
                <w:szCs w:val="21"/>
                <w:lang w:eastAsia="zh-CN"/>
              </w:rPr>
            </w:pPr>
            <w:r>
              <w:rPr>
                <w:rFonts w:hint="eastAsia" w:ascii="Calibri" w:hAnsi="Calibri" w:eastAsia="宋体" w:cs="Times New Roman"/>
                <w:color w:val="auto"/>
                <w:szCs w:val="21"/>
                <w:lang w:val="en-US" w:eastAsia="zh-CN"/>
              </w:rPr>
              <w:t>①危废暂存</w:t>
            </w:r>
            <w:r>
              <w:rPr>
                <w:rFonts w:hint="eastAsia" w:ascii="Calibri" w:hAnsi="Calibri" w:cs="Times New Roman"/>
                <w:color w:val="auto"/>
                <w:szCs w:val="21"/>
                <w:lang w:val="en-US" w:eastAsia="zh-CN"/>
              </w:rPr>
              <w:t>库</w:t>
            </w:r>
            <w:r>
              <w:rPr>
                <w:rFonts w:hint="eastAsia" w:ascii="Calibri" w:hAnsi="Calibri" w:eastAsia="宋体" w:cs="Times New Roman"/>
                <w:color w:val="auto"/>
                <w:szCs w:val="21"/>
                <w:lang w:val="en-US" w:eastAsia="zh-CN"/>
              </w:rPr>
              <w:t>地面采用坚固、防渗、耐腐蚀的钢筋混凝土材料铺设，同时设置</w:t>
            </w:r>
            <w:r>
              <w:rPr>
                <w:rFonts w:hint="eastAsia" w:ascii="Calibri" w:hAnsi="Calibri" w:cs="Times New Roman"/>
                <w:color w:val="auto"/>
                <w:szCs w:val="21"/>
                <w:lang w:val="en-US" w:eastAsia="zh-CN"/>
              </w:rPr>
              <w:t>防渗漏</w:t>
            </w:r>
            <w:r>
              <w:rPr>
                <w:rFonts w:hint="eastAsia" w:ascii="Calibri" w:hAnsi="Calibri" w:eastAsia="宋体" w:cs="Times New Roman"/>
                <w:color w:val="auto"/>
                <w:szCs w:val="21"/>
                <w:lang w:val="en-US" w:eastAsia="zh-CN"/>
              </w:rPr>
              <w:t>托盘。</w:t>
            </w:r>
          </w:p>
          <w:p w14:paraId="088D151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both"/>
              <w:textAlignment w:val="auto"/>
              <w:rPr>
                <w:rFonts w:hint="eastAsia" w:ascii="Calibri" w:hAnsi="Calibri" w:eastAsia="宋体" w:cs="Times New Roman"/>
                <w:color w:val="auto"/>
                <w:szCs w:val="21"/>
                <w:lang w:eastAsia="zh-CN"/>
              </w:rPr>
            </w:pPr>
            <w:r>
              <w:rPr>
                <w:rFonts w:hint="eastAsia" w:ascii="Calibri" w:hAnsi="Calibri" w:eastAsia="宋体" w:cs="Times New Roman"/>
                <w:color w:val="auto"/>
                <w:szCs w:val="21"/>
                <w:lang w:val="en-US" w:eastAsia="zh-CN"/>
              </w:rPr>
              <w:t xml:space="preserve">②工作人员应加强场地的检修、加固，防止渗漏，对地下水、土壤造成污染。 </w:t>
            </w:r>
          </w:p>
          <w:p w14:paraId="0AF89D1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ascii="Times New Roman" w:hAnsi="Times New Roman" w:eastAsia="宋体" w:cs="Times New Roman"/>
                <w:color w:val="auto"/>
                <w:kern w:val="0"/>
                <w:szCs w:val="21"/>
                <w:highlight w:val="none"/>
              </w:rPr>
            </w:pPr>
            <w:r>
              <w:rPr>
                <w:rFonts w:hint="eastAsia" w:ascii="Calibri" w:hAnsi="Calibri" w:eastAsia="宋体" w:cs="Times New Roman"/>
                <w:color w:val="auto"/>
                <w:szCs w:val="21"/>
                <w:lang w:val="en-US" w:eastAsia="zh-CN"/>
              </w:rPr>
              <w:t>③采取分区防渗技术，</w:t>
            </w:r>
            <w:r>
              <w:rPr>
                <w:rFonts w:hint="eastAsia" w:cs="Times New Roman"/>
                <w:color w:val="auto"/>
                <w:sz w:val="21"/>
                <w:szCs w:val="21"/>
                <w:highlight w:val="none"/>
                <w:lang w:val="en-US" w:eastAsia="zh-CN"/>
              </w:rPr>
              <w:t>危废暂存库</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化学品库、注塑浇注区、拌料间</w:t>
            </w:r>
            <w:r>
              <w:rPr>
                <w:rFonts w:hint="eastAsia" w:ascii="Calibri" w:hAnsi="Calibri" w:eastAsia="宋体" w:cs="Times New Roman"/>
                <w:color w:val="auto"/>
                <w:szCs w:val="21"/>
                <w:lang w:val="en-US" w:eastAsia="zh-CN"/>
              </w:rPr>
              <w:t>划分为重点防渗区；</w:t>
            </w:r>
            <w:r>
              <w:rPr>
                <w:rFonts w:hint="eastAsia" w:cs="Times New Roman"/>
                <w:color w:val="auto"/>
                <w:sz w:val="21"/>
                <w:szCs w:val="21"/>
                <w:highlight w:val="none"/>
                <w:lang w:val="en-US" w:eastAsia="zh-CN"/>
              </w:rPr>
              <w:t>生产车间其他区域</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原料库和成品库</w:t>
            </w:r>
            <w:r>
              <w:rPr>
                <w:rFonts w:hint="eastAsia" w:ascii="Calibri" w:hAnsi="Calibri" w:eastAsia="宋体" w:cs="Times New Roman"/>
                <w:color w:val="auto"/>
                <w:szCs w:val="21"/>
                <w:lang w:val="en-US" w:eastAsia="zh-CN"/>
              </w:rPr>
              <w:t>划分为一般防渗区。</w:t>
            </w:r>
          </w:p>
        </w:tc>
      </w:tr>
      <w:tr w14:paraId="335A4C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04" w:type="pct"/>
            <w:noWrap w:val="0"/>
            <w:vAlign w:val="center"/>
          </w:tcPr>
          <w:p w14:paraId="49854F8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生态保护措施</w:t>
            </w:r>
          </w:p>
        </w:tc>
        <w:tc>
          <w:tcPr>
            <w:tcW w:w="4395" w:type="pct"/>
            <w:gridSpan w:val="5"/>
            <w:noWrap w:val="0"/>
            <w:vAlign w:val="center"/>
          </w:tcPr>
          <w:p w14:paraId="1244579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kern w:val="0"/>
                <w:szCs w:val="21"/>
                <w:highlight w:val="none"/>
              </w:rPr>
            </w:pPr>
            <w:r>
              <w:rPr>
                <w:rFonts w:hint="eastAsia" w:ascii="Times New Roman" w:hAnsi="Times New Roman"/>
                <w:color w:val="auto"/>
                <w:kern w:val="0"/>
                <w:szCs w:val="21"/>
              </w:rPr>
              <w:t>本项目</w:t>
            </w:r>
            <w:r>
              <w:rPr>
                <w:rFonts w:hint="eastAsia"/>
                <w:color w:val="auto"/>
                <w:kern w:val="0"/>
                <w:szCs w:val="21"/>
                <w:lang w:eastAsia="zh-CN"/>
              </w:rPr>
              <w:t>位于</w:t>
            </w:r>
            <w:r>
              <w:rPr>
                <w:rFonts w:hint="eastAsia" w:cs="Times New Roman"/>
                <w:b w:val="0"/>
                <w:bCs w:val="0"/>
                <w:color w:val="auto"/>
                <w:sz w:val="21"/>
                <w:szCs w:val="21"/>
                <w:lang w:val="en-US" w:eastAsia="zh-CN"/>
              </w:rPr>
              <w:t>五河县城南工业园区工业五路</w:t>
            </w:r>
            <w:r>
              <w:rPr>
                <w:rFonts w:hint="eastAsia" w:cs="Times New Roman"/>
                <w:b w:val="0"/>
                <w:bCs w:val="0"/>
                <w:color w:val="auto"/>
                <w:sz w:val="21"/>
                <w:szCs w:val="21"/>
                <w:highlight w:val="none"/>
                <w:lang w:val="en-US" w:eastAsia="zh-CN"/>
              </w:rPr>
              <w:t>中段</w:t>
            </w:r>
            <w:r>
              <w:rPr>
                <w:rFonts w:hint="eastAsia" w:cs="Times New Roman"/>
                <w:b w:val="0"/>
                <w:bCs w:val="0"/>
                <w:color w:val="auto"/>
                <w:sz w:val="21"/>
                <w:szCs w:val="21"/>
                <w:lang w:val="en-US" w:eastAsia="zh-CN"/>
              </w:rPr>
              <w:t>南侧</w:t>
            </w:r>
            <w:r>
              <w:rPr>
                <w:rFonts w:hint="eastAsia" w:ascii="Times New Roman" w:hAnsi="Times New Roman"/>
                <w:color w:val="auto"/>
                <w:kern w:val="0"/>
                <w:szCs w:val="21"/>
              </w:rPr>
              <w:t>，区域内无珍稀动、植物，无文物古迹保护对象，对区域内生态环境产生破坏和影响较小。在项目正式运营之后，项目内产生的各种污染物均得到有效处理和处置，不会对周边生态造成影响。</w:t>
            </w:r>
          </w:p>
        </w:tc>
      </w:tr>
      <w:tr w14:paraId="656C1C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04" w:type="pct"/>
            <w:noWrap w:val="0"/>
            <w:vAlign w:val="center"/>
          </w:tcPr>
          <w:p w14:paraId="3F5B802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spacing w:val="-8"/>
                <w:szCs w:val="21"/>
                <w:highlight w:val="none"/>
              </w:rPr>
            </w:pPr>
            <w:r>
              <w:rPr>
                <w:rFonts w:ascii="Times New Roman" w:hAnsi="宋体" w:eastAsia="宋体" w:cs="Times New Roman"/>
                <w:color w:val="auto"/>
                <w:spacing w:val="-8"/>
                <w:szCs w:val="21"/>
                <w:highlight w:val="none"/>
              </w:rPr>
              <w:t>环境风险</w:t>
            </w:r>
          </w:p>
          <w:p w14:paraId="17E0080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spacing w:val="-8"/>
                <w:szCs w:val="21"/>
                <w:highlight w:val="none"/>
              </w:rPr>
            </w:pPr>
            <w:r>
              <w:rPr>
                <w:rFonts w:ascii="Times New Roman" w:hAnsi="宋体" w:eastAsia="宋体" w:cs="Times New Roman"/>
                <w:color w:val="auto"/>
                <w:spacing w:val="-8"/>
                <w:szCs w:val="21"/>
                <w:highlight w:val="none"/>
              </w:rPr>
              <w:t>防范措施</w:t>
            </w:r>
          </w:p>
        </w:tc>
        <w:tc>
          <w:tcPr>
            <w:tcW w:w="4395" w:type="pct"/>
            <w:gridSpan w:val="5"/>
            <w:noWrap w:val="0"/>
            <w:vAlign w:val="center"/>
          </w:tcPr>
          <w:p w14:paraId="16BFFE1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left"/>
              <w:textAlignment w:val="auto"/>
              <w:rPr>
                <w:rFonts w:hint="eastAsia" w:ascii="Times New Roman" w:hAnsi="Times New Roman" w:eastAsia="宋体" w:cs="Times New Roman"/>
                <w:snapToGrid w:val="0"/>
                <w:color w:val="auto"/>
                <w:szCs w:val="21"/>
                <w:highlight w:val="none"/>
                <w:lang w:eastAsia="zh-CN"/>
              </w:rPr>
            </w:pPr>
            <w:r>
              <w:rPr>
                <w:rFonts w:ascii="Times New Roman" w:hAnsi="Times New Roman" w:eastAsia="宋体" w:cs="Times New Roman"/>
                <w:bCs/>
                <w:color w:val="auto"/>
                <w:kern w:val="0"/>
                <w:szCs w:val="21"/>
                <w:highlight w:val="none"/>
              </w:rPr>
              <w:t>（1）落实分区防渗措施；</w:t>
            </w:r>
            <w:r>
              <w:rPr>
                <w:rFonts w:hint="eastAsia" w:ascii="Times New Roman" w:hAnsi="Times New Roman" w:eastAsia="宋体" w:cs="Times New Roman"/>
                <w:bCs/>
                <w:color w:val="auto"/>
                <w:kern w:val="0"/>
                <w:szCs w:val="21"/>
                <w:highlight w:val="none"/>
              </w:rPr>
              <w:t>（</w:t>
            </w:r>
            <w:r>
              <w:rPr>
                <w:rFonts w:hint="eastAsia" w:ascii="Times New Roman" w:hAnsi="Times New Roman" w:eastAsia="宋体" w:cs="Times New Roman"/>
                <w:bCs/>
                <w:color w:val="auto"/>
                <w:kern w:val="0"/>
                <w:szCs w:val="21"/>
                <w:highlight w:val="none"/>
                <w:lang w:val="en-US" w:eastAsia="zh-CN"/>
              </w:rPr>
              <w:t>2</w:t>
            </w:r>
            <w:r>
              <w:rPr>
                <w:rFonts w:hint="eastAsia" w:ascii="Times New Roman" w:hAnsi="Times New Roman" w:eastAsia="宋体" w:cs="Times New Roman"/>
                <w:bCs/>
                <w:color w:val="auto"/>
                <w:kern w:val="0"/>
                <w:szCs w:val="21"/>
                <w:highlight w:val="none"/>
              </w:rPr>
              <w:t>）</w:t>
            </w:r>
            <w:r>
              <w:rPr>
                <w:rFonts w:ascii="Times New Roman" w:hAnsi="Times New Roman" w:eastAsia="宋体" w:cs="Times New Roman"/>
                <w:bCs/>
                <w:color w:val="auto"/>
                <w:kern w:val="0"/>
                <w:szCs w:val="21"/>
                <w:highlight w:val="none"/>
              </w:rPr>
              <w:t>废气事故排放环境风险防范措施</w:t>
            </w:r>
            <w:r>
              <w:rPr>
                <w:rFonts w:hint="eastAsia" w:ascii="Times New Roman" w:hAnsi="Times New Roman" w:eastAsia="宋体" w:cs="Times New Roman"/>
                <w:bCs/>
                <w:color w:val="auto"/>
                <w:kern w:val="0"/>
                <w:szCs w:val="21"/>
                <w:highlight w:val="none"/>
                <w:lang w:eastAsia="zh-CN"/>
              </w:rPr>
              <w:t>：</w:t>
            </w:r>
            <w:r>
              <w:rPr>
                <w:rFonts w:hint="eastAsia" w:ascii="Times New Roman" w:hAnsi="Times New Roman" w:eastAsia="宋体" w:cs="Times New Roman"/>
                <w:bCs/>
                <w:color w:val="auto"/>
                <w:kern w:val="0"/>
                <w:szCs w:val="21"/>
                <w:highlight w:val="none"/>
              </w:rPr>
              <w:t>①</w:t>
            </w:r>
            <w:r>
              <w:rPr>
                <w:rFonts w:ascii="Times New Roman" w:hAnsi="Times New Roman" w:eastAsia="宋体" w:cs="Times New Roman"/>
                <w:bCs/>
                <w:color w:val="auto"/>
                <w:kern w:val="0"/>
                <w:szCs w:val="21"/>
                <w:highlight w:val="none"/>
              </w:rPr>
              <w:t>当废气处理设施发生故障时，应立即停止生产，直至废气处理系统故障排除后才恢复生产。</w:t>
            </w:r>
            <w:r>
              <w:rPr>
                <w:rFonts w:hint="eastAsia" w:ascii="Times New Roman" w:hAnsi="Times New Roman" w:eastAsia="宋体" w:cs="Times New Roman"/>
                <w:bCs/>
                <w:color w:val="auto"/>
                <w:kern w:val="0"/>
                <w:szCs w:val="21"/>
                <w:highlight w:val="none"/>
              </w:rPr>
              <w:t>②</w:t>
            </w:r>
            <w:r>
              <w:rPr>
                <w:rFonts w:ascii="Times New Roman" w:hAnsi="Times New Roman" w:eastAsia="宋体" w:cs="Times New Roman"/>
                <w:bCs/>
                <w:color w:val="auto"/>
                <w:kern w:val="0"/>
                <w:szCs w:val="21"/>
                <w:highlight w:val="none"/>
              </w:rPr>
              <w:t>平时加强废气处理设施的维护保养，及时发现处理设备的隐患，并及时进行维修，确保废气处理系统正常运行。</w:t>
            </w:r>
            <w:r>
              <w:rPr>
                <w:rFonts w:hint="eastAsia" w:ascii="Times New Roman" w:hAnsi="Times New Roman" w:eastAsia="宋体" w:cs="Times New Roman"/>
                <w:bCs/>
                <w:color w:val="auto"/>
                <w:kern w:val="0"/>
                <w:szCs w:val="21"/>
                <w:highlight w:val="none"/>
              </w:rPr>
              <w:t>③</w:t>
            </w:r>
            <w:r>
              <w:rPr>
                <w:rFonts w:ascii="Times New Roman" w:hAnsi="Times New Roman" w:eastAsia="宋体" w:cs="Times New Roman"/>
                <w:bCs/>
                <w:color w:val="auto"/>
                <w:kern w:val="0"/>
                <w:szCs w:val="21"/>
                <w:highlight w:val="none"/>
              </w:rPr>
              <w:t>每年定期对设备、管道进行检修，检修时，检修人员需在残留气体经风机排尽吸收后，再进行检修，同时需佩戴个人防护用具。</w:t>
            </w:r>
            <w:r>
              <w:rPr>
                <w:rFonts w:hint="eastAsia" w:ascii="Times New Roman" w:hAnsi="Times New Roman" w:eastAsia="宋体" w:cs="Times New Roman"/>
                <w:bCs/>
                <w:color w:val="auto"/>
                <w:kern w:val="0"/>
                <w:szCs w:val="21"/>
                <w:highlight w:val="none"/>
              </w:rPr>
              <w:t>④</w:t>
            </w:r>
            <w:r>
              <w:rPr>
                <w:rFonts w:ascii="Times New Roman" w:hAnsi="Times New Roman" w:eastAsia="宋体" w:cs="Times New Roman"/>
                <w:bCs/>
                <w:color w:val="auto"/>
                <w:kern w:val="0"/>
                <w:szCs w:val="21"/>
                <w:highlight w:val="none"/>
              </w:rPr>
              <w:t>建立健全的环保机构，配置必要的监测仪器，对管理人员和技术人员进行岗位培训，对废气处理实行全过程跟踪控制。</w:t>
            </w:r>
            <w:r>
              <w:rPr>
                <w:rFonts w:hint="eastAsia" w:ascii="Times New Roman" w:hAnsi="Times New Roman" w:eastAsia="宋体" w:cs="Times New Roman"/>
                <w:bCs/>
                <w:color w:val="auto"/>
                <w:kern w:val="0"/>
                <w:szCs w:val="21"/>
                <w:highlight w:val="none"/>
              </w:rPr>
              <w:t>⑤</w:t>
            </w:r>
            <w:r>
              <w:rPr>
                <w:rFonts w:ascii="Times New Roman" w:hAnsi="Times New Roman" w:eastAsia="宋体" w:cs="Times New Roman"/>
                <w:bCs/>
                <w:color w:val="auto"/>
                <w:kern w:val="0"/>
                <w:szCs w:val="21"/>
                <w:highlight w:val="none"/>
              </w:rPr>
              <w:t>按相关要求做好泄漏物料的收集处理措施，一旦物料泄漏能做到及时响应，及时收集处理，减少暴露时间。</w:t>
            </w:r>
            <w:r>
              <w:rPr>
                <w:rFonts w:hint="eastAsia" w:ascii="Times New Roman" w:hAnsi="Times New Roman" w:eastAsia="宋体" w:cs="Times New Roman"/>
                <w:bCs/>
                <w:color w:val="auto"/>
                <w:kern w:val="0"/>
                <w:szCs w:val="21"/>
                <w:highlight w:val="none"/>
                <w:lang w:eastAsia="zh-CN"/>
              </w:rPr>
              <w:t>（</w:t>
            </w:r>
            <w:r>
              <w:rPr>
                <w:rFonts w:hint="eastAsia" w:ascii="Times New Roman" w:hAnsi="Times New Roman" w:eastAsia="宋体" w:cs="Times New Roman"/>
                <w:bCs/>
                <w:color w:val="auto"/>
                <w:kern w:val="0"/>
                <w:szCs w:val="21"/>
                <w:highlight w:val="none"/>
                <w:lang w:val="en-US" w:eastAsia="zh-CN"/>
              </w:rPr>
              <w:t>3</w:t>
            </w:r>
            <w:r>
              <w:rPr>
                <w:rFonts w:hint="eastAsia" w:ascii="Times New Roman" w:hAnsi="Times New Roman" w:eastAsia="宋体" w:cs="Times New Roman"/>
                <w:bCs/>
                <w:color w:val="auto"/>
                <w:kern w:val="0"/>
                <w:szCs w:val="21"/>
                <w:highlight w:val="none"/>
                <w:lang w:eastAsia="zh-CN"/>
              </w:rPr>
              <w:t>）企业制定风险事故应急预案。</w:t>
            </w:r>
          </w:p>
        </w:tc>
      </w:tr>
      <w:tr w14:paraId="25A3BA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0" w:hRule="atLeast"/>
          <w:jc w:val="center"/>
        </w:trPr>
        <w:tc>
          <w:tcPr>
            <w:tcW w:w="604" w:type="pct"/>
            <w:noWrap w:val="0"/>
            <w:vAlign w:val="center"/>
          </w:tcPr>
          <w:p w14:paraId="2C1B3D0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spacing w:val="-8"/>
                <w:szCs w:val="21"/>
                <w:highlight w:val="none"/>
              </w:rPr>
            </w:pPr>
            <w:r>
              <w:rPr>
                <w:rFonts w:ascii="Times New Roman" w:hAnsi="宋体" w:eastAsia="宋体" w:cs="Times New Roman"/>
                <w:color w:val="auto"/>
                <w:spacing w:val="-8"/>
                <w:szCs w:val="21"/>
                <w:highlight w:val="none"/>
              </w:rPr>
              <w:t>其他环境</w:t>
            </w:r>
          </w:p>
          <w:p w14:paraId="2EA7BFC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color w:val="auto"/>
                <w:spacing w:val="-8"/>
                <w:szCs w:val="21"/>
                <w:highlight w:val="none"/>
              </w:rPr>
            </w:pPr>
            <w:r>
              <w:rPr>
                <w:rFonts w:ascii="Times New Roman" w:hAnsi="宋体" w:eastAsia="宋体" w:cs="Times New Roman"/>
                <w:color w:val="auto"/>
                <w:spacing w:val="-8"/>
                <w:szCs w:val="21"/>
                <w:highlight w:val="none"/>
              </w:rPr>
              <w:t>管理要求</w:t>
            </w:r>
          </w:p>
        </w:tc>
        <w:tc>
          <w:tcPr>
            <w:tcW w:w="4395" w:type="pct"/>
            <w:gridSpan w:val="5"/>
            <w:noWrap w:val="0"/>
            <w:vAlign w:val="center"/>
          </w:tcPr>
          <w:p w14:paraId="647D2578">
            <w:pPr>
              <w:pStyle w:val="1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textAlignment w:val="auto"/>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①建立完善的环境管理制度，设立专门环境管理机构，建立完善的环境监测制度。</w:t>
            </w:r>
          </w:p>
          <w:p w14:paraId="467F64D9">
            <w:pPr>
              <w:pStyle w:val="1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textAlignment w:val="auto"/>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②按照环境监测计划对项目废气、废水、厂界噪声等定期进行监测。</w:t>
            </w:r>
          </w:p>
          <w:p w14:paraId="3E0800C3">
            <w:pPr>
              <w:pStyle w:val="1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textAlignment w:val="auto"/>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③废气排气筒预留监测口并设立相应标志牌。</w:t>
            </w:r>
          </w:p>
          <w:p w14:paraId="045B02B1">
            <w:pPr>
              <w:pStyle w:val="1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textAlignment w:val="auto"/>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④按照《固定源废气监测技术规范》（HJ/T 397-2007）要求设置采样口。</w:t>
            </w:r>
          </w:p>
          <w:p w14:paraId="4D6350C2">
            <w:pPr>
              <w:pStyle w:val="1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textAlignment w:val="auto"/>
              <w:rPr>
                <w:rFonts w:hint="default" w:ascii="Times New Roman" w:hAnsi="Times New Roman" w:eastAsia="宋体" w:cs="Times New Roman"/>
                <w:color w:val="auto"/>
                <w:szCs w:val="22"/>
                <w:lang w:eastAsia="zh-CN"/>
              </w:rPr>
            </w:pPr>
            <w:r>
              <w:rPr>
                <w:rFonts w:hint="default" w:ascii="Times New Roman" w:hAnsi="Times New Roman" w:eastAsia="宋体" w:cs="Times New Roman"/>
                <w:color w:val="auto"/>
                <w:szCs w:val="22"/>
                <w:lang w:eastAsia="zh-CN"/>
              </w:rPr>
              <w:t>⑤</w:t>
            </w:r>
            <w:r>
              <w:rPr>
                <w:rFonts w:hint="default" w:ascii="Times New Roman" w:hAnsi="Times New Roman" w:eastAsia="宋体" w:cs="Times New Roman"/>
                <w:color w:val="auto"/>
                <w:szCs w:val="22"/>
              </w:rPr>
              <w:t>按要求填</w:t>
            </w:r>
            <w:r>
              <w:rPr>
                <w:rFonts w:hint="eastAsia" w:cs="Times New Roman"/>
                <w:color w:val="auto"/>
                <w:szCs w:val="22"/>
                <w:lang w:val="en-US" w:eastAsia="zh-CN"/>
              </w:rPr>
              <w:t>报</w:t>
            </w:r>
            <w:r>
              <w:rPr>
                <w:rFonts w:hint="default" w:ascii="Times New Roman" w:hAnsi="Times New Roman" w:eastAsia="宋体" w:cs="Times New Roman"/>
                <w:color w:val="auto"/>
                <w:szCs w:val="22"/>
              </w:rPr>
              <w:t>排污许可</w:t>
            </w:r>
            <w:r>
              <w:rPr>
                <w:rFonts w:hint="eastAsia" w:cs="Times New Roman"/>
                <w:color w:val="auto"/>
                <w:szCs w:val="22"/>
                <w:lang w:val="en-US" w:eastAsia="zh-CN"/>
              </w:rPr>
              <w:t>登记表</w:t>
            </w:r>
            <w:r>
              <w:rPr>
                <w:rFonts w:hint="default" w:ascii="Times New Roman" w:hAnsi="Times New Roman" w:eastAsia="宋体" w:cs="Times New Roman"/>
                <w:color w:val="auto"/>
                <w:szCs w:val="22"/>
                <w:lang w:eastAsia="zh-CN"/>
              </w:rPr>
              <w:t>。</w:t>
            </w:r>
          </w:p>
          <w:p w14:paraId="259C5729">
            <w:pPr>
              <w:pStyle w:val="1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textAlignment w:val="auto"/>
              <w:rPr>
                <w:rFonts w:ascii="Times New Roman" w:hAnsi="Times New Roman" w:eastAsia="宋体" w:cs="Times New Roman"/>
                <w:color w:val="auto"/>
                <w:kern w:val="0"/>
                <w:szCs w:val="21"/>
                <w:highlight w:val="none"/>
              </w:rPr>
            </w:pPr>
            <w:r>
              <w:rPr>
                <w:rFonts w:hint="eastAsia" w:cs="Times New Roman"/>
                <w:color w:val="auto"/>
                <w:szCs w:val="22"/>
                <w:lang w:val="en-US" w:eastAsia="zh-CN"/>
              </w:rPr>
              <w:t>⑥</w:t>
            </w:r>
            <w:r>
              <w:rPr>
                <w:rFonts w:hint="default" w:ascii="Times New Roman" w:hAnsi="Times New Roman" w:eastAsia="宋体" w:cs="Times New Roman"/>
                <w:color w:val="auto"/>
                <w:szCs w:val="22"/>
                <w:lang w:val="en-US" w:eastAsia="zh-CN"/>
              </w:rPr>
              <w:t>项目竣工后，建设单位应当依照国家有关法律法规、建设项目竣工环境保护验收技术规范、建设项目环境影响报告表和审批决定等要求，如实查验、监测、记录建设项目环境保护设施的建设和调试情况，同时还应如实记载其他环境保护对策措施“三同时”落实情况，编制竣工环境保护验收报告。</w:t>
            </w:r>
          </w:p>
        </w:tc>
      </w:tr>
    </w:tbl>
    <w:p w14:paraId="6F0C274A">
      <w:pPr>
        <w:pStyle w:val="36"/>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outlineLvl w:val="0"/>
        <w:rPr>
          <w:rFonts w:ascii="Times New Roman"/>
          <w:b/>
          <w:snapToGrid w:val="0"/>
          <w:color w:val="auto"/>
          <w:sz w:val="30"/>
          <w:szCs w:val="30"/>
        </w:rPr>
      </w:pPr>
      <w:r>
        <w:rPr>
          <w:rFonts w:hint="eastAsia" w:ascii="Times New Roman"/>
          <w:b/>
          <w:snapToGrid w:val="0"/>
          <w:color w:val="auto"/>
          <w:sz w:val="30"/>
          <w:szCs w:val="30"/>
        </w:rPr>
        <w:br w:type="page"/>
      </w:r>
      <w:bookmarkStart w:id="19" w:name="_Toc15822"/>
      <w:r>
        <w:rPr>
          <w:rFonts w:hint="eastAsia" w:ascii="黑体" w:hAnsi="黑体" w:eastAsia="黑体" w:cs="Times New Roman"/>
          <w:snapToGrid w:val="0"/>
          <w:color w:val="auto"/>
          <w:kern w:val="0"/>
          <w:sz w:val="30"/>
          <w:szCs w:val="30"/>
          <w:highlight w:val="none"/>
          <w:lang w:val="en-US" w:eastAsia="zh-CN" w:bidi="ar-SA"/>
        </w:rPr>
        <w:t>六、结论</w:t>
      </w:r>
      <w:bookmarkEnd w:id="19"/>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6C994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11B51C1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64" w:firstLineChars="200"/>
              <w:jc w:val="left"/>
              <w:textAlignment w:val="auto"/>
              <w:rPr>
                <w:rFonts w:hint="default" w:ascii="Times New Roman" w:hAnsi="Times New Roman" w:eastAsia="宋体" w:cs="Times New Roman"/>
                <w:color w:val="auto"/>
                <w:spacing w:val="-4"/>
                <w:sz w:val="24"/>
                <w:szCs w:val="24"/>
                <w:lang w:val="en-US" w:eastAsia="zh-CN"/>
              </w:rPr>
            </w:pPr>
          </w:p>
          <w:p w14:paraId="1448D75D">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64" w:firstLineChars="200"/>
              <w:jc w:val="left"/>
              <w:textAlignment w:val="auto"/>
              <w:rPr>
                <w:rFonts w:hint="default" w:ascii="Times New Roman" w:hAnsi="Times New Roman" w:eastAsia="宋体" w:cs="Times New Roman"/>
                <w:color w:val="auto"/>
                <w:spacing w:val="-4"/>
                <w:sz w:val="24"/>
                <w:szCs w:val="24"/>
                <w:lang w:val="en-US" w:eastAsia="zh-CN"/>
              </w:rPr>
            </w:pPr>
          </w:p>
          <w:p w14:paraId="20D3C847">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64" w:firstLineChars="200"/>
              <w:jc w:val="left"/>
              <w:textAlignment w:val="auto"/>
              <w:rPr>
                <w:rFonts w:hint="default" w:ascii="Times New Roman" w:hAnsi="Times New Roman" w:eastAsia="宋体" w:cs="Times New Roman"/>
                <w:color w:val="auto"/>
                <w:spacing w:val="-4"/>
                <w:sz w:val="24"/>
                <w:szCs w:val="24"/>
                <w:lang w:val="en-US" w:eastAsia="zh-CN"/>
              </w:rPr>
            </w:pPr>
          </w:p>
          <w:p w14:paraId="7027A7D4">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64" w:firstLineChars="200"/>
              <w:jc w:val="left"/>
              <w:textAlignment w:val="auto"/>
              <w:rPr>
                <w:rFonts w:hint="default" w:ascii="Times New Roman" w:hAnsi="Times New Roman" w:eastAsia="宋体" w:cs="Times New Roman"/>
                <w:color w:val="auto"/>
                <w:spacing w:val="-4"/>
                <w:sz w:val="24"/>
                <w:szCs w:val="24"/>
                <w:lang w:val="en-US" w:eastAsia="zh-CN"/>
              </w:rPr>
            </w:pPr>
          </w:p>
          <w:p w14:paraId="31ECAB00">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64" w:firstLineChars="200"/>
              <w:jc w:val="left"/>
              <w:textAlignment w:val="auto"/>
              <w:rPr>
                <w:rFonts w:hint="default" w:ascii="Times New Roman" w:hAnsi="Times New Roman" w:eastAsia="宋体" w:cs="Times New Roman"/>
                <w:color w:val="auto"/>
                <w:spacing w:val="-4"/>
                <w:sz w:val="24"/>
                <w:szCs w:val="24"/>
                <w:lang w:val="en-US" w:eastAsia="zh-CN"/>
              </w:rPr>
            </w:pPr>
          </w:p>
          <w:p w14:paraId="2E2671E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64" w:firstLineChars="200"/>
              <w:jc w:val="left"/>
              <w:textAlignment w:val="auto"/>
              <w:rPr>
                <w:rFonts w:hint="default" w:ascii="Times New Roman" w:hAnsi="Times New Roman" w:eastAsia="宋体" w:cs="Times New Roman"/>
                <w:color w:val="auto"/>
                <w:spacing w:val="-4"/>
                <w:sz w:val="24"/>
                <w:szCs w:val="24"/>
                <w:lang w:val="en-US" w:eastAsia="zh-CN"/>
              </w:rPr>
            </w:pPr>
          </w:p>
          <w:p w14:paraId="61774F2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64" w:firstLineChars="200"/>
              <w:jc w:val="left"/>
              <w:textAlignment w:val="auto"/>
              <w:rPr>
                <w:rFonts w:hint="eastAsia" w:ascii="宋体" w:hAnsi="宋体" w:eastAsia="宋体" w:cs="宋体"/>
                <w:color w:val="auto"/>
                <w:kern w:val="0"/>
                <w:sz w:val="24"/>
                <w:szCs w:val="24"/>
              </w:rPr>
            </w:pPr>
            <w:r>
              <w:rPr>
                <w:rFonts w:hint="eastAsia" w:ascii="Times New Roman" w:hAnsi="Times New Roman" w:eastAsia="宋体" w:cs="Times New Roman"/>
                <w:color w:val="auto"/>
                <w:spacing w:val="-4"/>
                <w:sz w:val="24"/>
                <w:szCs w:val="24"/>
                <w:lang w:val="en-US" w:eastAsia="zh-CN"/>
              </w:rPr>
              <w:t>蚌埠称心服饰</w:t>
            </w:r>
            <w:r>
              <w:rPr>
                <w:rFonts w:hint="default" w:ascii="Times New Roman" w:hAnsi="Times New Roman" w:eastAsia="宋体" w:cs="Times New Roman"/>
                <w:color w:val="auto"/>
                <w:spacing w:val="-4"/>
                <w:sz w:val="24"/>
                <w:szCs w:val="24"/>
                <w:lang w:val="en-US" w:eastAsia="zh-CN"/>
              </w:rPr>
              <w:t>有限公司</w:t>
            </w:r>
            <w:r>
              <w:rPr>
                <w:rFonts w:hint="eastAsia" w:ascii="Times New Roman" w:hAnsi="Times New Roman" w:eastAsia="宋体" w:cs="Times New Roman"/>
                <w:color w:val="auto"/>
                <w:spacing w:val="-4"/>
                <w:sz w:val="24"/>
                <w:szCs w:val="24"/>
                <w:lang w:val="en-US" w:eastAsia="zh-CN"/>
              </w:rPr>
              <w:t>防静电无尘鞋150万双、防静电无尘服150万套、棉服羽绒服50万套项目的实施符合国家产业政策、当地规划以及相关法律法规要求，只要建设单位认真落实本报告提出的各项合理可行的污染防治措施，切实做到“三同时”，加强环境管理，做好环境污染防治工作，项目营运过程中各污染物均能达标排放，可满足当地环</w:t>
            </w:r>
            <w:r>
              <w:rPr>
                <w:rFonts w:ascii="Calibri" w:hAnsi="Calibri" w:eastAsia="宋体" w:cs="Times New Roman"/>
                <w:color w:val="auto"/>
                <w:sz w:val="24"/>
                <w:szCs w:val="22"/>
              </w:rPr>
              <w:t>境质量要求，对区域环境造成影响较小。因此，从环境影响角度看，该项</w:t>
            </w:r>
            <w:r>
              <w:rPr>
                <w:rFonts w:hint="eastAsia" w:ascii="宋体" w:hAnsi="Calibri" w:eastAsia="宋体" w:cs="宋体"/>
                <w:color w:val="auto"/>
                <w:sz w:val="24"/>
                <w:szCs w:val="22"/>
              </w:rPr>
              <w:t>目是可行的。</w:t>
            </w:r>
          </w:p>
        </w:tc>
      </w:tr>
    </w:tbl>
    <w:p w14:paraId="1BEEDB0C">
      <w:pPr>
        <w:spacing w:line="480" w:lineRule="auto"/>
        <w:outlineLvl w:val="9"/>
        <w:rPr>
          <w:rFonts w:hint="eastAsia"/>
          <w:color w:val="auto"/>
          <w:sz w:val="24"/>
        </w:rPr>
      </w:pPr>
    </w:p>
    <w:p w14:paraId="4957897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rPr>
        <w:sectPr>
          <w:pgSz w:w="11906" w:h="16838"/>
          <w:pgMar w:top="1417" w:right="1417" w:bottom="1417" w:left="1531"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55FA6303">
      <w:pPr>
        <w:pStyle w:val="36"/>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outlineLvl w:val="0"/>
        <w:rPr>
          <w:rFonts w:hint="eastAsia" w:ascii="黑体" w:hAnsi="黑体" w:eastAsia="黑体" w:cs="Times New Roman"/>
          <w:snapToGrid w:val="0"/>
          <w:color w:val="auto"/>
          <w:kern w:val="0"/>
          <w:sz w:val="30"/>
          <w:szCs w:val="30"/>
          <w:highlight w:val="none"/>
          <w:lang w:val="en-US" w:eastAsia="zh-CN" w:bidi="ar-SA"/>
        </w:rPr>
      </w:pPr>
      <w:bookmarkStart w:id="20" w:name="_Toc2025"/>
      <w:r>
        <w:rPr>
          <w:rFonts w:hint="eastAsia" w:ascii="黑体" w:hAnsi="黑体" w:eastAsia="黑体" w:cs="Times New Roman"/>
          <w:snapToGrid w:val="0"/>
          <w:color w:val="auto"/>
          <w:kern w:val="0"/>
          <w:sz w:val="30"/>
          <w:szCs w:val="30"/>
          <w:highlight w:val="none"/>
          <w:lang w:val="en-US" w:eastAsia="zh-CN" w:bidi="ar-SA"/>
        </w:rPr>
        <w:t>建设项目污染物排放量汇总表</w:t>
      </w:r>
      <w:bookmarkEnd w:id="20"/>
    </w:p>
    <w:tbl>
      <w:tblPr>
        <w:tblStyle w:val="3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1429"/>
        <w:gridCol w:w="1717"/>
        <w:gridCol w:w="1287"/>
        <w:gridCol w:w="1717"/>
        <w:gridCol w:w="1574"/>
        <w:gridCol w:w="1778"/>
        <w:gridCol w:w="1647"/>
        <w:gridCol w:w="1163"/>
      </w:tblGrid>
      <w:tr w14:paraId="0D87DC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dxa"/>
            <w:tcBorders>
              <w:tl2br w:val="single" w:color="auto" w:sz="4" w:space="0"/>
            </w:tcBorders>
            <w:noWrap w:val="0"/>
            <w:tcMar>
              <w:left w:w="28" w:type="dxa"/>
              <w:right w:w="28" w:type="dxa"/>
            </w:tcMar>
            <w:vAlign w:val="center"/>
          </w:tcPr>
          <w:p w14:paraId="43E33BE1">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right"/>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项目</w:t>
            </w:r>
          </w:p>
          <w:p w14:paraId="189F42D4">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分类</w:t>
            </w:r>
          </w:p>
        </w:tc>
        <w:tc>
          <w:tcPr>
            <w:tcW w:w="1429" w:type="dxa"/>
            <w:noWrap w:val="0"/>
            <w:tcMar>
              <w:left w:w="28" w:type="dxa"/>
              <w:right w:w="28" w:type="dxa"/>
            </w:tcMar>
            <w:vAlign w:val="center"/>
          </w:tcPr>
          <w:p w14:paraId="363E97AB">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污染物名称</w:t>
            </w:r>
          </w:p>
        </w:tc>
        <w:tc>
          <w:tcPr>
            <w:tcW w:w="1717" w:type="dxa"/>
            <w:noWrap w:val="0"/>
            <w:tcMar>
              <w:left w:w="28" w:type="dxa"/>
              <w:right w:w="28" w:type="dxa"/>
            </w:tcMar>
            <w:vAlign w:val="center"/>
          </w:tcPr>
          <w:p w14:paraId="65560B40">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现有工程</w:t>
            </w:r>
          </w:p>
          <w:p w14:paraId="06CC18CA">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1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sz w:val="21"/>
                <w:szCs w:val="21"/>
              </w:rPr>
              <w:t>①</w:t>
            </w:r>
            <w:r>
              <w:rPr>
                <w:rFonts w:hint="default" w:ascii="Times New Roman" w:hAnsi="Times New Roman" w:eastAsia="宋体" w:cs="Times New Roman"/>
                <w:b/>
                <w:bCs/>
                <w:snapToGrid w:val="0"/>
                <w:color w:val="auto"/>
                <w:spacing w:val="-6"/>
                <w:kern w:val="21"/>
                <w:sz w:val="21"/>
                <w:szCs w:val="21"/>
              </w:rPr>
              <w:fldChar w:fldCharType="end"/>
            </w:r>
          </w:p>
        </w:tc>
        <w:tc>
          <w:tcPr>
            <w:tcW w:w="1287" w:type="dxa"/>
            <w:noWrap w:val="0"/>
            <w:tcMar>
              <w:left w:w="28" w:type="dxa"/>
              <w:right w:w="28" w:type="dxa"/>
            </w:tcMar>
            <w:vAlign w:val="center"/>
          </w:tcPr>
          <w:p w14:paraId="45A00098">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现有工程</w:t>
            </w:r>
          </w:p>
          <w:p w14:paraId="6DE43117">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许可排放量</w:t>
            </w:r>
          </w:p>
          <w:p w14:paraId="0502CF08">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2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snapToGrid w:val="0"/>
                <w:color w:val="auto"/>
                <w:spacing w:val="-6"/>
                <w:kern w:val="21"/>
                <w:sz w:val="21"/>
                <w:szCs w:val="21"/>
              </w:rPr>
              <w:t>②</w:t>
            </w:r>
            <w:r>
              <w:rPr>
                <w:rFonts w:hint="default" w:ascii="Times New Roman" w:hAnsi="Times New Roman" w:eastAsia="宋体" w:cs="Times New Roman"/>
                <w:b/>
                <w:bCs/>
                <w:snapToGrid w:val="0"/>
                <w:color w:val="auto"/>
                <w:spacing w:val="-6"/>
                <w:kern w:val="21"/>
                <w:sz w:val="21"/>
                <w:szCs w:val="21"/>
              </w:rPr>
              <w:fldChar w:fldCharType="end"/>
            </w:r>
          </w:p>
        </w:tc>
        <w:tc>
          <w:tcPr>
            <w:tcW w:w="1717" w:type="dxa"/>
            <w:noWrap w:val="0"/>
            <w:tcMar>
              <w:left w:w="28" w:type="dxa"/>
              <w:right w:w="28" w:type="dxa"/>
            </w:tcMar>
            <w:vAlign w:val="center"/>
          </w:tcPr>
          <w:p w14:paraId="4B8B3B00">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在建工程</w:t>
            </w:r>
          </w:p>
          <w:p w14:paraId="5167133E">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3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sz w:val="21"/>
                <w:szCs w:val="21"/>
              </w:rPr>
              <w:t>③</w:t>
            </w:r>
            <w:r>
              <w:rPr>
                <w:rFonts w:hint="default" w:ascii="Times New Roman" w:hAnsi="Times New Roman" w:eastAsia="宋体" w:cs="Times New Roman"/>
                <w:b/>
                <w:bCs/>
                <w:snapToGrid w:val="0"/>
                <w:color w:val="auto"/>
                <w:spacing w:val="-6"/>
                <w:kern w:val="21"/>
                <w:sz w:val="21"/>
                <w:szCs w:val="21"/>
              </w:rPr>
              <w:fldChar w:fldCharType="end"/>
            </w:r>
          </w:p>
        </w:tc>
        <w:tc>
          <w:tcPr>
            <w:tcW w:w="1574" w:type="dxa"/>
            <w:noWrap w:val="0"/>
            <w:tcMar>
              <w:left w:w="28" w:type="dxa"/>
              <w:right w:w="28" w:type="dxa"/>
            </w:tcMar>
            <w:vAlign w:val="center"/>
          </w:tcPr>
          <w:p w14:paraId="014FA9D6">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本项目</w:t>
            </w:r>
          </w:p>
          <w:p w14:paraId="28391ABC">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4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sz w:val="21"/>
                <w:szCs w:val="21"/>
              </w:rPr>
              <w:t>④</w:t>
            </w:r>
            <w:r>
              <w:rPr>
                <w:rFonts w:hint="default" w:ascii="Times New Roman" w:hAnsi="Times New Roman" w:eastAsia="宋体" w:cs="Times New Roman"/>
                <w:b/>
                <w:bCs/>
                <w:snapToGrid w:val="0"/>
                <w:color w:val="auto"/>
                <w:spacing w:val="-6"/>
                <w:kern w:val="21"/>
                <w:sz w:val="21"/>
                <w:szCs w:val="21"/>
              </w:rPr>
              <w:fldChar w:fldCharType="end"/>
            </w:r>
          </w:p>
        </w:tc>
        <w:tc>
          <w:tcPr>
            <w:tcW w:w="1778" w:type="dxa"/>
            <w:noWrap w:val="0"/>
            <w:tcMar>
              <w:left w:w="28" w:type="dxa"/>
              <w:right w:w="28" w:type="dxa"/>
            </w:tcMar>
            <w:vAlign w:val="center"/>
          </w:tcPr>
          <w:p w14:paraId="571B48E3">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以新带老削减量</w:t>
            </w:r>
          </w:p>
          <w:p w14:paraId="65BD6A91">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（新建项目不填）</w:t>
            </w:r>
            <w:r>
              <w:rPr>
                <w:rFonts w:hint="default" w:ascii="Times New Roman" w:hAnsi="Times New Roman" w:eastAsia="宋体" w:cs="Times New Roman"/>
                <w:b/>
                <w:bCs/>
                <w:snapToGrid w:val="0"/>
                <w:color w:val="auto"/>
                <w:spacing w:val="-16"/>
                <w:kern w:val="21"/>
                <w:sz w:val="21"/>
                <w:szCs w:val="21"/>
              </w:rPr>
              <w:fldChar w:fldCharType="begin"/>
            </w:r>
            <w:r>
              <w:rPr>
                <w:rFonts w:hint="default" w:ascii="Times New Roman" w:hAnsi="Times New Roman" w:eastAsia="宋体" w:cs="Times New Roman"/>
                <w:b/>
                <w:bCs/>
                <w:snapToGrid w:val="0"/>
                <w:color w:val="auto"/>
                <w:spacing w:val="-16"/>
                <w:kern w:val="21"/>
                <w:sz w:val="21"/>
                <w:szCs w:val="21"/>
              </w:rPr>
              <w:instrText xml:space="preserve"> = 5 \* GB3 \* MERGEFORMAT </w:instrText>
            </w:r>
            <w:r>
              <w:rPr>
                <w:rFonts w:hint="default" w:ascii="Times New Roman" w:hAnsi="Times New Roman" w:eastAsia="宋体" w:cs="Times New Roman"/>
                <w:b/>
                <w:bCs/>
                <w:snapToGrid w:val="0"/>
                <w:color w:val="auto"/>
                <w:spacing w:val="-16"/>
                <w:kern w:val="21"/>
                <w:sz w:val="21"/>
                <w:szCs w:val="21"/>
              </w:rPr>
              <w:fldChar w:fldCharType="separate"/>
            </w:r>
            <w:r>
              <w:rPr>
                <w:rFonts w:hint="default" w:ascii="Times New Roman" w:hAnsi="Times New Roman" w:eastAsia="宋体" w:cs="Times New Roman"/>
                <w:b/>
                <w:bCs/>
                <w:color w:val="auto"/>
                <w:sz w:val="21"/>
                <w:szCs w:val="21"/>
              </w:rPr>
              <w:t>⑤</w:t>
            </w:r>
            <w:r>
              <w:rPr>
                <w:rFonts w:hint="default" w:ascii="Times New Roman" w:hAnsi="Times New Roman" w:eastAsia="宋体" w:cs="Times New Roman"/>
                <w:b/>
                <w:bCs/>
                <w:snapToGrid w:val="0"/>
                <w:color w:val="auto"/>
                <w:spacing w:val="-16"/>
                <w:kern w:val="21"/>
                <w:sz w:val="21"/>
                <w:szCs w:val="21"/>
              </w:rPr>
              <w:fldChar w:fldCharType="end"/>
            </w:r>
          </w:p>
        </w:tc>
        <w:tc>
          <w:tcPr>
            <w:tcW w:w="1647" w:type="dxa"/>
            <w:noWrap w:val="0"/>
            <w:tcMar>
              <w:left w:w="28" w:type="dxa"/>
              <w:right w:w="28" w:type="dxa"/>
            </w:tcMar>
            <w:vAlign w:val="center"/>
          </w:tcPr>
          <w:p w14:paraId="0B54CDAE">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本项目建成后</w:t>
            </w:r>
          </w:p>
          <w:p w14:paraId="5956DF90">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全厂排放量（固体废物产生量）</w:t>
            </w:r>
            <w:r>
              <w:rPr>
                <w:rFonts w:hint="default" w:ascii="Times New Roman" w:hAnsi="Times New Roman" w:eastAsia="宋体" w:cs="Times New Roman"/>
                <w:b/>
                <w:bCs/>
                <w:snapToGrid w:val="0"/>
                <w:color w:val="auto"/>
                <w:spacing w:val="-16"/>
                <w:kern w:val="21"/>
                <w:sz w:val="21"/>
                <w:szCs w:val="21"/>
              </w:rPr>
              <w:fldChar w:fldCharType="begin"/>
            </w:r>
            <w:r>
              <w:rPr>
                <w:rFonts w:hint="default" w:ascii="Times New Roman" w:hAnsi="Times New Roman" w:eastAsia="宋体" w:cs="Times New Roman"/>
                <w:b/>
                <w:bCs/>
                <w:snapToGrid w:val="0"/>
                <w:color w:val="auto"/>
                <w:spacing w:val="-16"/>
                <w:kern w:val="21"/>
                <w:sz w:val="21"/>
                <w:szCs w:val="21"/>
              </w:rPr>
              <w:instrText xml:space="preserve"> = 6 \* GB3 \* MERGEFORMAT </w:instrText>
            </w:r>
            <w:r>
              <w:rPr>
                <w:rFonts w:hint="default" w:ascii="Times New Roman" w:hAnsi="Times New Roman" w:eastAsia="宋体" w:cs="Times New Roman"/>
                <w:b/>
                <w:bCs/>
                <w:snapToGrid w:val="0"/>
                <w:color w:val="auto"/>
                <w:spacing w:val="-16"/>
                <w:kern w:val="21"/>
                <w:sz w:val="21"/>
                <w:szCs w:val="21"/>
              </w:rPr>
              <w:fldChar w:fldCharType="separate"/>
            </w:r>
            <w:r>
              <w:rPr>
                <w:rFonts w:hint="default" w:ascii="Times New Roman" w:hAnsi="Times New Roman" w:eastAsia="宋体" w:cs="Times New Roman"/>
                <w:b/>
                <w:bCs/>
                <w:color w:val="auto"/>
                <w:sz w:val="21"/>
                <w:szCs w:val="21"/>
              </w:rPr>
              <w:t>⑥</w:t>
            </w:r>
            <w:r>
              <w:rPr>
                <w:rFonts w:hint="default" w:ascii="Times New Roman" w:hAnsi="Times New Roman" w:eastAsia="宋体" w:cs="Times New Roman"/>
                <w:b/>
                <w:bCs/>
                <w:snapToGrid w:val="0"/>
                <w:color w:val="auto"/>
                <w:spacing w:val="-16"/>
                <w:kern w:val="21"/>
                <w:sz w:val="21"/>
                <w:szCs w:val="21"/>
              </w:rPr>
              <w:fldChar w:fldCharType="end"/>
            </w:r>
          </w:p>
        </w:tc>
        <w:tc>
          <w:tcPr>
            <w:tcW w:w="1163" w:type="dxa"/>
            <w:noWrap w:val="0"/>
            <w:tcMar>
              <w:left w:w="28" w:type="dxa"/>
              <w:right w:w="28" w:type="dxa"/>
            </w:tcMar>
            <w:vAlign w:val="center"/>
          </w:tcPr>
          <w:p w14:paraId="2A162B27">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变化量</w:t>
            </w:r>
          </w:p>
          <w:p w14:paraId="7358CF1D">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7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sz w:val="21"/>
                <w:szCs w:val="21"/>
              </w:rPr>
              <w:t>⑦</w:t>
            </w:r>
            <w:r>
              <w:rPr>
                <w:rFonts w:hint="default" w:ascii="Times New Roman" w:hAnsi="Times New Roman" w:eastAsia="宋体" w:cs="Times New Roman"/>
                <w:b/>
                <w:bCs/>
                <w:snapToGrid w:val="0"/>
                <w:color w:val="auto"/>
                <w:spacing w:val="-6"/>
                <w:kern w:val="21"/>
                <w:sz w:val="21"/>
                <w:szCs w:val="21"/>
              </w:rPr>
              <w:fldChar w:fldCharType="end"/>
            </w:r>
          </w:p>
        </w:tc>
      </w:tr>
      <w:tr w14:paraId="3360C4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03" w:type="dxa"/>
            <w:vMerge w:val="restart"/>
            <w:noWrap w:val="0"/>
            <w:vAlign w:val="center"/>
          </w:tcPr>
          <w:p w14:paraId="7AA39BEF">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废气</w:t>
            </w:r>
          </w:p>
        </w:tc>
        <w:tc>
          <w:tcPr>
            <w:tcW w:w="1429" w:type="dxa"/>
            <w:shd w:val="clear" w:color="auto" w:fill="auto"/>
            <w:noWrap w:val="0"/>
            <w:vAlign w:val="center"/>
          </w:tcPr>
          <w:p w14:paraId="444E388D">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颗粒物</w:t>
            </w:r>
          </w:p>
        </w:tc>
        <w:tc>
          <w:tcPr>
            <w:tcW w:w="1717" w:type="dxa"/>
            <w:noWrap w:val="0"/>
            <w:vAlign w:val="center"/>
          </w:tcPr>
          <w:p w14:paraId="31EFF498">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1287" w:type="dxa"/>
            <w:noWrap w:val="0"/>
            <w:vAlign w:val="center"/>
          </w:tcPr>
          <w:p w14:paraId="3F220AD8">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1717" w:type="dxa"/>
            <w:noWrap w:val="0"/>
            <w:vAlign w:val="center"/>
          </w:tcPr>
          <w:p w14:paraId="3FC43385">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1574" w:type="dxa"/>
            <w:noWrap w:val="0"/>
            <w:vAlign w:val="center"/>
          </w:tcPr>
          <w:p w14:paraId="2874C2FC">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b w:val="0"/>
                <w:bCs w:val="0"/>
                <w:snapToGrid w:val="0"/>
                <w:color w:val="auto"/>
                <w:kern w:val="0"/>
                <w:sz w:val="21"/>
                <w:szCs w:val="21"/>
                <w:highlight w:val="none"/>
                <w:lang w:val="en-US" w:eastAsia="zh-CN"/>
              </w:rPr>
              <w:t>0.273</w:t>
            </w:r>
            <w:r>
              <w:rPr>
                <w:rFonts w:hint="default" w:ascii="Times New Roman" w:hAnsi="Times New Roman" w:cs="Times New Roman"/>
                <w:b w:val="0"/>
                <w:bCs w:val="0"/>
                <w:snapToGrid w:val="0"/>
                <w:color w:val="auto"/>
                <w:kern w:val="0"/>
                <w:sz w:val="21"/>
                <w:szCs w:val="21"/>
                <w:highlight w:val="none"/>
                <w:lang w:val="en-US" w:eastAsia="zh-CN"/>
              </w:rPr>
              <w:t>t/a</w:t>
            </w:r>
          </w:p>
        </w:tc>
        <w:tc>
          <w:tcPr>
            <w:tcW w:w="1778" w:type="dxa"/>
            <w:noWrap w:val="0"/>
            <w:vAlign w:val="center"/>
          </w:tcPr>
          <w:p w14:paraId="1C6BC14A">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1647" w:type="dxa"/>
            <w:shd w:val="clear" w:color="auto" w:fill="auto"/>
            <w:noWrap w:val="0"/>
            <w:vAlign w:val="center"/>
          </w:tcPr>
          <w:p w14:paraId="3D3C9ED2">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b w:val="0"/>
                <w:bCs w:val="0"/>
                <w:snapToGrid w:val="0"/>
                <w:color w:val="auto"/>
                <w:kern w:val="0"/>
                <w:sz w:val="21"/>
                <w:szCs w:val="21"/>
                <w:highlight w:val="none"/>
                <w:lang w:val="en-US" w:eastAsia="zh-CN"/>
              </w:rPr>
              <w:t>0.273</w:t>
            </w:r>
            <w:r>
              <w:rPr>
                <w:rFonts w:hint="default" w:ascii="Times New Roman" w:hAnsi="Times New Roman" w:cs="Times New Roman"/>
                <w:b w:val="0"/>
                <w:bCs w:val="0"/>
                <w:snapToGrid w:val="0"/>
                <w:color w:val="auto"/>
                <w:kern w:val="0"/>
                <w:sz w:val="21"/>
                <w:szCs w:val="21"/>
                <w:highlight w:val="none"/>
                <w:lang w:val="en-US" w:eastAsia="zh-CN"/>
              </w:rPr>
              <w:t>t/a</w:t>
            </w:r>
          </w:p>
        </w:tc>
        <w:tc>
          <w:tcPr>
            <w:tcW w:w="1163" w:type="dxa"/>
            <w:shd w:val="clear" w:color="auto" w:fill="auto"/>
            <w:noWrap w:val="0"/>
            <w:vAlign w:val="center"/>
          </w:tcPr>
          <w:p w14:paraId="69B37222">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b w:val="0"/>
                <w:bCs w:val="0"/>
                <w:snapToGrid w:val="0"/>
                <w:color w:val="auto"/>
                <w:kern w:val="0"/>
                <w:sz w:val="21"/>
                <w:szCs w:val="21"/>
                <w:highlight w:val="none"/>
                <w:lang w:val="en-US" w:eastAsia="zh-CN"/>
              </w:rPr>
              <w:t>+</w:t>
            </w:r>
            <w:r>
              <w:rPr>
                <w:rFonts w:hint="eastAsia" w:cs="Times New Roman"/>
                <w:b w:val="0"/>
                <w:bCs w:val="0"/>
                <w:snapToGrid w:val="0"/>
                <w:color w:val="auto"/>
                <w:kern w:val="0"/>
                <w:sz w:val="21"/>
                <w:szCs w:val="21"/>
                <w:highlight w:val="none"/>
                <w:lang w:val="en-US" w:eastAsia="zh-CN"/>
              </w:rPr>
              <w:t>0.273</w:t>
            </w:r>
            <w:r>
              <w:rPr>
                <w:rFonts w:hint="default" w:ascii="Times New Roman" w:hAnsi="Times New Roman" w:cs="Times New Roman"/>
                <w:b w:val="0"/>
                <w:bCs w:val="0"/>
                <w:snapToGrid w:val="0"/>
                <w:color w:val="auto"/>
                <w:kern w:val="0"/>
                <w:sz w:val="21"/>
                <w:szCs w:val="21"/>
                <w:highlight w:val="none"/>
                <w:lang w:val="en-US" w:eastAsia="zh-CN"/>
              </w:rPr>
              <w:t>t/a</w:t>
            </w:r>
          </w:p>
        </w:tc>
      </w:tr>
      <w:tr w14:paraId="11FCD2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03" w:type="dxa"/>
            <w:vMerge w:val="continue"/>
            <w:noWrap w:val="0"/>
            <w:vAlign w:val="center"/>
          </w:tcPr>
          <w:p w14:paraId="76CE7DE0">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p>
        </w:tc>
        <w:tc>
          <w:tcPr>
            <w:tcW w:w="1429" w:type="dxa"/>
            <w:shd w:val="clear" w:color="auto" w:fill="auto"/>
            <w:noWrap w:val="0"/>
            <w:vAlign w:val="center"/>
          </w:tcPr>
          <w:p w14:paraId="5DEF0A84">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非甲烷总烃</w:t>
            </w:r>
          </w:p>
        </w:tc>
        <w:tc>
          <w:tcPr>
            <w:tcW w:w="1717" w:type="dxa"/>
            <w:noWrap w:val="0"/>
            <w:vAlign w:val="center"/>
          </w:tcPr>
          <w:p w14:paraId="1EE58DC8">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87" w:type="dxa"/>
            <w:noWrap w:val="0"/>
            <w:vAlign w:val="center"/>
          </w:tcPr>
          <w:p w14:paraId="3E73AC97">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17" w:type="dxa"/>
            <w:noWrap w:val="0"/>
            <w:vAlign w:val="center"/>
          </w:tcPr>
          <w:p w14:paraId="0AB82577">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4" w:type="dxa"/>
            <w:noWrap w:val="0"/>
            <w:vAlign w:val="center"/>
          </w:tcPr>
          <w:p w14:paraId="3679C353">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0.096</w:t>
            </w:r>
            <w:r>
              <w:rPr>
                <w:rFonts w:hint="default" w:ascii="Times New Roman" w:hAnsi="Times New Roman" w:cs="Times New Roman"/>
                <w:b w:val="0"/>
                <w:bCs w:val="0"/>
                <w:snapToGrid w:val="0"/>
                <w:color w:val="auto"/>
                <w:kern w:val="0"/>
                <w:sz w:val="21"/>
                <w:szCs w:val="21"/>
                <w:highlight w:val="none"/>
                <w:lang w:val="en-US" w:eastAsia="zh-CN"/>
              </w:rPr>
              <w:t>t/a</w:t>
            </w:r>
          </w:p>
        </w:tc>
        <w:tc>
          <w:tcPr>
            <w:tcW w:w="1778" w:type="dxa"/>
            <w:noWrap w:val="0"/>
            <w:vAlign w:val="center"/>
          </w:tcPr>
          <w:p w14:paraId="3D41A5B6">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47" w:type="dxa"/>
            <w:shd w:val="clear" w:color="auto" w:fill="auto"/>
            <w:noWrap w:val="0"/>
            <w:vAlign w:val="center"/>
          </w:tcPr>
          <w:p w14:paraId="4F654328">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eastAsia="宋体" w:cs="Times New Roman"/>
                <w:snapToGrid w:val="0"/>
                <w:color w:val="auto"/>
                <w:kern w:val="21"/>
                <w:sz w:val="21"/>
                <w:szCs w:val="21"/>
                <w:highlight w:val="none"/>
                <w:lang w:val="en-US" w:eastAsia="zh-CN"/>
              </w:rPr>
              <w:t>0.096</w:t>
            </w:r>
            <w:r>
              <w:rPr>
                <w:rFonts w:hint="default" w:ascii="Times New Roman" w:hAnsi="Times New Roman" w:cs="Times New Roman"/>
                <w:b w:val="0"/>
                <w:bCs w:val="0"/>
                <w:snapToGrid w:val="0"/>
                <w:color w:val="auto"/>
                <w:kern w:val="0"/>
                <w:sz w:val="21"/>
                <w:szCs w:val="21"/>
                <w:highlight w:val="none"/>
                <w:lang w:val="en-US" w:eastAsia="zh-CN"/>
              </w:rPr>
              <w:t>t/a</w:t>
            </w:r>
          </w:p>
        </w:tc>
        <w:tc>
          <w:tcPr>
            <w:tcW w:w="1163" w:type="dxa"/>
            <w:shd w:val="clear" w:color="auto" w:fill="auto"/>
            <w:noWrap w:val="0"/>
            <w:vAlign w:val="center"/>
          </w:tcPr>
          <w:p w14:paraId="3265D7BC">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b w:val="0"/>
                <w:bCs w:val="0"/>
                <w:snapToGrid w:val="0"/>
                <w:color w:val="auto"/>
                <w:kern w:val="0"/>
                <w:sz w:val="21"/>
                <w:szCs w:val="21"/>
                <w:highlight w:val="none"/>
                <w:lang w:val="en-US" w:eastAsia="zh-CN"/>
              </w:rPr>
              <w:t>+</w:t>
            </w:r>
            <w:r>
              <w:rPr>
                <w:rFonts w:hint="eastAsia" w:eastAsia="宋体" w:cs="Times New Roman"/>
                <w:snapToGrid w:val="0"/>
                <w:color w:val="auto"/>
                <w:kern w:val="21"/>
                <w:sz w:val="21"/>
                <w:szCs w:val="21"/>
                <w:highlight w:val="none"/>
                <w:lang w:val="en-US" w:eastAsia="zh-CN"/>
              </w:rPr>
              <w:t>0.096</w:t>
            </w:r>
            <w:r>
              <w:rPr>
                <w:rFonts w:hint="default" w:ascii="Times New Roman" w:hAnsi="Times New Roman" w:cs="Times New Roman"/>
                <w:b w:val="0"/>
                <w:bCs w:val="0"/>
                <w:snapToGrid w:val="0"/>
                <w:color w:val="auto"/>
                <w:kern w:val="0"/>
                <w:sz w:val="21"/>
                <w:szCs w:val="21"/>
                <w:highlight w:val="none"/>
                <w:lang w:val="en-US" w:eastAsia="zh-CN"/>
              </w:rPr>
              <w:t>t/a</w:t>
            </w:r>
          </w:p>
        </w:tc>
      </w:tr>
      <w:tr w14:paraId="22BF4E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03" w:type="dxa"/>
            <w:vMerge w:val="continue"/>
            <w:noWrap w:val="0"/>
            <w:vAlign w:val="center"/>
          </w:tcPr>
          <w:p w14:paraId="4385125E">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p>
        </w:tc>
        <w:tc>
          <w:tcPr>
            <w:tcW w:w="1429" w:type="dxa"/>
            <w:noWrap w:val="0"/>
            <w:vAlign w:val="center"/>
          </w:tcPr>
          <w:p w14:paraId="0B8CCC47">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氯乙烯</w:t>
            </w:r>
          </w:p>
        </w:tc>
        <w:tc>
          <w:tcPr>
            <w:tcW w:w="1717" w:type="dxa"/>
            <w:noWrap w:val="0"/>
            <w:vAlign w:val="center"/>
          </w:tcPr>
          <w:p w14:paraId="01F378EA">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1287" w:type="dxa"/>
            <w:noWrap w:val="0"/>
            <w:vAlign w:val="center"/>
          </w:tcPr>
          <w:p w14:paraId="39D42E1B">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1717" w:type="dxa"/>
            <w:noWrap w:val="0"/>
            <w:vAlign w:val="center"/>
          </w:tcPr>
          <w:p w14:paraId="577A9721">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1574" w:type="dxa"/>
            <w:noWrap w:val="0"/>
            <w:vAlign w:val="center"/>
          </w:tcPr>
          <w:p w14:paraId="684DB047">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cs="Times New Roman"/>
                <w:color w:val="auto"/>
                <w:kern w:val="0"/>
                <w:sz w:val="21"/>
                <w:szCs w:val="21"/>
                <w:lang w:val="en-US" w:eastAsia="zh-CN" w:bidi="ar"/>
              </w:rPr>
              <w:t>0.00</w:t>
            </w:r>
            <w:r>
              <w:rPr>
                <w:rFonts w:hint="eastAsia" w:cs="Times New Roman"/>
                <w:color w:val="auto"/>
                <w:kern w:val="0"/>
                <w:sz w:val="21"/>
                <w:szCs w:val="21"/>
                <w:lang w:val="en-US" w:eastAsia="zh-CN" w:bidi="ar"/>
              </w:rPr>
              <w:t>78</w:t>
            </w:r>
            <w:r>
              <w:rPr>
                <w:rFonts w:hint="default" w:ascii="Times New Roman" w:hAnsi="Times New Roman" w:cs="Times New Roman"/>
                <w:b w:val="0"/>
                <w:bCs w:val="0"/>
                <w:snapToGrid w:val="0"/>
                <w:color w:val="auto"/>
                <w:kern w:val="0"/>
                <w:sz w:val="21"/>
                <w:szCs w:val="21"/>
                <w:highlight w:val="none"/>
                <w:lang w:val="en-US" w:eastAsia="zh-CN"/>
              </w:rPr>
              <w:t>t/a</w:t>
            </w:r>
          </w:p>
        </w:tc>
        <w:tc>
          <w:tcPr>
            <w:tcW w:w="1778" w:type="dxa"/>
            <w:noWrap w:val="0"/>
            <w:vAlign w:val="center"/>
          </w:tcPr>
          <w:p w14:paraId="0F930887">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1647" w:type="dxa"/>
            <w:shd w:val="clear" w:color="auto" w:fill="auto"/>
            <w:noWrap w:val="0"/>
            <w:vAlign w:val="center"/>
          </w:tcPr>
          <w:p w14:paraId="42ED3E1E">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color w:val="auto"/>
                <w:kern w:val="0"/>
                <w:sz w:val="21"/>
                <w:szCs w:val="21"/>
                <w:lang w:val="en-US" w:eastAsia="zh-CN" w:bidi="ar"/>
              </w:rPr>
              <w:t>0.00</w:t>
            </w:r>
            <w:r>
              <w:rPr>
                <w:rFonts w:hint="eastAsia" w:cs="Times New Roman"/>
                <w:color w:val="auto"/>
                <w:kern w:val="0"/>
                <w:sz w:val="21"/>
                <w:szCs w:val="21"/>
                <w:lang w:val="en-US" w:eastAsia="zh-CN" w:bidi="ar"/>
              </w:rPr>
              <w:t>78</w:t>
            </w:r>
            <w:r>
              <w:rPr>
                <w:rFonts w:hint="default" w:ascii="Times New Roman" w:hAnsi="Times New Roman" w:cs="Times New Roman"/>
                <w:b w:val="0"/>
                <w:bCs w:val="0"/>
                <w:snapToGrid w:val="0"/>
                <w:color w:val="auto"/>
                <w:kern w:val="0"/>
                <w:sz w:val="21"/>
                <w:szCs w:val="21"/>
                <w:highlight w:val="none"/>
                <w:lang w:val="en-US" w:eastAsia="zh-CN"/>
              </w:rPr>
              <w:t>t/a</w:t>
            </w:r>
          </w:p>
        </w:tc>
        <w:tc>
          <w:tcPr>
            <w:tcW w:w="1163" w:type="dxa"/>
            <w:shd w:val="clear" w:color="auto" w:fill="auto"/>
            <w:noWrap w:val="0"/>
            <w:vAlign w:val="center"/>
          </w:tcPr>
          <w:p w14:paraId="1749CD20">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b w:val="0"/>
                <w:bCs w:val="0"/>
                <w:snapToGrid w:val="0"/>
                <w:color w:val="auto"/>
                <w:kern w:val="0"/>
                <w:sz w:val="21"/>
                <w:szCs w:val="21"/>
                <w:highlight w:val="none"/>
                <w:lang w:val="en-US" w:eastAsia="zh-CN"/>
              </w:rPr>
              <w:t>+</w:t>
            </w:r>
            <w:r>
              <w:rPr>
                <w:rFonts w:hint="eastAsia" w:ascii="Times New Roman" w:hAnsi="Times New Roman" w:cs="Times New Roman"/>
                <w:color w:val="auto"/>
                <w:kern w:val="0"/>
                <w:sz w:val="21"/>
                <w:szCs w:val="21"/>
                <w:lang w:val="en-US" w:eastAsia="zh-CN" w:bidi="ar"/>
              </w:rPr>
              <w:t>0.00</w:t>
            </w:r>
            <w:r>
              <w:rPr>
                <w:rFonts w:hint="eastAsia" w:cs="Times New Roman"/>
                <w:color w:val="auto"/>
                <w:kern w:val="0"/>
                <w:sz w:val="21"/>
                <w:szCs w:val="21"/>
                <w:lang w:val="en-US" w:eastAsia="zh-CN" w:bidi="ar"/>
              </w:rPr>
              <w:t>78</w:t>
            </w:r>
            <w:r>
              <w:rPr>
                <w:rFonts w:hint="default" w:ascii="Times New Roman" w:hAnsi="Times New Roman" w:cs="Times New Roman"/>
                <w:b w:val="0"/>
                <w:bCs w:val="0"/>
                <w:snapToGrid w:val="0"/>
                <w:color w:val="auto"/>
                <w:kern w:val="0"/>
                <w:sz w:val="21"/>
                <w:szCs w:val="21"/>
                <w:highlight w:val="none"/>
                <w:lang w:val="en-US" w:eastAsia="zh-CN"/>
              </w:rPr>
              <w:t>t/a</w:t>
            </w:r>
          </w:p>
        </w:tc>
      </w:tr>
      <w:tr w14:paraId="7DE22F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03" w:type="dxa"/>
            <w:vMerge w:val="continue"/>
            <w:noWrap w:val="0"/>
            <w:vAlign w:val="center"/>
          </w:tcPr>
          <w:p w14:paraId="243ABB74">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p>
        </w:tc>
        <w:tc>
          <w:tcPr>
            <w:tcW w:w="1429" w:type="dxa"/>
            <w:noWrap w:val="0"/>
            <w:vAlign w:val="center"/>
          </w:tcPr>
          <w:p w14:paraId="0AAA5ED9">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氯化氢</w:t>
            </w:r>
          </w:p>
        </w:tc>
        <w:tc>
          <w:tcPr>
            <w:tcW w:w="1717" w:type="dxa"/>
            <w:shd w:val="clear" w:color="auto" w:fill="auto"/>
            <w:noWrap w:val="0"/>
            <w:vAlign w:val="center"/>
          </w:tcPr>
          <w:p w14:paraId="071DA61D">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287" w:type="dxa"/>
            <w:shd w:val="clear" w:color="auto" w:fill="auto"/>
            <w:noWrap w:val="0"/>
            <w:vAlign w:val="center"/>
          </w:tcPr>
          <w:p w14:paraId="63D566D0">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717" w:type="dxa"/>
            <w:shd w:val="clear" w:color="auto" w:fill="auto"/>
            <w:noWrap w:val="0"/>
            <w:vAlign w:val="center"/>
          </w:tcPr>
          <w:p w14:paraId="0F017D0C">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574" w:type="dxa"/>
            <w:noWrap w:val="0"/>
            <w:vAlign w:val="center"/>
          </w:tcPr>
          <w:p w14:paraId="023EBC18">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0.00</w:t>
            </w:r>
            <w:r>
              <w:rPr>
                <w:rFonts w:hint="eastAsia" w:cs="Times New Roman"/>
                <w:color w:val="auto"/>
                <w:kern w:val="0"/>
                <w:sz w:val="21"/>
                <w:szCs w:val="21"/>
                <w:lang w:val="en-US" w:eastAsia="zh-CN" w:bidi="ar"/>
              </w:rPr>
              <w:t>64</w:t>
            </w:r>
            <w:r>
              <w:rPr>
                <w:rFonts w:hint="default" w:ascii="Times New Roman" w:hAnsi="Times New Roman" w:cs="Times New Roman"/>
                <w:b w:val="0"/>
                <w:bCs w:val="0"/>
                <w:snapToGrid w:val="0"/>
                <w:color w:val="auto"/>
                <w:kern w:val="0"/>
                <w:sz w:val="21"/>
                <w:szCs w:val="21"/>
                <w:highlight w:val="none"/>
                <w:lang w:val="en-US" w:eastAsia="zh-CN"/>
              </w:rPr>
              <w:t>t/a</w:t>
            </w:r>
          </w:p>
        </w:tc>
        <w:tc>
          <w:tcPr>
            <w:tcW w:w="1778" w:type="dxa"/>
            <w:noWrap w:val="0"/>
            <w:vAlign w:val="center"/>
          </w:tcPr>
          <w:p w14:paraId="75058EDC">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1647" w:type="dxa"/>
            <w:shd w:val="clear" w:color="auto" w:fill="auto"/>
            <w:noWrap w:val="0"/>
            <w:vAlign w:val="center"/>
          </w:tcPr>
          <w:p w14:paraId="0FB032C0">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0.00</w:t>
            </w:r>
            <w:r>
              <w:rPr>
                <w:rFonts w:hint="eastAsia" w:cs="Times New Roman"/>
                <w:color w:val="auto"/>
                <w:kern w:val="0"/>
                <w:sz w:val="21"/>
                <w:szCs w:val="21"/>
                <w:lang w:val="en-US" w:eastAsia="zh-CN" w:bidi="ar"/>
              </w:rPr>
              <w:t>64</w:t>
            </w:r>
            <w:r>
              <w:rPr>
                <w:rFonts w:hint="default" w:ascii="Times New Roman" w:hAnsi="Times New Roman" w:cs="Times New Roman"/>
                <w:b w:val="0"/>
                <w:bCs w:val="0"/>
                <w:snapToGrid w:val="0"/>
                <w:color w:val="auto"/>
                <w:kern w:val="0"/>
                <w:sz w:val="21"/>
                <w:szCs w:val="21"/>
                <w:highlight w:val="none"/>
                <w:lang w:val="en-US" w:eastAsia="zh-CN"/>
              </w:rPr>
              <w:t>t/a</w:t>
            </w:r>
          </w:p>
        </w:tc>
        <w:tc>
          <w:tcPr>
            <w:tcW w:w="1163" w:type="dxa"/>
            <w:shd w:val="clear" w:color="auto" w:fill="auto"/>
            <w:noWrap w:val="0"/>
            <w:vAlign w:val="center"/>
          </w:tcPr>
          <w:p w14:paraId="398927F3">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snapToGrid w:val="0"/>
                <w:color w:val="auto"/>
                <w:kern w:val="0"/>
                <w:sz w:val="21"/>
                <w:szCs w:val="21"/>
                <w:highlight w:val="none"/>
                <w:lang w:val="en-US" w:eastAsia="zh-CN"/>
              </w:rPr>
            </w:pPr>
            <w:r>
              <w:rPr>
                <w:rFonts w:hint="eastAsia" w:cs="Times New Roman"/>
                <w:color w:val="auto"/>
                <w:kern w:val="0"/>
                <w:sz w:val="21"/>
                <w:szCs w:val="21"/>
                <w:lang w:val="en-US" w:eastAsia="zh-CN" w:bidi="ar"/>
              </w:rPr>
              <w:t>+</w:t>
            </w:r>
            <w:r>
              <w:rPr>
                <w:rFonts w:hint="eastAsia" w:ascii="Times New Roman" w:hAnsi="Times New Roman" w:cs="Times New Roman"/>
                <w:color w:val="auto"/>
                <w:kern w:val="0"/>
                <w:sz w:val="21"/>
                <w:szCs w:val="21"/>
                <w:lang w:val="en-US" w:eastAsia="zh-CN" w:bidi="ar"/>
              </w:rPr>
              <w:t>0.00</w:t>
            </w:r>
            <w:r>
              <w:rPr>
                <w:rFonts w:hint="eastAsia" w:cs="Times New Roman"/>
                <w:color w:val="auto"/>
                <w:kern w:val="0"/>
                <w:sz w:val="21"/>
                <w:szCs w:val="21"/>
                <w:lang w:val="en-US" w:eastAsia="zh-CN" w:bidi="ar"/>
              </w:rPr>
              <w:t>64</w:t>
            </w:r>
            <w:r>
              <w:rPr>
                <w:rFonts w:hint="default" w:ascii="Times New Roman" w:hAnsi="Times New Roman" w:cs="Times New Roman"/>
                <w:b w:val="0"/>
                <w:bCs w:val="0"/>
                <w:snapToGrid w:val="0"/>
                <w:color w:val="auto"/>
                <w:kern w:val="0"/>
                <w:sz w:val="21"/>
                <w:szCs w:val="21"/>
                <w:highlight w:val="none"/>
                <w:lang w:val="en-US" w:eastAsia="zh-CN"/>
              </w:rPr>
              <w:t>t/a</w:t>
            </w:r>
          </w:p>
        </w:tc>
      </w:tr>
      <w:tr w14:paraId="21A240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03" w:type="dxa"/>
            <w:vMerge w:val="restart"/>
            <w:noWrap w:val="0"/>
            <w:vAlign w:val="center"/>
          </w:tcPr>
          <w:p w14:paraId="7E8E475C">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废水</w:t>
            </w:r>
          </w:p>
        </w:tc>
        <w:tc>
          <w:tcPr>
            <w:tcW w:w="1429" w:type="dxa"/>
            <w:noWrap w:val="0"/>
            <w:vAlign w:val="center"/>
          </w:tcPr>
          <w:p w14:paraId="6F5A1B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废水量</w:t>
            </w:r>
          </w:p>
        </w:tc>
        <w:tc>
          <w:tcPr>
            <w:tcW w:w="1717" w:type="dxa"/>
            <w:noWrap w:val="0"/>
            <w:vAlign w:val="center"/>
          </w:tcPr>
          <w:p w14:paraId="6B762B70">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w:t>
            </w:r>
          </w:p>
        </w:tc>
        <w:tc>
          <w:tcPr>
            <w:tcW w:w="1287" w:type="dxa"/>
            <w:noWrap w:val="0"/>
            <w:vAlign w:val="center"/>
          </w:tcPr>
          <w:p w14:paraId="7DAF0F2D">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717" w:type="dxa"/>
            <w:noWrap w:val="0"/>
            <w:vAlign w:val="center"/>
          </w:tcPr>
          <w:p w14:paraId="76C6D109">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74" w:type="dxa"/>
            <w:noWrap w:val="0"/>
            <w:vAlign w:val="center"/>
          </w:tcPr>
          <w:p w14:paraId="64619839">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eastAsia="宋体" w:cs="Times New Roman"/>
                <w:snapToGrid w:val="0"/>
                <w:color w:val="auto"/>
                <w:kern w:val="21"/>
                <w:sz w:val="21"/>
                <w:szCs w:val="21"/>
                <w:lang w:val="en-US" w:eastAsia="zh-CN"/>
              </w:rPr>
              <w:t>777.6</w:t>
            </w:r>
            <w:r>
              <w:rPr>
                <w:rFonts w:hint="default" w:ascii="Times New Roman" w:hAnsi="Times New Roman" w:cs="Times New Roman"/>
                <w:b w:val="0"/>
                <w:bCs w:val="0"/>
                <w:snapToGrid w:val="0"/>
                <w:color w:val="auto"/>
                <w:kern w:val="0"/>
                <w:sz w:val="21"/>
                <w:szCs w:val="21"/>
                <w:highlight w:val="none"/>
                <w:lang w:val="en-US" w:eastAsia="zh-CN"/>
              </w:rPr>
              <w:t>t/a</w:t>
            </w:r>
          </w:p>
        </w:tc>
        <w:tc>
          <w:tcPr>
            <w:tcW w:w="1778" w:type="dxa"/>
            <w:noWrap w:val="0"/>
            <w:vAlign w:val="center"/>
          </w:tcPr>
          <w:p w14:paraId="4B88B93A">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rPr>
            </w:pPr>
            <w:r>
              <w:rPr>
                <w:rFonts w:hint="default" w:ascii="Times New Roman" w:hAnsi="Times New Roman" w:eastAsia="宋体" w:cs="Times New Roman"/>
                <w:snapToGrid w:val="0"/>
                <w:color w:val="auto"/>
                <w:kern w:val="21"/>
                <w:sz w:val="21"/>
                <w:szCs w:val="21"/>
              </w:rPr>
              <w:t>/</w:t>
            </w:r>
          </w:p>
        </w:tc>
        <w:tc>
          <w:tcPr>
            <w:tcW w:w="1647" w:type="dxa"/>
            <w:shd w:val="clear" w:color="auto" w:fill="auto"/>
            <w:noWrap w:val="0"/>
            <w:vAlign w:val="center"/>
          </w:tcPr>
          <w:p w14:paraId="532C2DD7">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eastAsia="宋体" w:cs="Times New Roman"/>
                <w:snapToGrid w:val="0"/>
                <w:color w:val="auto"/>
                <w:kern w:val="21"/>
                <w:sz w:val="21"/>
                <w:szCs w:val="21"/>
                <w:lang w:val="en-US" w:eastAsia="zh-CN"/>
              </w:rPr>
              <w:t>777.6</w:t>
            </w:r>
            <w:r>
              <w:rPr>
                <w:rFonts w:hint="default" w:ascii="Times New Roman" w:hAnsi="Times New Roman" w:cs="Times New Roman"/>
                <w:b w:val="0"/>
                <w:bCs w:val="0"/>
                <w:snapToGrid w:val="0"/>
                <w:color w:val="auto"/>
                <w:kern w:val="0"/>
                <w:sz w:val="21"/>
                <w:szCs w:val="21"/>
                <w:highlight w:val="none"/>
                <w:lang w:val="en-US" w:eastAsia="zh-CN"/>
              </w:rPr>
              <w:t>t/a</w:t>
            </w:r>
          </w:p>
        </w:tc>
        <w:tc>
          <w:tcPr>
            <w:tcW w:w="1163" w:type="dxa"/>
            <w:shd w:val="clear" w:color="auto" w:fill="auto"/>
            <w:noWrap w:val="0"/>
            <w:vAlign w:val="center"/>
          </w:tcPr>
          <w:p w14:paraId="31AE4EFB">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r>
              <w:rPr>
                <w:rFonts w:hint="eastAsia" w:eastAsia="宋体" w:cs="Times New Roman"/>
                <w:snapToGrid w:val="0"/>
                <w:color w:val="auto"/>
                <w:kern w:val="21"/>
                <w:sz w:val="21"/>
                <w:szCs w:val="21"/>
                <w:lang w:val="en-US" w:eastAsia="zh-CN"/>
              </w:rPr>
              <w:t>777.6</w:t>
            </w:r>
            <w:r>
              <w:rPr>
                <w:rFonts w:hint="default" w:ascii="Times New Roman" w:hAnsi="Times New Roman" w:cs="Times New Roman"/>
                <w:b w:val="0"/>
                <w:bCs w:val="0"/>
                <w:snapToGrid w:val="0"/>
                <w:color w:val="auto"/>
                <w:kern w:val="0"/>
                <w:sz w:val="21"/>
                <w:szCs w:val="21"/>
                <w:highlight w:val="none"/>
                <w:lang w:val="en-US" w:eastAsia="zh-CN"/>
              </w:rPr>
              <w:t>t/a</w:t>
            </w:r>
          </w:p>
        </w:tc>
      </w:tr>
      <w:tr w14:paraId="2F60FE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03" w:type="dxa"/>
            <w:vMerge w:val="continue"/>
            <w:noWrap w:val="0"/>
            <w:vAlign w:val="center"/>
          </w:tcPr>
          <w:p w14:paraId="4F21037F">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p>
        </w:tc>
        <w:tc>
          <w:tcPr>
            <w:tcW w:w="1429" w:type="dxa"/>
            <w:noWrap w:val="0"/>
            <w:vAlign w:val="center"/>
          </w:tcPr>
          <w:p w14:paraId="18A4FE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COD</w:t>
            </w:r>
          </w:p>
        </w:tc>
        <w:tc>
          <w:tcPr>
            <w:tcW w:w="1717" w:type="dxa"/>
            <w:noWrap w:val="0"/>
            <w:vAlign w:val="center"/>
          </w:tcPr>
          <w:p w14:paraId="25F4D349">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287" w:type="dxa"/>
            <w:noWrap w:val="0"/>
            <w:vAlign w:val="center"/>
          </w:tcPr>
          <w:p w14:paraId="23ED5989">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717" w:type="dxa"/>
            <w:noWrap w:val="0"/>
            <w:vAlign w:val="center"/>
          </w:tcPr>
          <w:p w14:paraId="16907CD3">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74" w:type="dxa"/>
            <w:noWrap w:val="0"/>
            <w:vAlign w:val="center"/>
          </w:tcPr>
          <w:p w14:paraId="5C1D803C">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eastAsia="宋体" w:cs="Times New Roman"/>
                <w:snapToGrid w:val="0"/>
                <w:color w:val="auto"/>
                <w:kern w:val="21"/>
                <w:sz w:val="21"/>
                <w:szCs w:val="21"/>
                <w:lang w:val="en-US" w:eastAsia="zh-CN"/>
              </w:rPr>
              <w:t>0.1826</w:t>
            </w:r>
            <w:r>
              <w:rPr>
                <w:rFonts w:hint="default" w:ascii="Times New Roman" w:hAnsi="Times New Roman" w:cs="Times New Roman"/>
                <w:b w:val="0"/>
                <w:bCs w:val="0"/>
                <w:snapToGrid w:val="0"/>
                <w:color w:val="auto"/>
                <w:kern w:val="0"/>
                <w:sz w:val="21"/>
                <w:szCs w:val="21"/>
                <w:highlight w:val="none"/>
                <w:lang w:val="en-US" w:eastAsia="zh-CN"/>
              </w:rPr>
              <w:t>t/a</w:t>
            </w:r>
          </w:p>
        </w:tc>
        <w:tc>
          <w:tcPr>
            <w:tcW w:w="1778" w:type="dxa"/>
            <w:noWrap w:val="0"/>
            <w:vAlign w:val="center"/>
          </w:tcPr>
          <w:p w14:paraId="4F99415C">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647" w:type="dxa"/>
            <w:shd w:val="clear" w:color="auto" w:fill="auto"/>
            <w:noWrap w:val="0"/>
            <w:vAlign w:val="center"/>
          </w:tcPr>
          <w:p w14:paraId="06BA030D">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eastAsia="宋体" w:cs="Times New Roman"/>
                <w:snapToGrid w:val="0"/>
                <w:color w:val="auto"/>
                <w:kern w:val="21"/>
                <w:sz w:val="21"/>
                <w:szCs w:val="21"/>
                <w:lang w:val="en-US" w:eastAsia="zh-CN"/>
              </w:rPr>
              <w:t>0.1826</w:t>
            </w:r>
            <w:r>
              <w:rPr>
                <w:rFonts w:hint="default" w:ascii="Times New Roman" w:hAnsi="Times New Roman" w:cs="Times New Roman"/>
                <w:b w:val="0"/>
                <w:bCs w:val="0"/>
                <w:snapToGrid w:val="0"/>
                <w:color w:val="auto"/>
                <w:kern w:val="0"/>
                <w:sz w:val="21"/>
                <w:szCs w:val="21"/>
                <w:highlight w:val="none"/>
                <w:lang w:val="en-US" w:eastAsia="zh-CN"/>
              </w:rPr>
              <w:t>t/a</w:t>
            </w:r>
          </w:p>
        </w:tc>
        <w:tc>
          <w:tcPr>
            <w:tcW w:w="1163" w:type="dxa"/>
            <w:shd w:val="clear" w:color="auto" w:fill="auto"/>
            <w:noWrap w:val="0"/>
            <w:vAlign w:val="center"/>
          </w:tcPr>
          <w:p w14:paraId="79FFEC65">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rPr>
              <w:t>+</w:t>
            </w:r>
            <w:r>
              <w:rPr>
                <w:rFonts w:hint="eastAsia" w:eastAsia="宋体" w:cs="Times New Roman"/>
                <w:snapToGrid w:val="0"/>
                <w:color w:val="auto"/>
                <w:kern w:val="21"/>
                <w:sz w:val="21"/>
                <w:szCs w:val="21"/>
                <w:lang w:val="en-US" w:eastAsia="zh-CN"/>
              </w:rPr>
              <w:t>0.1826</w:t>
            </w:r>
            <w:r>
              <w:rPr>
                <w:rFonts w:hint="default" w:ascii="Times New Roman" w:hAnsi="Times New Roman" w:cs="Times New Roman"/>
                <w:b w:val="0"/>
                <w:bCs w:val="0"/>
                <w:snapToGrid w:val="0"/>
                <w:color w:val="auto"/>
                <w:kern w:val="0"/>
                <w:sz w:val="21"/>
                <w:szCs w:val="21"/>
                <w:highlight w:val="none"/>
                <w:lang w:val="en-US" w:eastAsia="zh-CN"/>
              </w:rPr>
              <w:t>t/a</w:t>
            </w:r>
          </w:p>
        </w:tc>
      </w:tr>
      <w:tr w14:paraId="38A2D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03" w:type="dxa"/>
            <w:vMerge w:val="continue"/>
            <w:noWrap w:val="0"/>
            <w:vAlign w:val="center"/>
          </w:tcPr>
          <w:p w14:paraId="22F6F56E">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p>
        </w:tc>
        <w:tc>
          <w:tcPr>
            <w:tcW w:w="1429" w:type="dxa"/>
            <w:noWrap w:val="0"/>
            <w:vAlign w:val="center"/>
          </w:tcPr>
          <w:p w14:paraId="7F97296D">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bCs/>
                <w:color w:val="auto"/>
                <w:kern w:val="0"/>
                <w:sz w:val="21"/>
                <w:szCs w:val="21"/>
                <w:lang w:val="en-US" w:eastAsia="zh-CN"/>
              </w:rPr>
              <w:t>NH</w:t>
            </w:r>
            <w:r>
              <w:rPr>
                <w:rFonts w:hint="default" w:ascii="Times New Roman" w:hAnsi="Times New Roman" w:eastAsia="宋体" w:cs="Times New Roman"/>
                <w:bCs/>
                <w:color w:val="auto"/>
                <w:kern w:val="0"/>
                <w:sz w:val="21"/>
                <w:szCs w:val="21"/>
                <w:vertAlign w:val="subscript"/>
                <w:lang w:val="en-US" w:eastAsia="zh-CN"/>
              </w:rPr>
              <w:t>3</w:t>
            </w:r>
            <w:r>
              <w:rPr>
                <w:rFonts w:hint="default" w:ascii="Times New Roman" w:hAnsi="Times New Roman" w:eastAsia="宋体" w:cs="Times New Roman"/>
                <w:bCs/>
                <w:color w:val="auto"/>
                <w:kern w:val="0"/>
                <w:sz w:val="21"/>
                <w:szCs w:val="21"/>
                <w:lang w:val="en-US" w:eastAsia="zh-CN"/>
              </w:rPr>
              <w:t>-N</w:t>
            </w:r>
          </w:p>
        </w:tc>
        <w:tc>
          <w:tcPr>
            <w:tcW w:w="1717" w:type="dxa"/>
            <w:noWrap w:val="0"/>
            <w:vAlign w:val="center"/>
          </w:tcPr>
          <w:p w14:paraId="5315077A">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w:t>
            </w:r>
          </w:p>
        </w:tc>
        <w:tc>
          <w:tcPr>
            <w:tcW w:w="1287" w:type="dxa"/>
            <w:noWrap w:val="0"/>
            <w:vAlign w:val="center"/>
          </w:tcPr>
          <w:p w14:paraId="7EC441C2">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717" w:type="dxa"/>
            <w:noWrap w:val="0"/>
            <w:vAlign w:val="center"/>
          </w:tcPr>
          <w:p w14:paraId="031E3B6C">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74" w:type="dxa"/>
            <w:noWrap w:val="0"/>
            <w:vAlign w:val="center"/>
          </w:tcPr>
          <w:p w14:paraId="3ABAFF77">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0.0</w:t>
            </w:r>
            <w:r>
              <w:rPr>
                <w:rFonts w:hint="eastAsia" w:eastAsia="宋体" w:cs="Times New Roman"/>
                <w:snapToGrid w:val="0"/>
                <w:color w:val="auto"/>
                <w:kern w:val="21"/>
                <w:sz w:val="21"/>
                <w:szCs w:val="21"/>
                <w:lang w:val="en-US" w:eastAsia="zh-CN"/>
              </w:rPr>
              <w:t>21</w:t>
            </w:r>
            <w:r>
              <w:rPr>
                <w:rFonts w:hint="default" w:ascii="Times New Roman" w:hAnsi="Times New Roman" w:cs="Times New Roman"/>
                <w:b w:val="0"/>
                <w:bCs w:val="0"/>
                <w:snapToGrid w:val="0"/>
                <w:color w:val="auto"/>
                <w:kern w:val="0"/>
                <w:sz w:val="21"/>
                <w:szCs w:val="21"/>
                <w:highlight w:val="none"/>
                <w:lang w:val="en-US" w:eastAsia="zh-CN"/>
              </w:rPr>
              <w:t>t/a</w:t>
            </w:r>
          </w:p>
        </w:tc>
        <w:tc>
          <w:tcPr>
            <w:tcW w:w="1778" w:type="dxa"/>
            <w:noWrap w:val="0"/>
            <w:vAlign w:val="center"/>
          </w:tcPr>
          <w:p w14:paraId="08E13969">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647" w:type="dxa"/>
            <w:shd w:val="clear" w:color="auto" w:fill="auto"/>
            <w:noWrap w:val="0"/>
            <w:vAlign w:val="center"/>
          </w:tcPr>
          <w:p w14:paraId="1A8F3850">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0.0</w:t>
            </w:r>
            <w:r>
              <w:rPr>
                <w:rFonts w:hint="eastAsia" w:eastAsia="宋体" w:cs="Times New Roman"/>
                <w:snapToGrid w:val="0"/>
                <w:color w:val="auto"/>
                <w:kern w:val="21"/>
                <w:sz w:val="21"/>
                <w:szCs w:val="21"/>
                <w:lang w:val="en-US" w:eastAsia="zh-CN"/>
              </w:rPr>
              <w:t>21</w:t>
            </w:r>
            <w:r>
              <w:rPr>
                <w:rFonts w:hint="default" w:ascii="Times New Roman" w:hAnsi="Times New Roman" w:cs="Times New Roman"/>
                <w:b w:val="0"/>
                <w:bCs w:val="0"/>
                <w:snapToGrid w:val="0"/>
                <w:color w:val="auto"/>
                <w:kern w:val="0"/>
                <w:sz w:val="21"/>
                <w:szCs w:val="21"/>
                <w:highlight w:val="none"/>
                <w:lang w:val="en-US" w:eastAsia="zh-CN"/>
              </w:rPr>
              <w:t>t/a</w:t>
            </w:r>
          </w:p>
        </w:tc>
        <w:tc>
          <w:tcPr>
            <w:tcW w:w="1163" w:type="dxa"/>
            <w:shd w:val="clear" w:color="auto" w:fill="auto"/>
            <w:noWrap w:val="0"/>
            <w:vAlign w:val="center"/>
          </w:tcPr>
          <w:p w14:paraId="25FAFFE0">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rPr>
              <w:t>+</w:t>
            </w:r>
            <w:r>
              <w:rPr>
                <w:rFonts w:hint="default" w:ascii="Times New Roman" w:hAnsi="Times New Roman" w:eastAsia="宋体" w:cs="Times New Roman"/>
                <w:snapToGrid w:val="0"/>
                <w:color w:val="auto"/>
                <w:kern w:val="21"/>
                <w:sz w:val="21"/>
                <w:szCs w:val="21"/>
                <w:lang w:val="en-US" w:eastAsia="zh-CN"/>
              </w:rPr>
              <w:t>0.0</w:t>
            </w:r>
            <w:r>
              <w:rPr>
                <w:rFonts w:hint="eastAsia" w:eastAsia="宋体" w:cs="Times New Roman"/>
                <w:snapToGrid w:val="0"/>
                <w:color w:val="auto"/>
                <w:kern w:val="21"/>
                <w:sz w:val="21"/>
                <w:szCs w:val="21"/>
                <w:lang w:val="en-US" w:eastAsia="zh-CN"/>
              </w:rPr>
              <w:t>21</w:t>
            </w:r>
            <w:r>
              <w:rPr>
                <w:rFonts w:hint="default" w:ascii="Times New Roman" w:hAnsi="Times New Roman" w:cs="Times New Roman"/>
                <w:b w:val="0"/>
                <w:bCs w:val="0"/>
                <w:snapToGrid w:val="0"/>
                <w:color w:val="auto"/>
                <w:kern w:val="0"/>
                <w:sz w:val="21"/>
                <w:szCs w:val="21"/>
                <w:highlight w:val="none"/>
                <w:lang w:val="en-US" w:eastAsia="zh-CN"/>
              </w:rPr>
              <w:t>t/a</w:t>
            </w:r>
          </w:p>
        </w:tc>
      </w:tr>
      <w:tr w14:paraId="7720D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dxa"/>
            <w:noWrap w:val="0"/>
            <w:vAlign w:val="center"/>
          </w:tcPr>
          <w:p w14:paraId="324240EB">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429" w:type="dxa"/>
            <w:shd w:val="clear" w:color="auto" w:fill="auto"/>
            <w:noWrap w:val="0"/>
            <w:vAlign w:val="center"/>
          </w:tcPr>
          <w:p w14:paraId="247071E8">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zh-CN"/>
              </w:rPr>
            </w:pPr>
            <w:r>
              <w:rPr>
                <w:rFonts w:hint="default" w:ascii="Times New Roman" w:hAnsi="Times New Roman" w:eastAsia="宋体" w:cs="Times New Roman"/>
                <w:color w:val="auto"/>
                <w:sz w:val="21"/>
                <w:szCs w:val="21"/>
              </w:rPr>
              <w:t>生活垃圾</w:t>
            </w:r>
          </w:p>
        </w:tc>
        <w:tc>
          <w:tcPr>
            <w:tcW w:w="1717" w:type="dxa"/>
            <w:noWrap w:val="0"/>
            <w:vAlign w:val="center"/>
          </w:tcPr>
          <w:p w14:paraId="113FCC8A">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w:t>
            </w:r>
          </w:p>
        </w:tc>
        <w:tc>
          <w:tcPr>
            <w:tcW w:w="1287" w:type="dxa"/>
            <w:noWrap w:val="0"/>
            <w:vAlign w:val="center"/>
          </w:tcPr>
          <w:p w14:paraId="16E748F5">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717" w:type="dxa"/>
            <w:noWrap w:val="0"/>
            <w:vAlign w:val="center"/>
          </w:tcPr>
          <w:p w14:paraId="72D77423">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74" w:type="dxa"/>
            <w:shd w:val="clear" w:color="auto" w:fill="auto"/>
            <w:noWrap w:val="0"/>
            <w:vAlign w:val="center"/>
          </w:tcPr>
          <w:p w14:paraId="3605824F">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lang w:val="en-US" w:eastAsia="zh-CN"/>
              </w:rPr>
              <w:t>6.5</w:t>
            </w:r>
            <w:r>
              <w:rPr>
                <w:rFonts w:hint="default" w:ascii="Times New Roman" w:hAnsi="Times New Roman" w:cs="Times New Roman"/>
                <w:b w:val="0"/>
                <w:bCs w:val="0"/>
                <w:snapToGrid w:val="0"/>
                <w:color w:val="auto"/>
                <w:kern w:val="0"/>
                <w:sz w:val="21"/>
                <w:szCs w:val="21"/>
                <w:highlight w:val="none"/>
                <w:lang w:val="en-US" w:eastAsia="zh-CN"/>
              </w:rPr>
              <w:t>t/a</w:t>
            </w:r>
          </w:p>
        </w:tc>
        <w:tc>
          <w:tcPr>
            <w:tcW w:w="1778" w:type="dxa"/>
            <w:noWrap w:val="0"/>
            <w:vAlign w:val="center"/>
          </w:tcPr>
          <w:p w14:paraId="21F3A02D">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647" w:type="dxa"/>
            <w:shd w:val="clear" w:color="auto" w:fill="auto"/>
            <w:noWrap w:val="0"/>
            <w:vAlign w:val="center"/>
          </w:tcPr>
          <w:p w14:paraId="7244BFF9">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lang w:val="en-US" w:eastAsia="zh-CN"/>
              </w:rPr>
              <w:t>6.5</w:t>
            </w:r>
            <w:r>
              <w:rPr>
                <w:rFonts w:hint="default" w:ascii="Times New Roman" w:hAnsi="Times New Roman" w:cs="Times New Roman"/>
                <w:b w:val="0"/>
                <w:bCs w:val="0"/>
                <w:snapToGrid w:val="0"/>
                <w:color w:val="auto"/>
                <w:kern w:val="0"/>
                <w:sz w:val="21"/>
                <w:szCs w:val="21"/>
                <w:highlight w:val="none"/>
                <w:lang w:val="en-US" w:eastAsia="zh-CN"/>
              </w:rPr>
              <w:t>t/a</w:t>
            </w:r>
          </w:p>
        </w:tc>
        <w:tc>
          <w:tcPr>
            <w:tcW w:w="1163" w:type="dxa"/>
            <w:shd w:val="clear" w:color="auto" w:fill="auto"/>
            <w:noWrap w:val="0"/>
            <w:vAlign w:val="center"/>
          </w:tcPr>
          <w:p w14:paraId="6A591C0A">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6.5</w:t>
            </w:r>
            <w:r>
              <w:rPr>
                <w:rFonts w:hint="default" w:ascii="Times New Roman" w:hAnsi="Times New Roman" w:cs="Times New Roman"/>
                <w:b w:val="0"/>
                <w:bCs w:val="0"/>
                <w:snapToGrid w:val="0"/>
                <w:color w:val="auto"/>
                <w:kern w:val="0"/>
                <w:sz w:val="21"/>
                <w:szCs w:val="21"/>
                <w:highlight w:val="none"/>
                <w:lang w:val="en-US" w:eastAsia="zh-CN"/>
              </w:rPr>
              <w:t>t/a</w:t>
            </w:r>
          </w:p>
        </w:tc>
      </w:tr>
      <w:tr w14:paraId="0278DA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03" w:type="dxa"/>
            <w:vMerge w:val="restart"/>
            <w:noWrap w:val="0"/>
            <w:vAlign w:val="center"/>
          </w:tcPr>
          <w:p w14:paraId="20F0D2CE">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一般工业</w:t>
            </w:r>
          </w:p>
          <w:p w14:paraId="32B4581D">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固体废物</w:t>
            </w:r>
          </w:p>
        </w:tc>
        <w:tc>
          <w:tcPr>
            <w:tcW w:w="1429" w:type="dxa"/>
            <w:shd w:val="clear" w:color="auto" w:fill="auto"/>
            <w:noWrap w:val="0"/>
            <w:vAlign w:val="center"/>
          </w:tcPr>
          <w:p w14:paraId="0985C48F">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sz w:val="21"/>
                <w:szCs w:val="21"/>
                <w:lang w:val="en-US" w:eastAsia="zh-CN"/>
              </w:rPr>
              <w:t>PVC</w:t>
            </w:r>
            <w:r>
              <w:rPr>
                <w:rFonts w:hint="default" w:ascii="Times New Roman" w:hAnsi="Times New Roman" w:eastAsia="宋体" w:cs="Times New Roman"/>
                <w:color w:val="auto"/>
                <w:sz w:val="21"/>
                <w:szCs w:val="21"/>
              </w:rPr>
              <w:t>边角料</w:t>
            </w:r>
            <w:r>
              <w:rPr>
                <w:rFonts w:hint="eastAsia" w:ascii="Times New Roman" w:hAnsi="Times New Roman" w:eastAsia="宋体" w:cs="Times New Roman"/>
                <w:color w:val="auto"/>
                <w:sz w:val="21"/>
                <w:szCs w:val="21"/>
                <w:lang w:val="en-US" w:eastAsia="zh-CN"/>
              </w:rPr>
              <w:t>和不合格品</w:t>
            </w:r>
          </w:p>
        </w:tc>
        <w:tc>
          <w:tcPr>
            <w:tcW w:w="1717" w:type="dxa"/>
            <w:noWrap w:val="0"/>
            <w:vAlign w:val="center"/>
          </w:tcPr>
          <w:p w14:paraId="013EB5E3">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w:t>
            </w:r>
          </w:p>
        </w:tc>
        <w:tc>
          <w:tcPr>
            <w:tcW w:w="1287" w:type="dxa"/>
            <w:noWrap w:val="0"/>
            <w:vAlign w:val="center"/>
          </w:tcPr>
          <w:p w14:paraId="6CE475CE">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717" w:type="dxa"/>
            <w:noWrap w:val="0"/>
            <w:vAlign w:val="center"/>
          </w:tcPr>
          <w:p w14:paraId="3CF27055">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74" w:type="dxa"/>
            <w:shd w:val="clear" w:color="auto" w:fill="auto"/>
            <w:noWrap w:val="0"/>
            <w:vAlign w:val="center"/>
          </w:tcPr>
          <w:p w14:paraId="12E30DF7">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lang w:val="en-US" w:eastAsia="zh-CN"/>
              </w:rPr>
              <w:t>2.715</w:t>
            </w:r>
            <w:r>
              <w:rPr>
                <w:rFonts w:hint="default" w:ascii="Times New Roman" w:hAnsi="Times New Roman" w:cs="Times New Roman"/>
                <w:b w:val="0"/>
                <w:bCs w:val="0"/>
                <w:snapToGrid w:val="0"/>
                <w:color w:val="auto"/>
                <w:kern w:val="0"/>
                <w:sz w:val="21"/>
                <w:szCs w:val="21"/>
                <w:highlight w:val="none"/>
                <w:lang w:val="en-US" w:eastAsia="zh-CN"/>
              </w:rPr>
              <w:t>t/a</w:t>
            </w:r>
          </w:p>
        </w:tc>
        <w:tc>
          <w:tcPr>
            <w:tcW w:w="1778" w:type="dxa"/>
            <w:noWrap w:val="0"/>
            <w:vAlign w:val="center"/>
          </w:tcPr>
          <w:p w14:paraId="12C8B564">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rPr>
            </w:pPr>
            <w:r>
              <w:rPr>
                <w:rFonts w:hint="default" w:ascii="Times New Roman" w:hAnsi="Times New Roman" w:eastAsia="宋体" w:cs="Times New Roman"/>
                <w:snapToGrid w:val="0"/>
                <w:color w:val="auto"/>
                <w:kern w:val="21"/>
                <w:sz w:val="21"/>
                <w:szCs w:val="21"/>
              </w:rPr>
              <w:t>/</w:t>
            </w:r>
          </w:p>
        </w:tc>
        <w:tc>
          <w:tcPr>
            <w:tcW w:w="1647" w:type="dxa"/>
            <w:shd w:val="clear" w:color="auto" w:fill="auto"/>
            <w:noWrap w:val="0"/>
            <w:vAlign w:val="center"/>
          </w:tcPr>
          <w:p w14:paraId="4472B7CB">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lang w:val="en-US" w:eastAsia="zh-CN"/>
              </w:rPr>
              <w:t>2.715</w:t>
            </w:r>
            <w:r>
              <w:rPr>
                <w:rFonts w:hint="default" w:ascii="Times New Roman" w:hAnsi="Times New Roman" w:cs="Times New Roman"/>
                <w:b w:val="0"/>
                <w:bCs w:val="0"/>
                <w:snapToGrid w:val="0"/>
                <w:color w:val="auto"/>
                <w:kern w:val="0"/>
                <w:sz w:val="21"/>
                <w:szCs w:val="21"/>
                <w:highlight w:val="none"/>
                <w:lang w:val="en-US" w:eastAsia="zh-CN"/>
              </w:rPr>
              <w:t>t/a</w:t>
            </w:r>
          </w:p>
        </w:tc>
        <w:tc>
          <w:tcPr>
            <w:tcW w:w="1163" w:type="dxa"/>
            <w:shd w:val="clear" w:color="auto" w:fill="auto"/>
            <w:noWrap w:val="0"/>
            <w:vAlign w:val="center"/>
          </w:tcPr>
          <w:p w14:paraId="4CC35471">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lang w:val="en-US" w:eastAsia="zh-CN"/>
              </w:rPr>
              <w:t>+2.715</w:t>
            </w:r>
            <w:r>
              <w:rPr>
                <w:rFonts w:hint="default" w:ascii="Times New Roman" w:hAnsi="Times New Roman" w:cs="Times New Roman"/>
                <w:b w:val="0"/>
                <w:bCs w:val="0"/>
                <w:snapToGrid w:val="0"/>
                <w:color w:val="auto"/>
                <w:kern w:val="0"/>
                <w:sz w:val="21"/>
                <w:szCs w:val="21"/>
                <w:highlight w:val="none"/>
                <w:lang w:val="en-US" w:eastAsia="zh-CN"/>
              </w:rPr>
              <w:t>t/a</w:t>
            </w:r>
          </w:p>
        </w:tc>
      </w:tr>
      <w:tr w14:paraId="6566A1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dxa"/>
            <w:vMerge w:val="continue"/>
            <w:noWrap w:val="0"/>
            <w:vAlign w:val="center"/>
          </w:tcPr>
          <w:p w14:paraId="5274671F">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p>
        </w:tc>
        <w:tc>
          <w:tcPr>
            <w:tcW w:w="1429" w:type="dxa"/>
            <w:shd w:val="clear" w:color="auto" w:fill="auto"/>
            <w:noWrap w:val="0"/>
            <w:vAlign w:val="center"/>
          </w:tcPr>
          <w:p w14:paraId="01BA5387">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sz w:val="21"/>
                <w:szCs w:val="21"/>
                <w:lang w:val="en-US" w:eastAsia="zh-CN"/>
              </w:rPr>
              <w:t>PVC</w:t>
            </w:r>
            <w:r>
              <w:rPr>
                <w:rFonts w:hint="default" w:ascii="Times New Roman" w:hAnsi="Times New Roman" w:eastAsia="宋体" w:cs="Times New Roman"/>
                <w:color w:val="auto"/>
                <w:sz w:val="21"/>
                <w:szCs w:val="21"/>
                <w:lang w:val="en-US" w:eastAsia="zh-CN"/>
              </w:rPr>
              <w:t>边角料</w:t>
            </w:r>
            <w:r>
              <w:rPr>
                <w:rFonts w:hint="eastAsia" w:ascii="Times New Roman" w:hAnsi="Times New Roman" w:eastAsia="宋体" w:cs="Times New Roman"/>
                <w:color w:val="auto"/>
                <w:sz w:val="21"/>
                <w:szCs w:val="21"/>
                <w:lang w:val="en-US" w:eastAsia="zh-CN"/>
              </w:rPr>
              <w:t>和不合格品</w:t>
            </w:r>
          </w:p>
        </w:tc>
        <w:tc>
          <w:tcPr>
            <w:tcW w:w="1717" w:type="dxa"/>
            <w:noWrap w:val="0"/>
            <w:vAlign w:val="center"/>
          </w:tcPr>
          <w:p w14:paraId="7D9E4226">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w:t>
            </w:r>
          </w:p>
        </w:tc>
        <w:tc>
          <w:tcPr>
            <w:tcW w:w="1287" w:type="dxa"/>
            <w:noWrap w:val="0"/>
            <w:vAlign w:val="center"/>
          </w:tcPr>
          <w:p w14:paraId="30BBE85C">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717" w:type="dxa"/>
            <w:noWrap w:val="0"/>
            <w:vAlign w:val="center"/>
          </w:tcPr>
          <w:p w14:paraId="6B9105E8">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74" w:type="dxa"/>
            <w:shd w:val="clear" w:color="auto" w:fill="auto"/>
            <w:noWrap w:val="0"/>
            <w:vAlign w:val="center"/>
          </w:tcPr>
          <w:p w14:paraId="0BACF7F1">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lang w:val="en-US" w:eastAsia="zh-CN"/>
              </w:rPr>
              <w:t>2.715</w:t>
            </w:r>
            <w:r>
              <w:rPr>
                <w:rFonts w:hint="default" w:ascii="Times New Roman" w:hAnsi="Times New Roman" w:cs="Times New Roman"/>
                <w:b w:val="0"/>
                <w:bCs w:val="0"/>
                <w:snapToGrid w:val="0"/>
                <w:color w:val="auto"/>
                <w:kern w:val="0"/>
                <w:sz w:val="21"/>
                <w:szCs w:val="21"/>
                <w:highlight w:val="none"/>
                <w:lang w:val="en-US" w:eastAsia="zh-CN"/>
              </w:rPr>
              <w:t>t/a</w:t>
            </w:r>
          </w:p>
        </w:tc>
        <w:tc>
          <w:tcPr>
            <w:tcW w:w="1778" w:type="dxa"/>
            <w:noWrap w:val="0"/>
            <w:vAlign w:val="center"/>
          </w:tcPr>
          <w:p w14:paraId="381AC53A">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647" w:type="dxa"/>
            <w:shd w:val="clear" w:color="auto" w:fill="auto"/>
            <w:noWrap w:val="0"/>
            <w:vAlign w:val="center"/>
          </w:tcPr>
          <w:p w14:paraId="702371F5">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lang w:val="en-US" w:eastAsia="zh-CN"/>
              </w:rPr>
              <w:t>2.715</w:t>
            </w:r>
            <w:r>
              <w:rPr>
                <w:rFonts w:hint="default" w:ascii="Times New Roman" w:hAnsi="Times New Roman" w:cs="Times New Roman"/>
                <w:b w:val="0"/>
                <w:bCs w:val="0"/>
                <w:snapToGrid w:val="0"/>
                <w:color w:val="auto"/>
                <w:kern w:val="0"/>
                <w:sz w:val="21"/>
                <w:szCs w:val="21"/>
                <w:highlight w:val="none"/>
                <w:lang w:val="en-US" w:eastAsia="zh-CN"/>
              </w:rPr>
              <w:t>t/a</w:t>
            </w:r>
          </w:p>
        </w:tc>
        <w:tc>
          <w:tcPr>
            <w:tcW w:w="1163" w:type="dxa"/>
            <w:shd w:val="clear" w:color="auto" w:fill="auto"/>
            <w:noWrap w:val="0"/>
            <w:vAlign w:val="center"/>
          </w:tcPr>
          <w:p w14:paraId="2BF623D1">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lang w:val="en-US" w:eastAsia="zh-CN"/>
              </w:rPr>
              <w:t>+2.715</w:t>
            </w:r>
            <w:r>
              <w:rPr>
                <w:rFonts w:hint="default" w:ascii="Times New Roman" w:hAnsi="Times New Roman" w:cs="Times New Roman"/>
                <w:b w:val="0"/>
                <w:bCs w:val="0"/>
                <w:snapToGrid w:val="0"/>
                <w:color w:val="auto"/>
                <w:kern w:val="0"/>
                <w:sz w:val="21"/>
                <w:szCs w:val="21"/>
                <w:highlight w:val="none"/>
                <w:lang w:val="en-US" w:eastAsia="zh-CN"/>
              </w:rPr>
              <w:t>t/a</w:t>
            </w:r>
          </w:p>
        </w:tc>
      </w:tr>
      <w:tr w14:paraId="4518EB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dxa"/>
            <w:vMerge w:val="continue"/>
            <w:noWrap w:val="0"/>
            <w:vAlign w:val="center"/>
          </w:tcPr>
          <w:p w14:paraId="47E970D1">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p>
        </w:tc>
        <w:tc>
          <w:tcPr>
            <w:tcW w:w="1429" w:type="dxa"/>
            <w:shd w:val="clear" w:color="auto" w:fill="auto"/>
            <w:noWrap w:val="0"/>
            <w:vAlign w:val="center"/>
          </w:tcPr>
          <w:p w14:paraId="6FA8D76B">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sz w:val="21"/>
                <w:szCs w:val="21"/>
                <w:lang w:val="en-US" w:eastAsia="zh-CN"/>
              </w:rPr>
              <w:t>皮布边角料和不合格品</w:t>
            </w:r>
          </w:p>
        </w:tc>
        <w:tc>
          <w:tcPr>
            <w:tcW w:w="1717" w:type="dxa"/>
            <w:noWrap w:val="0"/>
            <w:vAlign w:val="center"/>
          </w:tcPr>
          <w:p w14:paraId="45ECBD74">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287" w:type="dxa"/>
            <w:noWrap w:val="0"/>
            <w:vAlign w:val="center"/>
          </w:tcPr>
          <w:p w14:paraId="6A00E460">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717" w:type="dxa"/>
            <w:noWrap w:val="0"/>
            <w:vAlign w:val="center"/>
          </w:tcPr>
          <w:p w14:paraId="7F812322">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574" w:type="dxa"/>
            <w:shd w:val="clear" w:color="auto" w:fill="auto"/>
            <w:noWrap w:val="0"/>
            <w:vAlign w:val="center"/>
          </w:tcPr>
          <w:p w14:paraId="2D89E429">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lang w:val="en-US" w:eastAsia="zh-CN"/>
              </w:rPr>
              <w:t>5</w:t>
            </w:r>
            <w:r>
              <w:rPr>
                <w:rFonts w:hint="default" w:ascii="Times New Roman" w:hAnsi="Times New Roman" w:cs="Times New Roman"/>
                <w:b w:val="0"/>
                <w:bCs w:val="0"/>
                <w:snapToGrid w:val="0"/>
                <w:color w:val="auto"/>
                <w:kern w:val="0"/>
                <w:sz w:val="21"/>
                <w:szCs w:val="21"/>
                <w:highlight w:val="none"/>
                <w:lang w:val="en-US" w:eastAsia="zh-CN"/>
              </w:rPr>
              <w:t>t/a</w:t>
            </w:r>
          </w:p>
        </w:tc>
        <w:tc>
          <w:tcPr>
            <w:tcW w:w="1778" w:type="dxa"/>
            <w:noWrap w:val="0"/>
            <w:vAlign w:val="center"/>
          </w:tcPr>
          <w:p w14:paraId="657476C7">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1647" w:type="dxa"/>
            <w:shd w:val="clear" w:color="auto" w:fill="auto"/>
            <w:noWrap w:val="0"/>
            <w:vAlign w:val="center"/>
          </w:tcPr>
          <w:p w14:paraId="2796C697">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lang w:val="en-US" w:eastAsia="zh-CN"/>
              </w:rPr>
              <w:t>5</w:t>
            </w:r>
            <w:r>
              <w:rPr>
                <w:rFonts w:hint="default" w:ascii="Times New Roman" w:hAnsi="Times New Roman" w:cs="Times New Roman"/>
                <w:b w:val="0"/>
                <w:bCs w:val="0"/>
                <w:snapToGrid w:val="0"/>
                <w:color w:val="auto"/>
                <w:kern w:val="0"/>
                <w:sz w:val="21"/>
                <w:szCs w:val="21"/>
                <w:highlight w:val="none"/>
                <w:lang w:val="en-US" w:eastAsia="zh-CN"/>
              </w:rPr>
              <w:t>t/a</w:t>
            </w:r>
          </w:p>
        </w:tc>
        <w:tc>
          <w:tcPr>
            <w:tcW w:w="1163" w:type="dxa"/>
            <w:shd w:val="clear" w:color="auto" w:fill="auto"/>
            <w:noWrap w:val="0"/>
            <w:vAlign w:val="center"/>
          </w:tcPr>
          <w:p w14:paraId="4467B5E3">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lang w:val="en-US" w:eastAsia="zh-CN"/>
              </w:rPr>
              <w:t>+5</w:t>
            </w:r>
            <w:r>
              <w:rPr>
                <w:rFonts w:hint="default" w:ascii="Times New Roman" w:hAnsi="Times New Roman" w:cs="Times New Roman"/>
                <w:b w:val="0"/>
                <w:bCs w:val="0"/>
                <w:snapToGrid w:val="0"/>
                <w:color w:val="auto"/>
                <w:kern w:val="0"/>
                <w:sz w:val="21"/>
                <w:szCs w:val="21"/>
                <w:highlight w:val="none"/>
                <w:lang w:val="en-US" w:eastAsia="zh-CN"/>
              </w:rPr>
              <w:t>t/a</w:t>
            </w:r>
          </w:p>
        </w:tc>
      </w:tr>
      <w:tr w14:paraId="714DB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dxa"/>
            <w:vMerge w:val="continue"/>
            <w:noWrap w:val="0"/>
            <w:vAlign w:val="center"/>
          </w:tcPr>
          <w:p w14:paraId="619A94C8">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p>
        </w:tc>
        <w:tc>
          <w:tcPr>
            <w:tcW w:w="1429" w:type="dxa"/>
            <w:shd w:val="clear" w:color="auto" w:fill="auto"/>
            <w:noWrap w:val="0"/>
            <w:vAlign w:val="center"/>
          </w:tcPr>
          <w:p w14:paraId="2C24F1B0">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rPr>
              <w:t>除尘灰</w:t>
            </w:r>
          </w:p>
        </w:tc>
        <w:tc>
          <w:tcPr>
            <w:tcW w:w="1717" w:type="dxa"/>
            <w:noWrap w:val="0"/>
            <w:vAlign w:val="center"/>
          </w:tcPr>
          <w:p w14:paraId="60D2F47F">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w:t>
            </w:r>
          </w:p>
        </w:tc>
        <w:tc>
          <w:tcPr>
            <w:tcW w:w="1287" w:type="dxa"/>
            <w:noWrap w:val="0"/>
            <w:vAlign w:val="center"/>
          </w:tcPr>
          <w:p w14:paraId="72763975">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717" w:type="dxa"/>
            <w:noWrap w:val="0"/>
            <w:vAlign w:val="center"/>
          </w:tcPr>
          <w:p w14:paraId="7340491E">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74" w:type="dxa"/>
            <w:shd w:val="clear" w:color="auto" w:fill="auto"/>
            <w:noWrap w:val="0"/>
            <w:vAlign w:val="center"/>
          </w:tcPr>
          <w:p w14:paraId="21284945">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lang w:val="en-US" w:eastAsia="zh-CN"/>
              </w:rPr>
              <w:t>2</w:t>
            </w:r>
            <w:r>
              <w:rPr>
                <w:rFonts w:hint="eastAsia" w:ascii="Times New Roman" w:hAnsi="Times New Roman" w:cs="Times New Roman"/>
                <w:color w:val="auto"/>
                <w:sz w:val="21"/>
                <w:szCs w:val="21"/>
                <w:lang w:val="en-US" w:eastAsia="zh-CN"/>
              </w:rPr>
              <w:t>.461</w:t>
            </w:r>
            <w:r>
              <w:rPr>
                <w:rFonts w:hint="default" w:ascii="Times New Roman" w:hAnsi="Times New Roman" w:cs="Times New Roman"/>
                <w:b w:val="0"/>
                <w:bCs w:val="0"/>
                <w:snapToGrid w:val="0"/>
                <w:color w:val="auto"/>
                <w:kern w:val="0"/>
                <w:sz w:val="21"/>
                <w:szCs w:val="21"/>
                <w:highlight w:val="none"/>
                <w:lang w:val="en-US" w:eastAsia="zh-CN"/>
              </w:rPr>
              <w:t>t/a</w:t>
            </w:r>
          </w:p>
        </w:tc>
        <w:tc>
          <w:tcPr>
            <w:tcW w:w="1778" w:type="dxa"/>
            <w:noWrap w:val="0"/>
            <w:vAlign w:val="center"/>
          </w:tcPr>
          <w:p w14:paraId="748BF6FE">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w:t>
            </w:r>
          </w:p>
        </w:tc>
        <w:tc>
          <w:tcPr>
            <w:tcW w:w="1647" w:type="dxa"/>
            <w:shd w:val="clear" w:color="auto" w:fill="auto"/>
            <w:noWrap w:val="0"/>
            <w:vAlign w:val="center"/>
          </w:tcPr>
          <w:p w14:paraId="4C44FD90">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lang w:val="en-US" w:eastAsia="zh-CN"/>
              </w:rPr>
              <w:t>2</w:t>
            </w:r>
            <w:r>
              <w:rPr>
                <w:rFonts w:hint="eastAsia" w:ascii="Times New Roman" w:hAnsi="Times New Roman" w:cs="Times New Roman"/>
                <w:color w:val="auto"/>
                <w:sz w:val="21"/>
                <w:szCs w:val="21"/>
                <w:lang w:val="en-US" w:eastAsia="zh-CN"/>
              </w:rPr>
              <w:t>.461</w:t>
            </w:r>
            <w:r>
              <w:rPr>
                <w:rFonts w:hint="default" w:ascii="Times New Roman" w:hAnsi="Times New Roman" w:cs="Times New Roman"/>
                <w:b w:val="0"/>
                <w:bCs w:val="0"/>
                <w:snapToGrid w:val="0"/>
                <w:color w:val="auto"/>
                <w:kern w:val="0"/>
                <w:sz w:val="21"/>
                <w:szCs w:val="21"/>
                <w:highlight w:val="none"/>
                <w:lang w:val="en-US" w:eastAsia="zh-CN"/>
              </w:rPr>
              <w:t>t/a</w:t>
            </w:r>
          </w:p>
        </w:tc>
        <w:tc>
          <w:tcPr>
            <w:tcW w:w="1163" w:type="dxa"/>
            <w:shd w:val="clear" w:color="auto" w:fill="auto"/>
            <w:noWrap w:val="0"/>
            <w:vAlign w:val="center"/>
          </w:tcPr>
          <w:p w14:paraId="05DC0B04">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w:t>
            </w:r>
            <w:r>
              <w:rPr>
                <w:rFonts w:hint="eastAsia" w:ascii="Times New Roman" w:hAnsi="Times New Roman" w:cs="Times New Roman"/>
                <w:color w:val="auto"/>
                <w:sz w:val="21"/>
                <w:szCs w:val="21"/>
                <w:lang w:val="en-US" w:eastAsia="zh-CN"/>
              </w:rPr>
              <w:t>.461</w:t>
            </w:r>
            <w:r>
              <w:rPr>
                <w:rFonts w:hint="default" w:ascii="Times New Roman" w:hAnsi="Times New Roman" w:cs="Times New Roman"/>
                <w:b w:val="0"/>
                <w:bCs w:val="0"/>
                <w:snapToGrid w:val="0"/>
                <w:color w:val="auto"/>
                <w:kern w:val="0"/>
                <w:sz w:val="21"/>
                <w:szCs w:val="21"/>
                <w:highlight w:val="none"/>
                <w:lang w:val="en-US" w:eastAsia="zh-CN"/>
              </w:rPr>
              <w:t>t/a</w:t>
            </w:r>
          </w:p>
        </w:tc>
      </w:tr>
      <w:tr w14:paraId="271C85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dxa"/>
            <w:vMerge w:val="continue"/>
            <w:noWrap w:val="0"/>
            <w:vAlign w:val="center"/>
          </w:tcPr>
          <w:p w14:paraId="26D71C4A">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p>
        </w:tc>
        <w:tc>
          <w:tcPr>
            <w:tcW w:w="1429" w:type="dxa"/>
            <w:shd w:val="clear" w:color="auto" w:fill="auto"/>
            <w:noWrap w:val="0"/>
            <w:vAlign w:val="center"/>
          </w:tcPr>
          <w:p w14:paraId="29BC8049">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废</w:t>
            </w:r>
            <w:r>
              <w:rPr>
                <w:rFonts w:hint="default" w:ascii="Times New Roman" w:hAnsi="Times New Roman" w:eastAsia="宋体" w:cs="Times New Roman"/>
                <w:color w:val="auto"/>
                <w:sz w:val="21"/>
                <w:szCs w:val="21"/>
                <w:lang w:val="en-US" w:eastAsia="zh-CN"/>
              </w:rPr>
              <w:t>包装袋</w:t>
            </w:r>
          </w:p>
        </w:tc>
        <w:tc>
          <w:tcPr>
            <w:tcW w:w="1717" w:type="dxa"/>
            <w:noWrap w:val="0"/>
            <w:vAlign w:val="center"/>
          </w:tcPr>
          <w:p w14:paraId="4B11E39A">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p>
        </w:tc>
        <w:tc>
          <w:tcPr>
            <w:tcW w:w="1287" w:type="dxa"/>
            <w:noWrap w:val="0"/>
            <w:vAlign w:val="center"/>
          </w:tcPr>
          <w:p w14:paraId="416826DF">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p>
        </w:tc>
        <w:tc>
          <w:tcPr>
            <w:tcW w:w="1717" w:type="dxa"/>
            <w:noWrap w:val="0"/>
            <w:vAlign w:val="center"/>
          </w:tcPr>
          <w:p w14:paraId="1C4465A4">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p>
        </w:tc>
        <w:tc>
          <w:tcPr>
            <w:tcW w:w="1574" w:type="dxa"/>
            <w:shd w:val="clear" w:color="auto" w:fill="auto"/>
            <w:noWrap w:val="0"/>
            <w:vAlign w:val="center"/>
          </w:tcPr>
          <w:p w14:paraId="731F0970">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lang w:val="en-US" w:eastAsia="zh-CN"/>
              </w:rPr>
              <w:t>0.6</w:t>
            </w:r>
            <w:r>
              <w:rPr>
                <w:rFonts w:hint="default" w:ascii="Times New Roman" w:hAnsi="Times New Roman" w:cs="Times New Roman"/>
                <w:b w:val="0"/>
                <w:bCs w:val="0"/>
                <w:snapToGrid w:val="0"/>
                <w:color w:val="auto"/>
                <w:kern w:val="0"/>
                <w:sz w:val="21"/>
                <w:szCs w:val="21"/>
                <w:highlight w:val="none"/>
                <w:lang w:val="en-US" w:eastAsia="zh-CN"/>
              </w:rPr>
              <w:t>t/a</w:t>
            </w:r>
          </w:p>
        </w:tc>
        <w:tc>
          <w:tcPr>
            <w:tcW w:w="1778" w:type="dxa"/>
            <w:noWrap w:val="0"/>
            <w:vAlign w:val="center"/>
          </w:tcPr>
          <w:p w14:paraId="356C080E">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p>
        </w:tc>
        <w:tc>
          <w:tcPr>
            <w:tcW w:w="1647" w:type="dxa"/>
            <w:shd w:val="clear" w:color="auto" w:fill="auto"/>
            <w:noWrap w:val="0"/>
            <w:vAlign w:val="center"/>
          </w:tcPr>
          <w:p w14:paraId="3F8DBF8A">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0.6</w:t>
            </w:r>
            <w:r>
              <w:rPr>
                <w:rFonts w:hint="default" w:ascii="Times New Roman" w:hAnsi="Times New Roman" w:cs="Times New Roman"/>
                <w:b w:val="0"/>
                <w:bCs w:val="0"/>
                <w:snapToGrid w:val="0"/>
                <w:color w:val="auto"/>
                <w:kern w:val="0"/>
                <w:sz w:val="21"/>
                <w:szCs w:val="21"/>
                <w:highlight w:val="none"/>
                <w:lang w:val="en-US" w:eastAsia="zh-CN"/>
              </w:rPr>
              <w:t>t/a</w:t>
            </w:r>
          </w:p>
        </w:tc>
        <w:tc>
          <w:tcPr>
            <w:tcW w:w="1163" w:type="dxa"/>
            <w:shd w:val="clear" w:color="auto" w:fill="auto"/>
            <w:noWrap w:val="0"/>
            <w:vAlign w:val="center"/>
          </w:tcPr>
          <w:p w14:paraId="0D9B2961">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+0.6</w:t>
            </w:r>
            <w:r>
              <w:rPr>
                <w:rFonts w:hint="default" w:ascii="Times New Roman" w:hAnsi="Times New Roman" w:cs="Times New Roman"/>
                <w:b w:val="0"/>
                <w:bCs w:val="0"/>
                <w:snapToGrid w:val="0"/>
                <w:color w:val="auto"/>
                <w:kern w:val="0"/>
                <w:sz w:val="21"/>
                <w:szCs w:val="21"/>
                <w:highlight w:val="none"/>
                <w:lang w:val="en-US" w:eastAsia="zh-CN"/>
              </w:rPr>
              <w:t>t/a</w:t>
            </w:r>
          </w:p>
        </w:tc>
      </w:tr>
      <w:tr w14:paraId="650408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dxa"/>
            <w:vMerge w:val="restart"/>
            <w:noWrap w:val="0"/>
            <w:vAlign w:val="center"/>
          </w:tcPr>
          <w:p w14:paraId="7C4C8D29">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危险废物</w:t>
            </w:r>
          </w:p>
        </w:tc>
        <w:tc>
          <w:tcPr>
            <w:tcW w:w="1429" w:type="dxa"/>
            <w:shd w:val="clear" w:color="auto" w:fill="auto"/>
            <w:noWrap w:val="0"/>
            <w:vAlign w:val="center"/>
          </w:tcPr>
          <w:p w14:paraId="362545FE">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废包装桶</w:t>
            </w:r>
          </w:p>
        </w:tc>
        <w:tc>
          <w:tcPr>
            <w:tcW w:w="1717" w:type="dxa"/>
            <w:noWrap w:val="0"/>
            <w:vAlign w:val="center"/>
          </w:tcPr>
          <w:p w14:paraId="5493F833">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w:t>
            </w:r>
          </w:p>
        </w:tc>
        <w:tc>
          <w:tcPr>
            <w:tcW w:w="1287" w:type="dxa"/>
            <w:noWrap w:val="0"/>
            <w:vAlign w:val="center"/>
          </w:tcPr>
          <w:p w14:paraId="6C814F0D">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717" w:type="dxa"/>
            <w:noWrap w:val="0"/>
            <w:vAlign w:val="center"/>
          </w:tcPr>
          <w:p w14:paraId="07125D16">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74" w:type="dxa"/>
            <w:shd w:val="clear" w:color="auto" w:fill="auto"/>
            <w:noWrap w:val="0"/>
            <w:vAlign w:val="center"/>
          </w:tcPr>
          <w:p w14:paraId="0F6FE68F">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eastAsia" w:ascii="Times New Roman" w:hAnsi="Times New Roman" w:cs="Times New Roman"/>
                <w:color w:val="auto"/>
                <w:kern w:val="0"/>
                <w:sz w:val="21"/>
                <w:szCs w:val="21"/>
                <w:highlight w:val="none"/>
                <w:lang w:val="en-US" w:eastAsia="zh-CN" w:bidi="zh-CN"/>
              </w:rPr>
              <w:t>6.635</w:t>
            </w:r>
            <w:r>
              <w:rPr>
                <w:rFonts w:hint="default" w:ascii="Times New Roman" w:hAnsi="Times New Roman" w:cs="Times New Roman"/>
                <w:b w:val="0"/>
                <w:bCs w:val="0"/>
                <w:snapToGrid w:val="0"/>
                <w:color w:val="auto"/>
                <w:kern w:val="0"/>
                <w:sz w:val="21"/>
                <w:szCs w:val="21"/>
                <w:highlight w:val="none"/>
                <w:lang w:val="en-US" w:eastAsia="zh-CN"/>
              </w:rPr>
              <w:t>t/a</w:t>
            </w:r>
          </w:p>
        </w:tc>
        <w:tc>
          <w:tcPr>
            <w:tcW w:w="1778" w:type="dxa"/>
            <w:noWrap w:val="0"/>
            <w:vAlign w:val="center"/>
          </w:tcPr>
          <w:p w14:paraId="7D6D3601">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647" w:type="dxa"/>
            <w:shd w:val="clear" w:color="auto" w:fill="auto"/>
            <w:noWrap w:val="0"/>
            <w:vAlign w:val="center"/>
          </w:tcPr>
          <w:p w14:paraId="4656EACF">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kern w:val="0"/>
                <w:sz w:val="21"/>
                <w:szCs w:val="21"/>
                <w:highlight w:val="none"/>
                <w:lang w:val="en-US" w:eastAsia="zh-CN" w:bidi="zh-CN"/>
              </w:rPr>
              <w:t>6.635</w:t>
            </w:r>
            <w:r>
              <w:rPr>
                <w:rFonts w:hint="default" w:ascii="Times New Roman" w:hAnsi="Times New Roman" w:cs="Times New Roman"/>
                <w:b w:val="0"/>
                <w:bCs w:val="0"/>
                <w:snapToGrid w:val="0"/>
                <w:color w:val="auto"/>
                <w:kern w:val="0"/>
                <w:sz w:val="21"/>
                <w:szCs w:val="21"/>
                <w:highlight w:val="none"/>
                <w:lang w:val="en-US" w:eastAsia="zh-CN"/>
              </w:rPr>
              <w:t>t/a</w:t>
            </w:r>
          </w:p>
        </w:tc>
        <w:tc>
          <w:tcPr>
            <w:tcW w:w="1163" w:type="dxa"/>
            <w:shd w:val="clear" w:color="auto" w:fill="auto"/>
            <w:noWrap w:val="0"/>
            <w:vAlign w:val="center"/>
          </w:tcPr>
          <w:p w14:paraId="49A870F0">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kern w:val="0"/>
                <w:sz w:val="21"/>
                <w:szCs w:val="21"/>
                <w:highlight w:val="none"/>
                <w:lang w:val="en-US" w:eastAsia="zh-CN" w:bidi="zh-CN"/>
              </w:rPr>
              <w:t>6.635</w:t>
            </w:r>
            <w:r>
              <w:rPr>
                <w:rFonts w:hint="default" w:ascii="Times New Roman" w:hAnsi="Times New Roman" w:cs="Times New Roman"/>
                <w:b w:val="0"/>
                <w:bCs w:val="0"/>
                <w:snapToGrid w:val="0"/>
                <w:color w:val="auto"/>
                <w:kern w:val="0"/>
                <w:sz w:val="21"/>
                <w:szCs w:val="21"/>
                <w:highlight w:val="none"/>
                <w:lang w:val="en-US" w:eastAsia="zh-CN"/>
              </w:rPr>
              <w:t>t/a</w:t>
            </w:r>
          </w:p>
        </w:tc>
      </w:tr>
      <w:tr w14:paraId="1205E4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dxa"/>
            <w:vMerge w:val="continue"/>
            <w:noWrap w:val="0"/>
            <w:vAlign w:val="center"/>
          </w:tcPr>
          <w:p w14:paraId="58D1B182">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p>
        </w:tc>
        <w:tc>
          <w:tcPr>
            <w:tcW w:w="1429" w:type="dxa"/>
            <w:shd w:val="clear" w:color="auto" w:fill="auto"/>
            <w:noWrap w:val="0"/>
            <w:vAlign w:val="center"/>
          </w:tcPr>
          <w:p w14:paraId="71C38A1A">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清洗废液</w:t>
            </w:r>
          </w:p>
        </w:tc>
        <w:tc>
          <w:tcPr>
            <w:tcW w:w="1717" w:type="dxa"/>
            <w:noWrap w:val="0"/>
            <w:vAlign w:val="center"/>
          </w:tcPr>
          <w:p w14:paraId="03B43B55">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w:t>
            </w:r>
          </w:p>
        </w:tc>
        <w:tc>
          <w:tcPr>
            <w:tcW w:w="1287" w:type="dxa"/>
            <w:noWrap w:val="0"/>
            <w:vAlign w:val="center"/>
          </w:tcPr>
          <w:p w14:paraId="37C6B807">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717" w:type="dxa"/>
            <w:noWrap w:val="0"/>
            <w:vAlign w:val="center"/>
          </w:tcPr>
          <w:p w14:paraId="152635B7">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74" w:type="dxa"/>
            <w:shd w:val="clear" w:color="auto" w:fill="auto"/>
            <w:noWrap w:val="0"/>
            <w:vAlign w:val="center"/>
          </w:tcPr>
          <w:p w14:paraId="0C5B477F">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eastAsia" w:ascii="Times New Roman" w:hAnsi="Times New Roman" w:cs="Times New Roman"/>
                <w:color w:val="auto"/>
                <w:sz w:val="21"/>
                <w:szCs w:val="21"/>
                <w:highlight w:val="none"/>
                <w:lang w:val="en-US" w:eastAsia="zh-CN"/>
              </w:rPr>
              <w:t>0.188</w:t>
            </w:r>
            <w:r>
              <w:rPr>
                <w:rFonts w:hint="default" w:ascii="Times New Roman" w:hAnsi="Times New Roman" w:cs="Times New Roman"/>
                <w:b w:val="0"/>
                <w:bCs w:val="0"/>
                <w:snapToGrid w:val="0"/>
                <w:color w:val="auto"/>
                <w:kern w:val="0"/>
                <w:sz w:val="21"/>
                <w:szCs w:val="21"/>
                <w:highlight w:val="none"/>
                <w:lang w:val="en-US" w:eastAsia="zh-CN"/>
              </w:rPr>
              <w:t>t/a</w:t>
            </w:r>
          </w:p>
        </w:tc>
        <w:tc>
          <w:tcPr>
            <w:tcW w:w="1778" w:type="dxa"/>
            <w:noWrap w:val="0"/>
            <w:vAlign w:val="center"/>
          </w:tcPr>
          <w:p w14:paraId="585C2E08">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647" w:type="dxa"/>
            <w:shd w:val="clear" w:color="auto" w:fill="auto"/>
            <w:noWrap w:val="0"/>
            <w:vAlign w:val="center"/>
          </w:tcPr>
          <w:p w14:paraId="148D2191">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highlight w:val="none"/>
                <w:lang w:val="en-US" w:eastAsia="zh-CN"/>
              </w:rPr>
              <w:t>0.188</w:t>
            </w:r>
            <w:r>
              <w:rPr>
                <w:rFonts w:hint="default" w:ascii="Times New Roman" w:hAnsi="Times New Roman" w:cs="Times New Roman"/>
                <w:b w:val="0"/>
                <w:bCs w:val="0"/>
                <w:snapToGrid w:val="0"/>
                <w:color w:val="auto"/>
                <w:kern w:val="0"/>
                <w:sz w:val="21"/>
                <w:szCs w:val="21"/>
                <w:highlight w:val="none"/>
                <w:lang w:val="en-US" w:eastAsia="zh-CN"/>
              </w:rPr>
              <w:t>t/a</w:t>
            </w:r>
          </w:p>
        </w:tc>
        <w:tc>
          <w:tcPr>
            <w:tcW w:w="1163" w:type="dxa"/>
            <w:shd w:val="clear" w:color="auto" w:fill="auto"/>
            <w:noWrap w:val="0"/>
            <w:vAlign w:val="center"/>
          </w:tcPr>
          <w:p w14:paraId="486F2246">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highlight w:val="none"/>
                <w:lang w:val="en-US" w:eastAsia="zh-CN"/>
              </w:rPr>
              <w:t>0.188</w:t>
            </w:r>
            <w:r>
              <w:rPr>
                <w:rFonts w:hint="default" w:ascii="Times New Roman" w:hAnsi="Times New Roman" w:cs="Times New Roman"/>
                <w:b w:val="0"/>
                <w:bCs w:val="0"/>
                <w:snapToGrid w:val="0"/>
                <w:color w:val="auto"/>
                <w:kern w:val="0"/>
                <w:sz w:val="21"/>
                <w:szCs w:val="21"/>
                <w:highlight w:val="none"/>
                <w:lang w:val="en-US" w:eastAsia="zh-CN"/>
              </w:rPr>
              <w:t>t/a</w:t>
            </w:r>
          </w:p>
        </w:tc>
      </w:tr>
      <w:tr w14:paraId="08FEB3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dxa"/>
            <w:vMerge w:val="continue"/>
            <w:noWrap w:val="0"/>
            <w:vAlign w:val="center"/>
          </w:tcPr>
          <w:p w14:paraId="4F31681F">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p>
        </w:tc>
        <w:tc>
          <w:tcPr>
            <w:tcW w:w="1429" w:type="dxa"/>
            <w:shd w:val="clear" w:color="auto" w:fill="auto"/>
            <w:noWrap w:val="0"/>
            <w:vAlign w:val="center"/>
          </w:tcPr>
          <w:p w14:paraId="48204FE6">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1"/>
                <w:lang w:val="zh-CN" w:eastAsia="zh-CN" w:bidi="ar"/>
              </w:rPr>
            </w:pPr>
            <w:r>
              <w:rPr>
                <w:rFonts w:hint="default" w:ascii="Times New Roman" w:hAnsi="Times New Roman" w:eastAsia="宋体" w:cs="Times New Roman"/>
                <w:color w:val="000000"/>
                <w:kern w:val="0"/>
                <w:sz w:val="21"/>
                <w:szCs w:val="21"/>
                <w:lang w:val="en-US" w:eastAsia="zh-CN" w:bidi="ar"/>
              </w:rPr>
              <w:t>废活性炭</w:t>
            </w:r>
          </w:p>
        </w:tc>
        <w:tc>
          <w:tcPr>
            <w:tcW w:w="1717" w:type="dxa"/>
            <w:noWrap w:val="0"/>
            <w:vAlign w:val="center"/>
          </w:tcPr>
          <w:p w14:paraId="3CC6F8ED">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w:t>
            </w:r>
          </w:p>
        </w:tc>
        <w:tc>
          <w:tcPr>
            <w:tcW w:w="1287" w:type="dxa"/>
            <w:noWrap w:val="0"/>
            <w:vAlign w:val="center"/>
          </w:tcPr>
          <w:p w14:paraId="60BF739C">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717" w:type="dxa"/>
            <w:noWrap w:val="0"/>
            <w:vAlign w:val="center"/>
          </w:tcPr>
          <w:p w14:paraId="39D6205A">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74" w:type="dxa"/>
            <w:shd w:val="clear" w:color="auto" w:fill="auto"/>
            <w:noWrap w:val="0"/>
            <w:vAlign w:val="center"/>
          </w:tcPr>
          <w:p w14:paraId="1CAB5957">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lang w:val="en-US" w:eastAsia="zh-CN"/>
              </w:rPr>
              <w:t>4.325</w:t>
            </w:r>
            <w:r>
              <w:rPr>
                <w:rFonts w:hint="default" w:ascii="Times New Roman" w:hAnsi="Times New Roman" w:cs="Times New Roman"/>
                <w:b w:val="0"/>
                <w:bCs w:val="0"/>
                <w:snapToGrid w:val="0"/>
                <w:color w:val="auto"/>
                <w:kern w:val="0"/>
                <w:sz w:val="21"/>
                <w:szCs w:val="21"/>
                <w:highlight w:val="none"/>
                <w:lang w:val="en-US" w:eastAsia="zh-CN"/>
              </w:rPr>
              <w:t>t/a</w:t>
            </w:r>
          </w:p>
        </w:tc>
        <w:tc>
          <w:tcPr>
            <w:tcW w:w="1778" w:type="dxa"/>
            <w:noWrap w:val="0"/>
            <w:vAlign w:val="center"/>
          </w:tcPr>
          <w:p w14:paraId="2AC88BE5">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647" w:type="dxa"/>
            <w:shd w:val="clear" w:color="auto" w:fill="auto"/>
            <w:noWrap w:val="0"/>
            <w:vAlign w:val="center"/>
          </w:tcPr>
          <w:p w14:paraId="57883714">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lang w:val="en-US" w:eastAsia="zh-CN"/>
              </w:rPr>
              <w:t>4.325</w:t>
            </w:r>
            <w:r>
              <w:rPr>
                <w:rFonts w:hint="default" w:ascii="Times New Roman" w:hAnsi="Times New Roman" w:cs="Times New Roman"/>
                <w:b w:val="0"/>
                <w:bCs w:val="0"/>
                <w:snapToGrid w:val="0"/>
                <w:color w:val="auto"/>
                <w:kern w:val="0"/>
                <w:sz w:val="21"/>
                <w:szCs w:val="21"/>
                <w:highlight w:val="none"/>
                <w:lang w:val="en-US" w:eastAsia="zh-CN"/>
              </w:rPr>
              <w:t>t/a</w:t>
            </w:r>
          </w:p>
        </w:tc>
        <w:tc>
          <w:tcPr>
            <w:tcW w:w="1163" w:type="dxa"/>
            <w:shd w:val="clear" w:color="auto" w:fill="auto"/>
            <w:noWrap w:val="0"/>
            <w:vAlign w:val="center"/>
          </w:tcPr>
          <w:p w14:paraId="6D2F9620">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lang w:val="en-US" w:eastAsia="zh-CN"/>
              </w:rPr>
              <w:t>+4.325</w:t>
            </w:r>
            <w:r>
              <w:rPr>
                <w:rFonts w:hint="default" w:ascii="Times New Roman" w:hAnsi="Times New Roman" w:cs="Times New Roman"/>
                <w:b w:val="0"/>
                <w:bCs w:val="0"/>
                <w:snapToGrid w:val="0"/>
                <w:color w:val="auto"/>
                <w:kern w:val="0"/>
                <w:sz w:val="21"/>
                <w:szCs w:val="21"/>
                <w:highlight w:val="none"/>
                <w:lang w:val="en-US" w:eastAsia="zh-CN"/>
              </w:rPr>
              <w:t>t/a</w:t>
            </w:r>
          </w:p>
        </w:tc>
      </w:tr>
      <w:tr w14:paraId="236F9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dxa"/>
            <w:vMerge w:val="continue"/>
            <w:noWrap w:val="0"/>
            <w:vAlign w:val="center"/>
          </w:tcPr>
          <w:p w14:paraId="6F934ACC">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p>
        </w:tc>
        <w:tc>
          <w:tcPr>
            <w:tcW w:w="1429" w:type="dxa"/>
            <w:shd w:val="clear" w:color="auto" w:fill="auto"/>
            <w:noWrap w:val="0"/>
            <w:vAlign w:val="center"/>
          </w:tcPr>
          <w:p w14:paraId="54A80DF7">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lang w:eastAsia="zh-CN"/>
              </w:rPr>
              <w:t>废机油</w:t>
            </w:r>
            <w:r>
              <w:rPr>
                <w:rFonts w:hint="default" w:ascii="Times New Roman" w:hAnsi="Times New Roman" w:eastAsia="宋体" w:cs="Times New Roman"/>
                <w:color w:val="auto"/>
                <w:sz w:val="21"/>
                <w:szCs w:val="21"/>
                <w:lang w:val="en-US" w:eastAsia="zh-CN"/>
              </w:rPr>
              <w:t>及油桶</w:t>
            </w:r>
          </w:p>
        </w:tc>
        <w:tc>
          <w:tcPr>
            <w:tcW w:w="1717" w:type="dxa"/>
            <w:noWrap w:val="0"/>
            <w:vAlign w:val="center"/>
          </w:tcPr>
          <w:p w14:paraId="27441B87">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w:t>
            </w:r>
          </w:p>
        </w:tc>
        <w:tc>
          <w:tcPr>
            <w:tcW w:w="1287" w:type="dxa"/>
            <w:noWrap w:val="0"/>
            <w:vAlign w:val="center"/>
          </w:tcPr>
          <w:p w14:paraId="7550C87A">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717" w:type="dxa"/>
            <w:noWrap w:val="0"/>
            <w:vAlign w:val="center"/>
          </w:tcPr>
          <w:p w14:paraId="5E1A5CC6">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74" w:type="dxa"/>
            <w:shd w:val="clear" w:color="auto" w:fill="auto"/>
            <w:noWrap w:val="0"/>
            <w:vAlign w:val="center"/>
          </w:tcPr>
          <w:p w14:paraId="610C9850">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1</w:t>
            </w:r>
            <w:r>
              <w:rPr>
                <w:rFonts w:hint="default" w:ascii="Times New Roman" w:hAnsi="Times New Roman" w:cs="Times New Roman"/>
                <w:b w:val="0"/>
                <w:bCs w:val="0"/>
                <w:snapToGrid w:val="0"/>
                <w:color w:val="auto"/>
                <w:kern w:val="0"/>
                <w:sz w:val="21"/>
                <w:szCs w:val="21"/>
                <w:highlight w:val="none"/>
                <w:lang w:val="en-US" w:eastAsia="zh-CN"/>
              </w:rPr>
              <w:t>t/a</w:t>
            </w:r>
          </w:p>
        </w:tc>
        <w:tc>
          <w:tcPr>
            <w:tcW w:w="1778" w:type="dxa"/>
            <w:noWrap w:val="0"/>
            <w:vAlign w:val="center"/>
          </w:tcPr>
          <w:p w14:paraId="1FF65E7D">
            <w:pPr>
              <w:pStyle w:val="90"/>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rPr>
            </w:pPr>
            <w:r>
              <w:rPr>
                <w:rFonts w:hint="default" w:ascii="Times New Roman" w:hAnsi="Times New Roman" w:eastAsia="宋体" w:cs="Times New Roman"/>
                <w:snapToGrid w:val="0"/>
                <w:color w:val="auto"/>
                <w:kern w:val="21"/>
                <w:sz w:val="21"/>
                <w:szCs w:val="21"/>
              </w:rPr>
              <w:t>/</w:t>
            </w:r>
          </w:p>
        </w:tc>
        <w:tc>
          <w:tcPr>
            <w:tcW w:w="1647" w:type="dxa"/>
            <w:shd w:val="clear" w:color="auto" w:fill="auto"/>
            <w:noWrap w:val="0"/>
            <w:vAlign w:val="center"/>
          </w:tcPr>
          <w:p w14:paraId="7AA85CF9">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1</w:t>
            </w:r>
            <w:r>
              <w:rPr>
                <w:rFonts w:hint="default" w:ascii="Times New Roman" w:hAnsi="Times New Roman" w:cs="Times New Roman"/>
                <w:b w:val="0"/>
                <w:bCs w:val="0"/>
                <w:snapToGrid w:val="0"/>
                <w:color w:val="auto"/>
                <w:kern w:val="0"/>
                <w:sz w:val="21"/>
                <w:szCs w:val="21"/>
                <w:highlight w:val="none"/>
                <w:lang w:val="en-US" w:eastAsia="zh-CN"/>
              </w:rPr>
              <w:t>t/a</w:t>
            </w:r>
          </w:p>
        </w:tc>
        <w:tc>
          <w:tcPr>
            <w:tcW w:w="1163" w:type="dxa"/>
            <w:shd w:val="clear" w:color="auto" w:fill="auto"/>
            <w:noWrap w:val="0"/>
            <w:vAlign w:val="center"/>
          </w:tcPr>
          <w:p w14:paraId="34625EA7">
            <w:pPr>
              <w:pStyle w:val="27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1</w:t>
            </w:r>
            <w:r>
              <w:rPr>
                <w:rFonts w:hint="default" w:ascii="Times New Roman" w:hAnsi="Times New Roman" w:cs="Times New Roman"/>
                <w:b w:val="0"/>
                <w:bCs w:val="0"/>
                <w:snapToGrid w:val="0"/>
                <w:color w:val="auto"/>
                <w:kern w:val="0"/>
                <w:sz w:val="21"/>
                <w:szCs w:val="21"/>
                <w:highlight w:val="none"/>
                <w:lang w:val="en-US" w:eastAsia="zh-CN"/>
              </w:rPr>
              <w:t>t/a</w:t>
            </w:r>
          </w:p>
        </w:tc>
      </w:tr>
    </w:tbl>
    <w:p w14:paraId="471FBD15">
      <w:pPr>
        <w:pStyle w:val="8"/>
        <w:keepNext w:val="0"/>
        <w:keepLines w:val="0"/>
        <w:pageBreakBefore w:val="0"/>
        <w:widowControl w:val="0"/>
        <w:kinsoku/>
        <w:wordWrap/>
        <w:overflowPunct/>
        <w:topLinePunct w:val="0"/>
        <w:autoSpaceDE/>
        <w:autoSpaceDN/>
        <w:bidi w:val="0"/>
        <w:adjustRightInd/>
        <w:snapToGrid/>
        <w:spacing w:before="36" w:after="0"/>
        <w:ind w:left="113"/>
        <w:textAlignment w:val="auto"/>
        <w:rPr>
          <w:color w:val="auto"/>
        </w:rPr>
      </w:pPr>
      <w:r>
        <w:rPr>
          <w:color w:val="auto"/>
        </w:rPr>
        <w:t>注：</w:t>
      </w:r>
      <w:r>
        <w:rPr>
          <w:rFonts w:hAnsi="宋体"/>
          <w:color w:val="auto"/>
          <w:spacing w:val="-3"/>
        </w:rPr>
        <w:t>⑥</w:t>
      </w:r>
      <w:r>
        <w:rPr>
          <w:rFonts w:eastAsia="Times New Roman"/>
          <w:color w:val="auto"/>
          <w:spacing w:val="-16"/>
        </w:rPr>
        <w:t>=</w:t>
      </w:r>
      <w:r>
        <w:rPr>
          <w:rFonts w:hAnsi="宋体"/>
          <w:color w:val="auto"/>
        </w:rPr>
        <w:t>①</w:t>
      </w:r>
      <w:r>
        <w:rPr>
          <w:rFonts w:eastAsia="Times New Roman"/>
          <w:color w:val="auto"/>
          <w:spacing w:val="-9"/>
        </w:rPr>
        <w:t>+</w:t>
      </w:r>
      <w:r>
        <w:rPr>
          <w:rFonts w:hAnsi="宋体"/>
          <w:color w:val="auto"/>
        </w:rPr>
        <w:t>③</w:t>
      </w:r>
      <w:r>
        <w:rPr>
          <w:rFonts w:eastAsia="Times New Roman"/>
          <w:color w:val="auto"/>
          <w:spacing w:val="-9"/>
        </w:rPr>
        <w:t>+</w:t>
      </w:r>
      <w:r>
        <w:rPr>
          <w:rFonts w:hAnsi="宋体"/>
          <w:color w:val="auto"/>
        </w:rPr>
        <w:t>④</w:t>
      </w:r>
      <w:r>
        <w:rPr>
          <w:rFonts w:eastAsia="Times New Roman"/>
          <w:color w:val="auto"/>
          <w:spacing w:val="-8"/>
        </w:rPr>
        <w:t>-</w:t>
      </w:r>
      <w:r>
        <w:rPr>
          <w:rFonts w:hAnsi="宋体"/>
          <w:color w:val="auto"/>
        </w:rPr>
        <w:t>⑤</w:t>
      </w:r>
      <w:r>
        <w:rPr>
          <w:color w:val="auto"/>
          <w:spacing w:val="-34"/>
        </w:rPr>
        <w:t>；</w:t>
      </w:r>
      <w:r>
        <w:rPr>
          <w:rFonts w:hAnsi="宋体"/>
          <w:color w:val="auto"/>
        </w:rPr>
        <w:t>⑦</w:t>
      </w:r>
      <w:r>
        <w:rPr>
          <w:rFonts w:eastAsia="Times New Roman"/>
          <w:color w:val="auto"/>
          <w:spacing w:val="-9"/>
        </w:rPr>
        <w:t>=</w:t>
      </w:r>
      <w:r>
        <w:rPr>
          <w:rFonts w:hAnsi="宋体"/>
          <w:color w:val="auto"/>
        </w:rPr>
        <w:t>⑥</w:t>
      </w:r>
      <w:r>
        <w:rPr>
          <w:rFonts w:eastAsia="Times New Roman"/>
          <w:color w:val="auto"/>
          <w:spacing w:val="-18"/>
        </w:rPr>
        <w:t>-</w:t>
      </w:r>
      <w:r>
        <w:rPr>
          <w:rFonts w:hAnsi="宋体"/>
          <w:color w:val="auto"/>
        </w:rPr>
        <w:t>①</w:t>
      </w:r>
    </w:p>
    <w:sectPr>
      <w:footerReference r:id="rId9" w:type="default"/>
      <w:pgSz w:w="16838" w:h="11906" w:orient="landscape"/>
      <w:pgMar w:top="1417" w:right="1440" w:bottom="1134" w:left="1440" w:header="0" w:footer="0" w:gutter="0"/>
      <w:pgBorders w:offsetFrom="page">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汉鼎简书宋">
    <w:altName w:val="宋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_x000B__x000C_">
    <w:altName w:val="Times New Roman"/>
    <w:panose1 w:val="00000000000000000000"/>
    <w:charset w:val="00"/>
    <w:family w:val="roman"/>
    <w:pitch w:val="default"/>
    <w:sig w:usb0="00000000" w:usb1="00000000" w:usb2="00000000" w:usb3="00000000" w:csb0="00040001" w:csb1="00000000"/>
  </w:font>
  <w:font w:name="Arial Black">
    <w:panose1 w:val="020B0A04020102020204"/>
    <w:charset w:val="00"/>
    <w:family w:val="swiss"/>
    <w:pitch w:val="default"/>
    <w:sig w:usb0="A00002AF" w:usb1="400078FB" w:usb2="00000000" w:usb3="00000000" w:csb0="6000009F" w:csb1="DFD70000"/>
  </w:font>
  <w:font w:name="Arial Unicode MS">
    <w:altName w:val="宋体"/>
    <w:panose1 w:val="020B0604020202020204"/>
    <w:charset w:val="86"/>
    <w:family w:val="roman"/>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F2">
    <w:altName w:val="Times New Roman"/>
    <w:panose1 w:val="00000000000000000000"/>
    <w:charset w:val="00"/>
    <w:family w:val="roman"/>
    <w:pitch w:val="default"/>
    <w:sig w:usb0="00000000" w:usb1="00000000" w:usb2="00000000" w:usb3="00000000" w:csb0="00040001" w:csb1="00000000"/>
  </w:font>
  <w:font w:name="TimesNewRomanPSMT">
    <w:altName w:val="Times New Roman"/>
    <w:panose1 w:val="00000000000000000000"/>
    <w:charset w:val="00"/>
    <w:family w:val="auto"/>
    <w:pitch w:val="default"/>
    <w:sig w:usb0="00000000" w:usb1="00000000" w:usb2="00000010" w:usb3="00000000" w:csb0="00040001" w:csb1="00000000"/>
  </w:font>
  <w:font w:name="MS Mincho">
    <w:altName w:val="Yu Gothic UI"/>
    <w:panose1 w:val="02020609040205080304"/>
    <w:charset w:val="80"/>
    <w:family w:val="modern"/>
    <w:pitch w:val="default"/>
    <w:sig w:usb0="00000000" w:usb1="00000000" w:usb2="00000010" w:usb3="00000000" w:csb0="4002009F" w:csb1="DFD70000"/>
  </w:font>
  <w:font w:name="Yu Gothic UI">
    <w:panose1 w:val="020B0500000000000000"/>
    <w:charset w:val="80"/>
    <w:family w:val="auto"/>
    <w:pitch w:val="default"/>
    <w:sig w:usb0="E00002FF" w:usb1="2AC7FDFF" w:usb2="00000016" w:usb3="00000000" w:csb0="200200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140AD">
    <w:pPr>
      <w:pStyle w:val="24"/>
      <w:rPr>
        <w:rStyle w:val="44"/>
        <w:rFonts w:hint="eastAsia"/>
      </w:rPr>
    </w:pPr>
  </w:p>
  <w:p w14:paraId="6936502C">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AB773">
    <w:pPr>
      <w:pStyle w:val="24"/>
      <w:framePr w:wrap="around" w:vAnchor="text" w:hAnchor="margin" w:xAlign="center" w:y="1"/>
      <w:rPr>
        <w:rStyle w:val="44"/>
      </w:rPr>
    </w:pPr>
    <w:r>
      <w:fldChar w:fldCharType="begin"/>
    </w:r>
    <w:r>
      <w:rPr>
        <w:rStyle w:val="44"/>
      </w:rPr>
      <w:instrText xml:space="preserve">PAGE  </w:instrText>
    </w:r>
    <w:r>
      <w:fldChar w:fldCharType="end"/>
    </w:r>
  </w:p>
  <w:p w14:paraId="45C1AFDE">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F630F">
    <w:pPr>
      <w:pStyle w:val="24"/>
      <w:rPr>
        <w:rStyle w:val="44"/>
        <w:rFonts w:hint="eastAsia"/>
      </w:rPr>
    </w:pPr>
  </w:p>
  <w:p w14:paraId="21EE2F11">
    <w:pPr>
      <w:pStyle w:val="2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1A1E8">
    <w:pPr>
      <w:pStyle w:val="24"/>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40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735AAB">
                          <w:pPr>
                            <w:pStyle w:val="24"/>
                            <w:jc w:val="center"/>
                          </w:pPr>
                          <w:r>
                            <w:fldChar w:fldCharType="begin"/>
                          </w:r>
                          <w:r>
                            <w:rPr>
                              <w:rStyle w:val="44"/>
                            </w:rPr>
                            <w:instrText xml:space="preserve"> PAGE </w:instrText>
                          </w:r>
                          <w:r>
                            <w:fldChar w:fldCharType="separate"/>
                          </w:r>
                          <w:r>
                            <w:rPr>
                              <w:rStyle w:val="44"/>
                            </w:rPr>
                            <w:t>33</w:t>
                          </w:r>
                          <w:r>
                            <w:fldChar w:fldCharType="end"/>
                          </w:r>
                        </w:p>
                      </w:txbxContent>
                    </wps:txbx>
                    <wps:bodyPr vert="horz" wrap="none" lIns="0" tIns="0" rIns="0" bIns="0" anchor="t" anchorCtr="0" upright="0">
                      <a:spAutoFit/>
                    </wps:bodyPr>
                  </wps:wsp>
                </a:graphicData>
              </a:graphic>
            </wp:anchor>
          </w:drawing>
        </mc:Choice>
        <mc:Fallback>
          <w:pict>
            <v:shape id="文本框 409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VL59beIBAADCAwAADgAA&#10;AAAAAAABACAAAAAeAQAAZHJzL2Uyb0RvYy54bWxQSwUGAAAAAAYABgBZAQAAcgUAAAAA&#10;">
              <v:fill on="f" focussize="0,0"/>
              <v:stroke on="f"/>
              <v:imagedata o:title=""/>
              <o:lock v:ext="edit" aspectratio="f"/>
              <v:textbox inset="0mm,0mm,0mm,0mm" style="mso-fit-shape-to-text:t;">
                <w:txbxContent>
                  <w:p w14:paraId="66735AAB">
                    <w:pPr>
                      <w:pStyle w:val="24"/>
                      <w:jc w:val="center"/>
                    </w:pPr>
                    <w:r>
                      <w:fldChar w:fldCharType="begin"/>
                    </w:r>
                    <w:r>
                      <w:rPr>
                        <w:rStyle w:val="44"/>
                      </w:rPr>
                      <w:instrText xml:space="preserve"> PAGE </w:instrText>
                    </w:r>
                    <w:r>
                      <w:fldChar w:fldCharType="separate"/>
                    </w:r>
                    <w:r>
                      <w:rPr>
                        <w:rStyle w:val="44"/>
                      </w:rP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5AA5">
    <w:pPr>
      <w:pStyle w:val="24"/>
      <w:ind w:right="360"/>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posOffset>4402455</wp:posOffset>
              </wp:positionH>
              <wp:positionV relativeFrom="paragraph">
                <wp:posOffset>-520065</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DC7858">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46.65pt;margin-top:-40.95pt;height:144pt;width:144pt;mso-position-horizontal-relative:margin;mso-wrap-style:none;z-index:251661312;mso-width-relative:page;mso-height-relative:page;" filled="f" stroked="f" coordsize="21600,21600" o:gfxdata="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GPOHN2AAAAAsBAAAPAAAAAAAAAAEAIAAAACIAAABkcnMvZG93bnJldi54&#10;bWxQSwECFAAUAAAACACHTuJA37+6tzMCAABlBAAADgAAAAAAAAABACAAAAAnAQAAZHJzL2Uyb0Rv&#10;Yy54bWxQSwUGAAAAAAYABgBZAQAAzAUAAAAA&#10;">
              <v:fill on="f" focussize="0,0"/>
              <v:stroke on="f" weight="0.5pt"/>
              <v:imagedata o:title=""/>
              <o:lock v:ext="edit" aspectratio="f"/>
              <v:textbox inset="0mm,0mm,0mm,0mm" style="mso-fit-shape-to-text:t;">
                <w:txbxContent>
                  <w:p w14:paraId="7FDC7858">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5950B">
    <w:pPr>
      <w:pStyle w:val="2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14A38">
    <w:pPr>
      <w:pStyle w:val="25"/>
      <w:rPr>
        <w:rFonts w:hint="default"/>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AA150A"/>
    <w:multiLevelType w:val="singleLevel"/>
    <w:tmpl w:val="99AA150A"/>
    <w:lvl w:ilvl="0" w:tentative="0">
      <w:start w:val="1"/>
      <w:numFmt w:val="decimal"/>
      <w:suff w:val="nothing"/>
      <w:lvlText w:val="（%1）"/>
      <w:lvlJc w:val="left"/>
    </w:lvl>
  </w:abstractNum>
  <w:abstractNum w:abstractNumId="1">
    <w:nsid w:val="9ED8E363"/>
    <w:multiLevelType w:val="singleLevel"/>
    <w:tmpl w:val="9ED8E363"/>
    <w:lvl w:ilvl="0" w:tentative="0">
      <w:start w:val="1"/>
      <w:numFmt w:val="decimal"/>
      <w:suff w:val="nothing"/>
      <w:lvlText w:val="%1、"/>
      <w:lvlJc w:val="left"/>
    </w:lvl>
  </w:abstractNum>
  <w:abstractNum w:abstractNumId="2">
    <w:nsid w:val="B5F26F5D"/>
    <w:multiLevelType w:val="singleLevel"/>
    <w:tmpl w:val="B5F26F5D"/>
    <w:lvl w:ilvl="0" w:tentative="0">
      <w:start w:val="2"/>
      <w:numFmt w:val="decimal"/>
      <w:suff w:val="nothing"/>
      <w:lvlText w:val="%1）"/>
      <w:lvlJc w:val="left"/>
    </w:lvl>
  </w:abstractNum>
  <w:abstractNum w:abstractNumId="3">
    <w:nsid w:val="BC9C0201"/>
    <w:multiLevelType w:val="singleLevel"/>
    <w:tmpl w:val="BC9C0201"/>
    <w:lvl w:ilvl="0" w:tentative="0">
      <w:start w:val="1"/>
      <w:numFmt w:val="decimal"/>
      <w:suff w:val="nothing"/>
      <w:lvlText w:val="（%1）"/>
      <w:lvlJc w:val="left"/>
    </w:lvl>
  </w:abstractNum>
  <w:abstractNum w:abstractNumId="4">
    <w:nsid w:val="C01240BE"/>
    <w:multiLevelType w:val="singleLevel"/>
    <w:tmpl w:val="C01240BE"/>
    <w:lvl w:ilvl="0" w:tentative="0">
      <w:start w:val="2"/>
      <w:numFmt w:val="chineseCounting"/>
      <w:suff w:val="nothing"/>
      <w:lvlText w:val="%1、"/>
      <w:lvlJc w:val="left"/>
      <w:rPr>
        <w:rFonts w:hint="eastAsia"/>
      </w:rPr>
    </w:lvl>
  </w:abstractNum>
  <w:abstractNum w:abstractNumId="5">
    <w:nsid w:val="F4D0FD87"/>
    <w:multiLevelType w:val="singleLevel"/>
    <w:tmpl w:val="F4D0FD87"/>
    <w:lvl w:ilvl="0" w:tentative="0">
      <w:start w:val="6"/>
      <w:numFmt w:val="decimal"/>
      <w:suff w:val="nothing"/>
      <w:lvlText w:val="%1、"/>
      <w:lvlJc w:val="left"/>
    </w:lvl>
  </w:abstractNum>
  <w:abstractNum w:abstractNumId="6">
    <w:nsid w:val="3EF91D70"/>
    <w:multiLevelType w:val="singleLevel"/>
    <w:tmpl w:val="3EF91D70"/>
    <w:lvl w:ilvl="0" w:tentative="0">
      <w:start w:val="1"/>
      <w:numFmt w:val="decimal"/>
      <w:suff w:val="nothing"/>
      <w:lvlText w:val="（%1）"/>
      <w:lvlJc w:val="left"/>
    </w:lvl>
  </w:abstractNum>
  <w:abstractNum w:abstractNumId="7">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58"/>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59705263"/>
    <w:multiLevelType w:val="singleLevel"/>
    <w:tmpl w:val="59705263"/>
    <w:lvl w:ilvl="0" w:tentative="0">
      <w:start w:val="2"/>
      <w:numFmt w:val="decimal"/>
      <w:suff w:val="nothing"/>
      <w:lvlText w:val="%1、"/>
      <w:lvlJc w:val="left"/>
    </w:lvl>
  </w:abstractNum>
  <w:num w:numId="1">
    <w:abstractNumId w:val="7"/>
  </w:num>
  <w:num w:numId="2">
    <w:abstractNumId w:val="1"/>
  </w:num>
  <w:num w:numId="3">
    <w:abstractNumId w:val="0"/>
  </w:num>
  <w:num w:numId="4">
    <w:abstractNumId w:val="4"/>
  </w:num>
  <w:num w:numId="5">
    <w:abstractNumId w:val="2"/>
  </w:num>
  <w:num w:numId="6">
    <w:abstractNumId w:val="8"/>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mNGZiMzIxYWM1OGZhNmI0ZmE1YTZlYTc3ZTYyODQifQ=="/>
  </w:docVars>
  <w:rsids>
    <w:rsidRoot w:val="00172A27"/>
    <w:rsid w:val="00000B3A"/>
    <w:rsid w:val="0000199A"/>
    <w:rsid w:val="000019FC"/>
    <w:rsid w:val="00001DC0"/>
    <w:rsid w:val="000026ED"/>
    <w:rsid w:val="00002A5B"/>
    <w:rsid w:val="00002A72"/>
    <w:rsid w:val="0000368E"/>
    <w:rsid w:val="00003898"/>
    <w:rsid w:val="000039C1"/>
    <w:rsid w:val="00004856"/>
    <w:rsid w:val="00005AB4"/>
    <w:rsid w:val="00005B54"/>
    <w:rsid w:val="00005D50"/>
    <w:rsid w:val="00005F2E"/>
    <w:rsid w:val="00005FFC"/>
    <w:rsid w:val="0000654A"/>
    <w:rsid w:val="000065DF"/>
    <w:rsid w:val="0000693C"/>
    <w:rsid w:val="00006A9E"/>
    <w:rsid w:val="00007382"/>
    <w:rsid w:val="00007887"/>
    <w:rsid w:val="0000788B"/>
    <w:rsid w:val="00007BFA"/>
    <w:rsid w:val="00007E43"/>
    <w:rsid w:val="00010431"/>
    <w:rsid w:val="00010881"/>
    <w:rsid w:val="00010896"/>
    <w:rsid w:val="00010CA7"/>
    <w:rsid w:val="00010CE6"/>
    <w:rsid w:val="000113AD"/>
    <w:rsid w:val="00011B0D"/>
    <w:rsid w:val="00011EB2"/>
    <w:rsid w:val="00012209"/>
    <w:rsid w:val="0001261E"/>
    <w:rsid w:val="00012A4A"/>
    <w:rsid w:val="000132E9"/>
    <w:rsid w:val="0001360B"/>
    <w:rsid w:val="0001366C"/>
    <w:rsid w:val="000139EF"/>
    <w:rsid w:val="00013C62"/>
    <w:rsid w:val="00013CEB"/>
    <w:rsid w:val="0001470C"/>
    <w:rsid w:val="00014BA3"/>
    <w:rsid w:val="00014D88"/>
    <w:rsid w:val="00014DC1"/>
    <w:rsid w:val="00015714"/>
    <w:rsid w:val="00016299"/>
    <w:rsid w:val="00016633"/>
    <w:rsid w:val="00016758"/>
    <w:rsid w:val="0001696D"/>
    <w:rsid w:val="0001701C"/>
    <w:rsid w:val="00017715"/>
    <w:rsid w:val="0002072C"/>
    <w:rsid w:val="0002115D"/>
    <w:rsid w:val="00021874"/>
    <w:rsid w:val="000219A9"/>
    <w:rsid w:val="00021BCB"/>
    <w:rsid w:val="00021C26"/>
    <w:rsid w:val="00021E56"/>
    <w:rsid w:val="0002209B"/>
    <w:rsid w:val="00022604"/>
    <w:rsid w:val="00022840"/>
    <w:rsid w:val="0002284E"/>
    <w:rsid w:val="00022D7C"/>
    <w:rsid w:val="0002314C"/>
    <w:rsid w:val="000232BA"/>
    <w:rsid w:val="00023568"/>
    <w:rsid w:val="000239C2"/>
    <w:rsid w:val="00023C2F"/>
    <w:rsid w:val="00023D98"/>
    <w:rsid w:val="00023E35"/>
    <w:rsid w:val="0002481E"/>
    <w:rsid w:val="000256A6"/>
    <w:rsid w:val="00025B3C"/>
    <w:rsid w:val="00025FA9"/>
    <w:rsid w:val="00026116"/>
    <w:rsid w:val="00026C0C"/>
    <w:rsid w:val="00026D01"/>
    <w:rsid w:val="0002715B"/>
    <w:rsid w:val="0002751A"/>
    <w:rsid w:val="00027BD7"/>
    <w:rsid w:val="00030151"/>
    <w:rsid w:val="000304B6"/>
    <w:rsid w:val="00030771"/>
    <w:rsid w:val="00030BC8"/>
    <w:rsid w:val="000310B2"/>
    <w:rsid w:val="00031356"/>
    <w:rsid w:val="00031388"/>
    <w:rsid w:val="00031E52"/>
    <w:rsid w:val="00032312"/>
    <w:rsid w:val="00032802"/>
    <w:rsid w:val="00032BA7"/>
    <w:rsid w:val="00032CFB"/>
    <w:rsid w:val="00032F81"/>
    <w:rsid w:val="000335F4"/>
    <w:rsid w:val="0003366F"/>
    <w:rsid w:val="00033B98"/>
    <w:rsid w:val="00033E56"/>
    <w:rsid w:val="0003402E"/>
    <w:rsid w:val="0003405D"/>
    <w:rsid w:val="000344FE"/>
    <w:rsid w:val="0003455B"/>
    <w:rsid w:val="00034BB2"/>
    <w:rsid w:val="00034FA0"/>
    <w:rsid w:val="00035320"/>
    <w:rsid w:val="0003592E"/>
    <w:rsid w:val="00035F86"/>
    <w:rsid w:val="00036DA1"/>
    <w:rsid w:val="00036FC0"/>
    <w:rsid w:val="000373E8"/>
    <w:rsid w:val="000374EF"/>
    <w:rsid w:val="00037624"/>
    <w:rsid w:val="00037BE8"/>
    <w:rsid w:val="00037D4E"/>
    <w:rsid w:val="00037D75"/>
    <w:rsid w:val="00040125"/>
    <w:rsid w:val="0004074E"/>
    <w:rsid w:val="000407C8"/>
    <w:rsid w:val="00040C18"/>
    <w:rsid w:val="00040C1B"/>
    <w:rsid w:val="00040F95"/>
    <w:rsid w:val="00041630"/>
    <w:rsid w:val="00041B8E"/>
    <w:rsid w:val="000422A6"/>
    <w:rsid w:val="00042910"/>
    <w:rsid w:val="00042A43"/>
    <w:rsid w:val="00042DFB"/>
    <w:rsid w:val="0004345A"/>
    <w:rsid w:val="00043649"/>
    <w:rsid w:val="00043760"/>
    <w:rsid w:val="000449EA"/>
    <w:rsid w:val="00044A21"/>
    <w:rsid w:val="00045527"/>
    <w:rsid w:val="0004594B"/>
    <w:rsid w:val="00045AF0"/>
    <w:rsid w:val="00045D7C"/>
    <w:rsid w:val="00046048"/>
    <w:rsid w:val="0004690A"/>
    <w:rsid w:val="000477E3"/>
    <w:rsid w:val="000478E5"/>
    <w:rsid w:val="00047A37"/>
    <w:rsid w:val="00047D70"/>
    <w:rsid w:val="00047E60"/>
    <w:rsid w:val="000501DF"/>
    <w:rsid w:val="0005079B"/>
    <w:rsid w:val="0005081D"/>
    <w:rsid w:val="00050BB8"/>
    <w:rsid w:val="00051188"/>
    <w:rsid w:val="000512B3"/>
    <w:rsid w:val="000516E5"/>
    <w:rsid w:val="00051879"/>
    <w:rsid w:val="00052548"/>
    <w:rsid w:val="00052B97"/>
    <w:rsid w:val="00052E90"/>
    <w:rsid w:val="0005305E"/>
    <w:rsid w:val="00053DC0"/>
    <w:rsid w:val="00053EA6"/>
    <w:rsid w:val="00055041"/>
    <w:rsid w:val="00055073"/>
    <w:rsid w:val="000553C6"/>
    <w:rsid w:val="00055414"/>
    <w:rsid w:val="00055481"/>
    <w:rsid w:val="000557E1"/>
    <w:rsid w:val="00055E70"/>
    <w:rsid w:val="00055EB3"/>
    <w:rsid w:val="000562DA"/>
    <w:rsid w:val="000568D7"/>
    <w:rsid w:val="00056A23"/>
    <w:rsid w:val="00056E8A"/>
    <w:rsid w:val="00057BE6"/>
    <w:rsid w:val="000600BF"/>
    <w:rsid w:val="00060719"/>
    <w:rsid w:val="00060C8B"/>
    <w:rsid w:val="00061E34"/>
    <w:rsid w:val="0006217C"/>
    <w:rsid w:val="000622FD"/>
    <w:rsid w:val="00062313"/>
    <w:rsid w:val="00062A1C"/>
    <w:rsid w:val="00062A37"/>
    <w:rsid w:val="00062D96"/>
    <w:rsid w:val="00062EB7"/>
    <w:rsid w:val="0006305B"/>
    <w:rsid w:val="000631D7"/>
    <w:rsid w:val="00063A74"/>
    <w:rsid w:val="00063E58"/>
    <w:rsid w:val="00063E5F"/>
    <w:rsid w:val="00063F97"/>
    <w:rsid w:val="00064065"/>
    <w:rsid w:val="000643E0"/>
    <w:rsid w:val="0006479A"/>
    <w:rsid w:val="00064AE4"/>
    <w:rsid w:val="00064B3A"/>
    <w:rsid w:val="00065317"/>
    <w:rsid w:val="000655CF"/>
    <w:rsid w:val="00065672"/>
    <w:rsid w:val="00065929"/>
    <w:rsid w:val="00065ABB"/>
    <w:rsid w:val="00065AF5"/>
    <w:rsid w:val="00065D51"/>
    <w:rsid w:val="00065D7A"/>
    <w:rsid w:val="0006612E"/>
    <w:rsid w:val="00066419"/>
    <w:rsid w:val="00066D64"/>
    <w:rsid w:val="00066DFE"/>
    <w:rsid w:val="00066F49"/>
    <w:rsid w:val="000670CB"/>
    <w:rsid w:val="000671FE"/>
    <w:rsid w:val="000674A0"/>
    <w:rsid w:val="00067718"/>
    <w:rsid w:val="00067A39"/>
    <w:rsid w:val="00067F63"/>
    <w:rsid w:val="00067FB5"/>
    <w:rsid w:val="0007021B"/>
    <w:rsid w:val="00070B7E"/>
    <w:rsid w:val="00070EEB"/>
    <w:rsid w:val="00071D1C"/>
    <w:rsid w:val="00071FAA"/>
    <w:rsid w:val="00072729"/>
    <w:rsid w:val="00072776"/>
    <w:rsid w:val="00073370"/>
    <w:rsid w:val="0007358A"/>
    <w:rsid w:val="000735B0"/>
    <w:rsid w:val="00073B0C"/>
    <w:rsid w:val="00073C62"/>
    <w:rsid w:val="00073F2A"/>
    <w:rsid w:val="00074311"/>
    <w:rsid w:val="000747FF"/>
    <w:rsid w:val="00074BDA"/>
    <w:rsid w:val="000752CB"/>
    <w:rsid w:val="0007558B"/>
    <w:rsid w:val="000759AD"/>
    <w:rsid w:val="00075DAD"/>
    <w:rsid w:val="00075F9C"/>
    <w:rsid w:val="0007611D"/>
    <w:rsid w:val="0007622B"/>
    <w:rsid w:val="000765DC"/>
    <w:rsid w:val="0007668E"/>
    <w:rsid w:val="00076B29"/>
    <w:rsid w:val="00076B91"/>
    <w:rsid w:val="00076BC8"/>
    <w:rsid w:val="00076D97"/>
    <w:rsid w:val="000771C0"/>
    <w:rsid w:val="00077363"/>
    <w:rsid w:val="00077457"/>
    <w:rsid w:val="0007762F"/>
    <w:rsid w:val="00077D54"/>
    <w:rsid w:val="00080008"/>
    <w:rsid w:val="0008050C"/>
    <w:rsid w:val="000805C4"/>
    <w:rsid w:val="000809A4"/>
    <w:rsid w:val="00080D67"/>
    <w:rsid w:val="00080DAA"/>
    <w:rsid w:val="00080E67"/>
    <w:rsid w:val="000817D4"/>
    <w:rsid w:val="000819A3"/>
    <w:rsid w:val="00081E18"/>
    <w:rsid w:val="000823BB"/>
    <w:rsid w:val="000826C5"/>
    <w:rsid w:val="00082AEE"/>
    <w:rsid w:val="00082DEA"/>
    <w:rsid w:val="00082E72"/>
    <w:rsid w:val="00082E90"/>
    <w:rsid w:val="00083476"/>
    <w:rsid w:val="00083C7C"/>
    <w:rsid w:val="0008406A"/>
    <w:rsid w:val="00084497"/>
    <w:rsid w:val="000847F7"/>
    <w:rsid w:val="00084E9F"/>
    <w:rsid w:val="000852FB"/>
    <w:rsid w:val="00085E3C"/>
    <w:rsid w:val="00086885"/>
    <w:rsid w:val="00086989"/>
    <w:rsid w:val="00086A0E"/>
    <w:rsid w:val="000870A2"/>
    <w:rsid w:val="0008744A"/>
    <w:rsid w:val="0009037B"/>
    <w:rsid w:val="00090B3B"/>
    <w:rsid w:val="00090FF2"/>
    <w:rsid w:val="00091368"/>
    <w:rsid w:val="00091CC1"/>
    <w:rsid w:val="00091E56"/>
    <w:rsid w:val="00092437"/>
    <w:rsid w:val="000925E8"/>
    <w:rsid w:val="000928C4"/>
    <w:rsid w:val="00092B38"/>
    <w:rsid w:val="00092C84"/>
    <w:rsid w:val="00092CC0"/>
    <w:rsid w:val="0009300E"/>
    <w:rsid w:val="000936EC"/>
    <w:rsid w:val="00093D0C"/>
    <w:rsid w:val="00093E97"/>
    <w:rsid w:val="0009418C"/>
    <w:rsid w:val="0009440B"/>
    <w:rsid w:val="000948F6"/>
    <w:rsid w:val="00094D83"/>
    <w:rsid w:val="000953AF"/>
    <w:rsid w:val="000955D4"/>
    <w:rsid w:val="000958E1"/>
    <w:rsid w:val="00095AF4"/>
    <w:rsid w:val="00095C26"/>
    <w:rsid w:val="00095D98"/>
    <w:rsid w:val="000967D6"/>
    <w:rsid w:val="000968A4"/>
    <w:rsid w:val="000970F0"/>
    <w:rsid w:val="00097DED"/>
    <w:rsid w:val="00097F38"/>
    <w:rsid w:val="000A0001"/>
    <w:rsid w:val="000A009C"/>
    <w:rsid w:val="000A0193"/>
    <w:rsid w:val="000A031F"/>
    <w:rsid w:val="000A0398"/>
    <w:rsid w:val="000A0591"/>
    <w:rsid w:val="000A06D9"/>
    <w:rsid w:val="000A0A03"/>
    <w:rsid w:val="000A0BDC"/>
    <w:rsid w:val="000A115A"/>
    <w:rsid w:val="000A186C"/>
    <w:rsid w:val="000A19D4"/>
    <w:rsid w:val="000A1A11"/>
    <w:rsid w:val="000A1CB7"/>
    <w:rsid w:val="000A2116"/>
    <w:rsid w:val="000A25BA"/>
    <w:rsid w:val="000A27ED"/>
    <w:rsid w:val="000A2E89"/>
    <w:rsid w:val="000A2FEA"/>
    <w:rsid w:val="000A324A"/>
    <w:rsid w:val="000A3494"/>
    <w:rsid w:val="000A34FC"/>
    <w:rsid w:val="000A3CA7"/>
    <w:rsid w:val="000A4481"/>
    <w:rsid w:val="000A4AFA"/>
    <w:rsid w:val="000A4CFB"/>
    <w:rsid w:val="000A4DFB"/>
    <w:rsid w:val="000A4E78"/>
    <w:rsid w:val="000A528A"/>
    <w:rsid w:val="000A5341"/>
    <w:rsid w:val="000A536D"/>
    <w:rsid w:val="000A5569"/>
    <w:rsid w:val="000A5952"/>
    <w:rsid w:val="000A5D8C"/>
    <w:rsid w:val="000A5E85"/>
    <w:rsid w:val="000A6283"/>
    <w:rsid w:val="000A63BF"/>
    <w:rsid w:val="000A71F7"/>
    <w:rsid w:val="000A7545"/>
    <w:rsid w:val="000A755F"/>
    <w:rsid w:val="000A77AC"/>
    <w:rsid w:val="000A79F3"/>
    <w:rsid w:val="000B000A"/>
    <w:rsid w:val="000B008E"/>
    <w:rsid w:val="000B0931"/>
    <w:rsid w:val="000B0A3A"/>
    <w:rsid w:val="000B0E3C"/>
    <w:rsid w:val="000B0F29"/>
    <w:rsid w:val="000B1350"/>
    <w:rsid w:val="000B1517"/>
    <w:rsid w:val="000B1803"/>
    <w:rsid w:val="000B1A2C"/>
    <w:rsid w:val="000B1ABF"/>
    <w:rsid w:val="000B1EE2"/>
    <w:rsid w:val="000B21A3"/>
    <w:rsid w:val="000B21FD"/>
    <w:rsid w:val="000B23DD"/>
    <w:rsid w:val="000B2B17"/>
    <w:rsid w:val="000B2C07"/>
    <w:rsid w:val="000B2C13"/>
    <w:rsid w:val="000B2DA8"/>
    <w:rsid w:val="000B2E99"/>
    <w:rsid w:val="000B2FDC"/>
    <w:rsid w:val="000B31A3"/>
    <w:rsid w:val="000B3416"/>
    <w:rsid w:val="000B34E7"/>
    <w:rsid w:val="000B3B41"/>
    <w:rsid w:val="000B3F12"/>
    <w:rsid w:val="000B4290"/>
    <w:rsid w:val="000B4B05"/>
    <w:rsid w:val="000B4B5C"/>
    <w:rsid w:val="000B4C56"/>
    <w:rsid w:val="000B4D54"/>
    <w:rsid w:val="000B4FA8"/>
    <w:rsid w:val="000B5419"/>
    <w:rsid w:val="000B5F2D"/>
    <w:rsid w:val="000B63FF"/>
    <w:rsid w:val="000B6A40"/>
    <w:rsid w:val="000B7279"/>
    <w:rsid w:val="000B7425"/>
    <w:rsid w:val="000B76AE"/>
    <w:rsid w:val="000B7906"/>
    <w:rsid w:val="000B7B1E"/>
    <w:rsid w:val="000B7D17"/>
    <w:rsid w:val="000B7EAA"/>
    <w:rsid w:val="000B7FEF"/>
    <w:rsid w:val="000C04B0"/>
    <w:rsid w:val="000C082E"/>
    <w:rsid w:val="000C0B2C"/>
    <w:rsid w:val="000C0C20"/>
    <w:rsid w:val="000C0CDC"/>
    <w:rsid w:val="000C1869"/>
    <w:rsid w:val="000C1886"/>
    <w:rsid w:val="000C1AA6"/>
    <w:rsid w:val="000C1B3F"/>
    <w:rsid w:val="000C1C50"/>
    <w:rsid w:val="000C1CEF"/>
    <w:rsid w:val="000C1D6C"/>
    <w:rsid w:val="000C1F0D"/>
    <w:rsid w:val="000C1FF9"/>
    <w:rsid w:val="000C21E8"/>
    <w:rsid w:val="000C23B2"/>
    <w:rsid w:val="000C2A32"/>
    <w:rsid w:val="000C2E18"/>
    <w:rsid w:val="000C2EA2"/>
    <w:rsid w:val="000C3329"/>
    <w:rsid w:val="000C3604"/>
    <w:rsid w:val="000C3634"/>
    <w:rsid w:val="000C36C9"/>
    <w:rsid w:val="000C36D6"/>
    <w:rsid w:val="000C3D72"/>
    <w:rsid w:val="000C40CA"/>
    <w:rsid w:val="000C451F"/>
    <w:rsid w:val="000C46D6"/>
    <w:rsid w:val="000C4910"/>
    <w:rsid w:val="000C4C27"/>
    <w:rsid w:val="000C4F72"/>
    <w:rsid w:val="000C538C"/>
    <w:rsid w:val="000C55E7"/>
    <w:rsid w:val="000C5D47"/>
    <w:rsid w:val="000C5FE4"/>
    <w:rsid w:val="000C605D"/>
    <w:rsid w:val="000C6076"/>
    <w:rsid w:val="000C61B5"/>
    <w:rsid w:val="000C6483"/>
    <w:rsid w:val="000C6A02"/>
    <w:rsid w:val="000C6B08"/>
    <w:rsid w:val="000C6E31"/>
    <w:rsid w:val="000C744D"/>
    <w:rsid w:val="000C755E"/>
    <w:rsid w:val="000C7761"/>
    <w:rsid w:val="000C77E9"/>
    <w:rsid w:val="000C7CD5"/>
    <w:rsid w:val="000C7E59"/>
    <w:rsid w:val="000C7F47"/>
    <w:rsid w:val="000D0F70"/>
    <w:rsid w:val="000D1171"/>
    <w:rsid w:val="000D158E"/>
    <w:rsid w:val="000D1D51"/>
    <w:rsid w:val="000D222E"/>
    <w:rsid w:val="000D231D"/>
    <w:rsid w:val="000D2750"/>
    <w:rsid w:val="000D287C"/>
    <w:rsid w:val="000D28C3"/>
    <w:rsid w:val="000D2B51"/>
    <w:rsid w:val="000D2B5E"/>
    <w:rsid w:val="000D2DEC"/>
    <w:rsid w:val="000D33D1"/>
    <w:rsid w:val="000D36A8"/>
    <w:rsid w:val="000D3863"/>
    <w:rsid w:val="000D3982"/>
    <w:rsid w:val="000D398C"/>
    <w:rsid w:val="000D3C88"/>
    <w:rsid w:val="000D3D93"/>
    <w:rsid w:val="000D422B"/>
    <w:rsid w:val="000D4765"/>
    <w:rsid w:val="000D4F08"/>
    <w:rsid w:val="000D4FCF"/>
    <w:rsid w:val="000D51DF"/>
    <w:rsid w:val="000D571F"/>
    <w:rsid w:val="000D58B1"/>
    <w:rsid w:val="000D5D29"/>
    <w:rsid w:val="000D5EBC"/>
    <w:rsid w:val="000D635D"/>
    <w:rsid w:val="000D6ACA"/>
    <w:rsid w:val="000D6BF8"/>
    <w:rsid w:val="000D6C87"/>
    <w:rsid w:val="000D7756"/>
    <w:rsid w:val="000D7B08"/>
    <w:rsid w:val="000D7BB1"/>
    <w:rsid w:val="000D7EB7"/>
    <w:rsid w:val="000E02A4"/>
    <w:rsid w:val="000E0331"/>
    <w:rsid w:val="000E0497"/>
    <w:rsid w:val="000E04A6"/>
    <w:rsid w:val="000E04CE"/>
    <w:rsid w:val="000E0777"/>
    <w:rsid w:val="000E078D"/>
    <w:rsid w:val="000E0B14"/>
    <w:rsid w:val="000E0B2C"/>
    <w:rsid w:val="000E0EA3"/>
    <w:rsid w:val="000E1414"/>
    <w:rsid w:val="000E172B"/>
    <w:rsid w:val="000E1861"/>
    <w:rsid w:val="000E2AB2"/>
    <w:rsid w:val="000E2D9E"/>
    <w:rsid w:val="000E2ED0"/>
    <w:rsid w:val="000E315D"/>
    <w:rsid w:val="000E3685"/>
    <w:rsid w:val="000E4098"/>
    <w:rsid w:val="000E40F8"/>
    <w:rsid w:val="000E449E"/>
    <w:rsid w:val="000E4675"/>
    <w:rsid w:val="000E4774"/>
    <w:rsid w:val="000E51E8"/>
    <w:rsid w:val="000E53E6"/>
    <w:rsid w:val="000E5658"/>
    <w:rsid w:val="000E5B36"/>
    <w:rsid w:val="000E5DB5"/>
    <w:rsid w:val="000E6152"/>
    <w:rsid w:val="000E637C"/>
    <w:rsid w:val="000E6613"/>
    <w:rsid w:val="000E6A47"/>
    <w:rsid w:val="000E6B15"/>
    <w:rsid w:val="000E6BD9"/>
    <w:rsid w:val="000E6BDC"/>
    <w:rsid w:val="000E6C97"/>
    <w:rsid w:val="000E6DE7"/>
    <w:rsid w:val="000E7188"/>
    <w:rsid w:val="000E7589"/>
    <w:rsid w:val="000E7CDB"/>
    <w:rsid w:val="000F0040"/>
    <w:rsid w:val="000F080D"/>
    <w:rsid w:val="000F0E2D"/>
    <w:rsid w:val="000F1475"/>
    <w:rsid w:val="000F16C3"/>
    <w:rsid w:val="000F17A0"/>
    <w:rsid w:val="000F17FA"/>
    <w:rsid w:val="000F1920"/>
    <w:rsid w:val="000F1BEE"/>
    <w:rsid w:val="000F1CD8"/>
    <w:rsid w:val="000F1D38"/>
    <w:rsid w:val="000F2270"/>
    <w:rsid w:val="000F387A"/>
    <w:rsid w:val="000F3BE5"/>
    <w:rsid w:val="000F526F"/>
    <w:rsid w:val="000F5BDF"/>
    <w:rsid w:val="000F6021"/>
    <w:rsid w:val="000F6037"/>
    <w:rsid w:val="000F68A4"/>
    <w:rsid w:val="000F69A5"/>
    <w:rsid w:val="000F6A56"/>
    <w:rsid w:val="000F6EC4"/>
    <w:rsid w:val="000F6F9E"/>
    <w:rsid w:val="000F707E"/>
    <w:rsid w:val="000F7626"/>
    <w:rsid w:val="000F7ECF"/>
    <w:rsid w:val="0010070E"/>
    <w:rsid w:val="00100BA0"/>
    <w:rsid w:val="00100D08"/>
    <w:rsid w:val="00100D8A"/>
    <w:rsid w:val="0010105E"/>
    <w:rsid w:val="00101525"/>
    <w:rsid w:val="001017EE"/>
    <w:rsid w:val="00101A43"/>
    <w:rsid w:val="00101D54"/>
    <w:rsid w:val="00102022"/>
    <w:rsid w:val="00102380"/>
    <w:rsid w:val="00102678"/>
    <w:rsid w:val="00102BFA"/>
    <w:rsid w:val="00102D01"/>
    <w:rsid w:val="0010323B"/>
    <w:rsid w:val="00103261"/>
    <w:rsid w:val="001035A5"/>
    <w:rsid w:val="001035D3"/>
    <w:rsid w:val="001039F7"/>
    <w:rsid w:val="00103FFD"/>
    <w:rsid w:val="0010479B"/>
    <w:rsid w:val="00105413"/>
    <w:rsid w:val="00105987"/>
    <w:rsid w:val="00105A43"/>
    <w:rsid w:val="00105B5C"/>
    <w:rsid w:val="00105BE1"/>
    <w:rsid w:val="0010728E"/>
    <w:rsid w:val="00107315"/>
    <w:rsid w:val="0010751A"/>
    <w:rsid w:val="00107CFC"/>
    <w:rsid w:val="00107E1F"/>
    <w:rsid w:val="00110DF7"/>
    <w:rsid w:val="00110E0A"/>
    <w:rsid w:val="00110E1A"/>
    <w:rsid w:val="00110F51"/>
    <w:rsid w:val="00111453"/>
    <w:rsid w:val="00111498"/>
    <w:rsid w:val="0011234D"/>
    <w:rsid w:val="001125C9"/>
    <w:rsid w:val="00112799"/>
    <w:rsid w:val="00112A60"/>
    <w:rsid w:val="00112AE0"/>
    <w:rsid w:val="00113610"/>
    <w:rsid w:val="001136E5"/>
    <w:rsid w:val="001143CB"/>
    <w:rsid w:val="0011445F"/>
    <w:rsid w:val="001145AF"/>
    <w:rsid w:val="0011498F"/>
    <w:rsid w:val="001158DB"/>
    <w:rsid w:val="00115D2A"/>
    <w:rsid w:val="00116317"/>
    <w:rsid w:val="0011631F"/>
    <w:rsid w:val="00116443"/>
    <w:rsid w:val="0011670D"/>
    <w:rsid w:val="00116908"/>
    <w:rsid w:val="00117154"/>
    <w:rsid w:val="00117610"/>
    <w:rsid w:val="001178E1"/>
    <w:rsid w:val="001179C8"/>
    <w:rsid w:val="00117BFF"/>
    <w:rsid w:val="00117D99"/>
    <w:rsid w:val="00117FB4"/>
    <w:rsid w:val="00120667"/>
    <w:rsid w:val="00120885"/>
    <w:rsid w:val="00120D96"/>
    <w:rsid w:val="00121347"/>
    <w:rsid w:val="00121B80"/>
    <w:rsid w:val="00121D4A"/>
    <w:rsid w:val="00121EB8"/>
    <w:rsid w:val="00121FD1"/>
    <w:rsid w:val="001221C7"/>
    <w:rsid w:val="001225E9"/>
    <w:rsid w:val="001226D9"/>
    <w:rsid w:val="00124041"/>
    <w:rsid w:val="001245DA"/>
    <w:rsid w:val="00124626"/>
    <w:rsid w:val="001248FA"/>
    <w:rsid w:val="00124AFE"/>
    <w:rsid w:val="001251D4"/>
    <w:rsid w:val="0012553B"/>
    <w:rsid w:val="00125544"/>
    <w:rsid w:val="0012555C"/>
    <w:rsid w:val="00125612"/>
    <w:rsid w:val="00125CB5"/>
    <w:rsid w:val="001261BB"/>
    <w:rsid w:val="0012640C"/>
    <w:rsid w:val="001264D2"/>
    <w:rsid w:val="00126578"/>
    <w:rsid w:val="00126626"/>
    <w:rsid w:val="00126637"/>
    <w:rsid w:val="00126664"/>
    <w:rsid w:val="00126CE7"/>
    <w:rsid w:val="00127BD3"/>
    <w:rsid w:val="00130F8D"/>
    <w:rsid w:val="00131010"/>
    <w:rsid w:val="0013113F"/>
    <w:rsid w:val="00131331"/>
    <w:rsid w:val="001323A9"/>
    <w:rsid w:val="001325B7"/>
    <w:rsid w:val="001333DA"/>
    <w:rsid w:val="00133C73"/>
    <w:rsid w:val="00133D20"/>
    <w:rsid w:val="00134191"/>
    <w:rsid w:val="0013422C"/>
    <w:rsid w:val="00134374"/>
    <w:rsid w:val="001344F6"/>
    <w:rsid w:val="00134887"/>
    <w:rsid w:val="0013489D"/>
    <w:rsid w:val="00134D54"/>
    <w:rsid w:val="00134D5D"/>
    <w:rsid w:val="001352EA"/>
    <w:rsid w:val="00135732"/>
    <w:rsid w:val="00135B46"/>
    <w:rsid w:val="00135B91"/>
    <w:rsid w:val="00135BA8"/>
    <w:rsid w:val="00135C9C"/>
    <w:rsid w:val="00136D32"/>
    <w:rsid w:val="00137220"/>
    <w:rsid w:val="00137666"/>
    <w:rsid w:val="001378FA"/>
    <w:rsid w:val="00137DF0"/>
    <w:rsid w:val="00137EB8"/>
    <w:rsid w:val="00140269"/>
    <w:rsid w:val="0014080C"/>
    <w:rsid w:val="00140D3D"/>
    <w:rsid w:val="00141098"/>
    <w:rsid w:val="00141CE3"/>
    <w:rsid w:val="00141DCB"/>
    <w:rsid w:val="001426E4"/>
    <w:rsid w:val="00142A38"/>
    <w:rsid w:val="00142F7A"/>
    <w:rsid w:val="00143408"/>
    <w:rsid w:val="00143C14"/>
    <w:rsid w:val="00143EB5"/>
    <w:rsid w:val="00144821"/>
    <w:rsid w:val="00144AD3"/>
    <w:rsid w:val="00145246"/>
    <w:rsid w:val="001452A9"/>
    <w:rsid w:val="001457A3"/>
    <w:rsid w:val="001457E5"/>
    <w:rsid w:val="0014584D"/>
    <w:rsid w:val="00145973"/>
    <w:rsid w:val="00146197"/>
    <w:rsid w:val="00146645"/>
    <w:rsid w:val="0014681E"/>
    <w:rsid w:val="00146AAF"/>
    <w:rsid w:val="00146CC5"/>
    <w:rsid w:val="00146DEC"/>
    <w:rsid w:val="00147222"/>
    <w:rsid w:val="001474E1"/>
    <w:rsid w:val="00147AE6"/>
    <w:rsid w:val="00147FE4"/>
    <w:rsid w:val="001501FE"/>
    <w:rsid w:val="001502A1"/>
    <w:rsid w:val="001502B7"/>
    <w:rsid w:val="001505B8"/>
    <w:rsid w:val="001505F8"/>
    <w:rsid w:val="001507C3"/>
    <w:rsid w:val="00150901"/>
    <w:rsid w:val="001509EF"/>
    <w:rsid w:val="00150CCD"/>
    <w:rsid w:val="001511DB"/>
    <w:rsid w:val="001515FB"/>
    <w:rsid w:val="00151B45"/>
    <w:rsid w:val="00151C08"/>
    <w:rsid w:val="00151F09"/>
    <w:rsid w:val="001521E5"/>
    <w:rsid w:val="00152BF7"/>
    <w:rsid w:val="00152CDF"/>
    <w:rsid w:val="00152E3D"/>
    <w:rsid w:val="00152FA9"/>
    <w:rsid w:val="00153136"/>
    <w:rsid w:val="0015331C"/>
    <w:rsid w:val="001538D7"/>
    <w:rsid w:val="00153D78"/>
    <w:rsid w:val="00153F1A"/>
    <w:rsid w:val="001541EB"/>
    <w:rsid w:val="00154331"/>
    <w:rsid w:val="00154B40"/>
    <w:rsid w:val="00154C3B"/>
    <w:rsid w:val="00154C55"/>
    <w:rsid w:val="00154E79"/>
    <w:rsid w:val="00154F47"/>
    <w:rsid w:val="00155351"/>
    <w:rsid w:val="001555F4"/>
    <w:rsid w:val="00155828"/>
    <w:rsid w:val="00156517"/>
    <w:rsid w:val="00156545"/>
    <w:rsid w:val="0015718D"/>
    <w:rsid w:val="00157377"/>
    <w:rsid w:val="0015791E"/>
    <w:rsid w:val="00157D30"/>
    <w:rsid w:val="00157DC2"/>
    <w:rsid w:val="00160895"/>
    <w:rsid w:val="001608E6"/>
    <w:rsid w:val="00160B03"/>
    <w:rsid w:val="0016117F"/>
    <w:rsid w:val="00161345"/>
    <w:rsid w:val="00161E2C"/>
    <w:rsid w:val="00162255"/>
    <w:rsid w:val="0016281B"/>
    <w:rsid w:val="00162992"/>
    <w:rsid w:val="00163647"/>
    <w:rsid w:val="00163B24"/>
    <w:rsid w:val="00163EF9"/>
    <w:rsid w:val="00163FA9"/>
    <w:rsid w:val="00164030"/>
    <w:rsid w:val="00164253"/>
    <w:rsid w:val="0016445D"/>
    <w:rsid w:val="001647F3"/>
    <w:rsid w:val="00164825"/>
    <w:rsid w:val="00164B13"/>
    <w:rsid w:val="00164BCA"/>
    <w:rsid w:val="00164FD4"/>
    <w:rsid w:val="0016565C"/>
    <w:rsid w:val="00165701"/>
    <w:rsid w:val="00165DE4"/>
    <w:rsid w:val="00165E1B"/>
    <w:rsid w:val="0016601D"/>
    <w:rsid w:val="001662B0"/>
    <w:rsid w:val="00166387"/>
    <w:rsid w:val="00166512"/>
    <w:rsid w:val="0016679E"/>
    <w:rsid w:val="00166881"/>
    <w:rsid w:val="00166C10"/>
    <w:rsid w:val="00166FFC"/>
    <w:rsid w:val="0016701C"/>
    <w:rsid w:val="00167163"/>
    <w:rsid w:val="00167456"/>
    <w:rsid w:val="0016752A"/>
    <w:rsid w:val="001675D2"/>
    <w:rsid w:val="00167C76"/>
    <w:rsid w:val="00170375"/>
    <w:rsid w:val="001705FD"/>
    <w:rsid w:val="0017076D"/>
    <w:rsid w:val="0017078F"/>
    <w:rsid w:val="0017085E"/>
    <w:rsid w:val="00171174"/>
    <w:rsid w:val="00171730"/>
    <w:rsid w:val="00171771"/>
    <w:rsid w:val="00171778"/>
    <w:rsid w:val="001717BA"/>
    <w:rsid w:val="00171808"/>
    <w:rsid w:val="00171A3B"/>
    <w:rsid w:val="00171F7B"/>
    <w:rsid w:val="001723A1"/>
    <w:rsid w:val="001723C4"/>
    <w:rsid w:val="0017258E"/>
    <w:rsid w:val="00172676"/>
    <w:rsid w:val="00172BEB"/>
    <w:rsid w:val="00173CD0"/>
    <w:rsid w:val="001745C0"/>
    <w:rsid w:val="001748A1"/>
    <w:rsid w:val="00174A0F"/>
    <w:rsid w:val="00174E99"/>
    <w:rsid w:val="00175099"/>
    <w:rsid w:val="0017525E"/>
    <w:rsid w:val="00175461"/>
    <w:rsid w:val="001754D7"/>
    <w:rsid w:val="00175648"/>
    <w:rsid w:val="001758D9"/>
    <w:rsid w:val="001759CC"/>
    <w:rsid w:val="00175A66"/>
    <w:rsid w:val="00175F93"/>
    <w:rsid w:val="00176229"/>
    <w:rsid w:val="0017667B"/>
    <w:rsid w:val="00176BC8"/>
    <w:rsid w:val="001777E1"/>
    <w:rsid w:val="00177BEB"/>
    <w:rsid w:val="00180277"/>
    <w:rsid w:val="00180363"/>
    <w:rsid w:val="00180837"/>
    <w:rsid w:val="00180B90"/>
    <w:rsid w:val="00180C4B"/>
    <w:rsid w:val="001812F1"/>
    <w:rsid w:val="001813A7"/>
    <w:rsid w:val="00181655"/>
    <w:rsid w:val="00181FDA"/>
    <w:rsid w:val="00182271"/>
    <w:rsid w:val="001824BE"/>
    <w:rsid w:val="0018278C"/>
    <w:rsid w:val="00182CF1"/>
    <w:rsid w:val="0018360F"/>
    <w:rsid w:val="001844C1"/>
    <w:rsid w:val="00184A9F"/>
    <w:rsid w:val="00184BA6"/>
    <w:rsid w:val="00184CD9"/>
    <w:rsid w:val="0018511F"/>
    <w:rsid w:val="001852F9"/>
    <w:rsid w:val="0018545C"/>
    <w:rsid w:val="00185CFB"/>
    <w:rsid w:val="00185EC1"/>
    <w:rsid w:val="0018625F"/>
    <w:rsid w:val="001868C2"/>
    <w:rsid w:val="00186B68"/>
    <w:rsid w:val="00186BAC"/>
    <w:rsid w:val="00186D54"/>
    <w:rsid w:val="001877FD"/>
    <w:rsid w:val="00187930"/>
    <w:rsid w:val="00190466"/>
    <w:rsid w:val="0019083F"/>
    <w:rsid w:val="001913C6"/>
    <w:rsid w:val="0019143D"/>
    <w:rsid w:val="0019167A"/>
    <w:rsid w:val="0019175A"/>
    <w:rsid w:val="001921CA"/>
    <w:rsid w:val="00192803"/>
    <w:rsid w:val="001928E0"/>
    <w:rsid w:val="00192932"/>
    <w:rsid w:val="00192CAF"/>
    <w:rsid w:val="00192FBC"/>
    <w:rsid w:val="00193049"/>
    <w:rsid w:val="0019339F"/>
    <w:rsid w:val="001935DD"/>
    <w:rsid w:val="00193691"/>
    <w:rsid w:val="0019380C"/>
    <w:rsid w:val="00193CED"/>
    <w:rsid w:val="001944B6"/>
    <w:rsid w:val="00194BEC"/>
    <w:rsid w:val="001951E2"/>
    <w:rsid w:val="001952ED"/>
    <w:rsid w:val="001954A6"/>
    <w:rsid w:val="00195BA9"/>
    <w:rsid w:val="00195CB9"/>
    <w:rsid w:val="0019613C"/>
    <w:rsid w:val="00196F43"/>
    <w:rsid w:val="00196F6A"/>
    <w:rsid w:val="001971D8"/>
    <w:rsid w:val="00197262"/>
    <w:rsid w:val="0019788D"/>
    <w:rsid w:val="00197AB3"/>
    <w:rsid w:val="001A03AA"/>
    <w:rsid w:val="001A058C"/>
    <w:rsid w:val="001A1007"/>
    <w:rsid w:val="001A102E"/>
    <w:rsid w:val="001A10A5"/>
    <w:rsid w:val="001A1159"/>
    <w:rsid w:val="001A1310"/>
    <w:rsid w:val="001A1D99"/>
    <w:rsid w:val="001A1E24"/>
    <w:rsid w:val="001A26E8"/>
    <w:rsid w:val="001A2CCA"/>
    <w:rsid w:val="001A3010"/>
    <w:rsid w:val="001A3200"/>
    <w:rsid w:val="001A3286"/>
    <w:rsid w:val="001A36EC"/>
    <w:rsid w:val="001A3CC3"/>
    <w:rsid w:val="001A3DD0"/>
    <w:rsid w:val="001A45C9"/>
    <w:rsid w:val="001A46CE"/>
    <w:rsid w:val="001A4834"/>
    <w:rsid w:val="001A4C79"/>
    <w:rsid w:val="001A554A"/>
    <w:rsid w:val="001A5979"/>
    <w:rsid w:val="001A5F0E"/>
    <w:rsid w:val="001A6082"/>
    <w:rsid w:val="001A61EE"/>
    <w:rsid w:val="001A61F2"/>
    <w:rsid w:val="001A63B3"/>
    <w:rsid w:val="001A6A7B"/>
    <w:rsid w:val="001A72BE"/>
    <w:rsid w:val="001A7877"/>
    <w:rsid w:val="001A7FC6"/>
    <w:rsid w:val="001B020E"/>
    <w:rsid w:val="001B027B"/>
    <w:rsid w:val="001B0C50"/>
    <w:rsid w:val="001B0C5E"/>
    <w:rsid w:val="001B1332"/>
    <w:rsid w:val="001B1512"/>
    <w:rsid w:val="001B1955"/>
    <w:rsid w:val="001B20DA"/>
    <w:rsid w:val="001B2571"/>
    <w:rsid w:val="001B2B34"/>
    <w:rsid w:val="001B35B9"/>
    <w:rsid w:val="001B36AD"/>
    <w:rsid w:val="001B3886"/>
    <w:rsid w:val="001B3A77"/>
    <w:rsid w:val="001B3CCC"/>
    <w:rsid w:val="001B4075"/>
    <w:rsid w:val="001B40B8"/>
    <w:rsid w:val="001B41D8"/>
    <w:rsid w:val="001B460D"/>
    <w:rsid w:val="001B4612"/>
    <w:rsid w:val="001B4832"/>
    <w:rsid w:val="001B48E7"/>
    <w:rsid w:val="001B4BBF"/>
    <w:rsid w:val="001B5024"/>
    <w:rsid w:val="001B5257"/>
    <w:rsid w:val="001B58BA"/>
    <w:rsid w:val="001B6680"/>
    <w:rsid w:val="001B6863"/>
    <w:rsid w:val="001B6BA1"/>
    <w:rsid w:val="001B6BD6"/>
    <w:rsid w:val="001B6F04"/>
    <w:rsid w:val="001B70D4"/>
    <w:rsid w:val="001B7119"/>
    <w:rsid w:val="001B7A6A"/>
    <w:rsid w:val="001B7B25"/>
    <w:rsid w:val="001B7BC6"/>
    <w:rsid w:val="001B7DEA"/>
    <w:rsid w:val="001C0616"/>
    <w:rsid w:val="001C0C9B"/>
    <w:rsid w:val="001C0CED"/>
    <w:rsid w:val="001C0F11"/>
    <w:rsid w:val="001C1117"/>
    <w:rsid w:val="001C1776"/>
    <w:rsid w:val="001C1DA4"/>
    <w:rsid w:val="001C1F02"/>
    <w:rsid w:val="001C214D"/>
    <w:rsid w:val="001C26D9"/>
    <w:rsid w:val="001C2AAB"/>
    <w:rsid w:val="001C2DA8"/>
    <w:rsid w:val="001C3593"/>
    <w:rsid w:val="001C3AC9"/>
    <w:rsid w:val="001C3BF8"/>
    <w:rsid w:val="001C457C"/>
    <w:rsid w:val="001C50DF"/>
    <w:rsid w:val="001C5468"/>
    <w:rsid w:val="001C5821"/>
    <w:rsid w:val="001C5A82"/>
    <w:rsid w:val="001C5C87"/>
    <w:rsid w:val="001C5D24"/>
    <w:rsid w:val="001C5F17"/>
    <w:rsid w:val="001C604E"/>
    <w:rsid w:val="001C6ECA"/>
    <w:rsid w:val="001C6F96"/>
    <w:rsid w:val="001C780C"/>
    <w:rsid w:val="001C78F7"/>
    <w:rsid w:val="001C7ACA"/>
    <w:rsid w:val="001D08BD"/>
    <w:rsid w:val="001D10AB"/>
    <w:rsid w:val="001D1188"/>
    <w:rsid w:val="001D11A7"/>
    <w:rsid w:val="001D11EF"/>
    <w:rsid w:val="001D1274"/>
    <w:rsid w:val="001D21D9"/>
    <w:rsid w:val="001D277B"/>
    <w:rsid w:val="001D28D8"/>
    <w:rsid w:val="001D2982"/>
    <w:rsid w:val="001D32D0"/>
    <w:rsid w:val="001D354F"/>
    <w:rsid w:val="001D3551"/>
    <w:rsid w:val="001D3693"/>
    <w:rsid w:val="001D3917"/>
    <w:rsid w:val="001D3B79"/>
    <w:rsid w:val="001D3E5C"/>
    <w:rsid w:val="001D40A4"/>
    <w:rsid w:val="001D4101"/>
    <w:rsid w:val="001D41D3"/>
    <w:rsid w:val="001D4E9F"/>
    <w:rsid w:val="001D562E"/>
    <w:rsid w:val="001D598F"/>
    <w:rsid w:val="001D5992"/>
    <w:rsid w:val="001D5DEF"/>
    <w:rsid w:val="001D5E8A"/>
    <w:rsid w:val="001D608A"/>
    <w:rsid w:val="001D62FB"/>
    <w:rsid w:val="001D6643"/>
    <w:rsid w:val="001D66AA"/>
    <w:rsid w:val="001D6737"/>
    <w:rsid w:val="001D673E"/>
    <w:rsid w:val="001D6B68"/>
    <w:rsid w:val="001D6DDC"/>
    <w:rsid w:val="001D6E1F"/>
    <w:rsid w:val="001D7007"/>
    <w:rsid w:val="001D7AF0"/>
    <w:rsid w:val="001E002F"/>
    <w:rsid w:val="001E040A"/>
    <w:rsid w:val="001E04B2"/>
    <w:rsid w:val="001E0A28"/>
    <w:rsid w:val="001E0E57"/>
    <w:rsid w:val="001E10D0"/>
    <w:rsid w:val="001E1655"/>
    <w:rsid w:val="001E1AC2"/>
    <w:rsid w:val="001E23F7"/>
    <w:rsid w:val="001E265B"/>
    <w:rsid w:val="001E29D3"/>
    <w:rsid w:val="001E2A9F"/>
    <w:rsid w:val="001E2C1F"/>
    <w:rsid w:val="001E2D2E"/>
    <w:rsid w:val="001E2EA3"/>
    <w:rsid w:val="001E2EDF"/>
    <w:rsid w:val="001E32C6"/>
    <w:rsid w:val="001E332C"/>
    <w:rsid w:val="001E347A"/>
    <w:rsid w:val="001E3509"/>
    <w:rsid w:val="001E4344"/>
    <w:rsid w:val="001E4637"/>
    <w:rsid w:val="001E4680"/>
    <w:rsid w:val="001E4931"/>
    <w:rsid w:val="001E538D"/>
    <w:rsid w:val="001E5CA4"/>
    <w:rsid w:val="001E5DCE"/>
    <w:rsid w:val="001E5FAF"/>
    <w:rsid w:val="001E6168"/>
    <w:rsid w:val="001E6651"/>
    <w:rsid w:val="001E6F9F"/>
    <w:rsid w:val="001E74A0"/>
    <w:rsid w:val="001F0149"/>
    <w:rsid w:val="001F051C"/>
    <w:rsid w:val="001F07A3"/>
    <w:rsid w:val="001F0B55"/>
    <w:rsid w:val="001F0FC0"/>
    <w:rsid w:val="001F1513"/>
    <w:rsid w:val="001F192D"/>
    <w:rsid w:val="001F1DA3"/>
    <w:rsid w:val="001F208A"/>
    <w:rsid w:val="001F249B"/>
    <w:rsid w:val="001F2A7C"/>
    <w:rsid w:val="001F2D1B"/>
    <w:rsid w:val="001F3DD2"/>
    <w:rsid w:val="001F4063"/>
    <w:rsid w:val="001F4528"/>
    <w:rsid w:val="001F45B1"/>
    <w:rsid w:val="001F4899"/>
    <w:rsid w:val="001F4CC8"/>
    <w:rsid w:val="001F5041"/>
    <w:rsid w:val="001F5649"/>
    <w:rsid w:val="001F5656"/>
    <w:rsid w:val="001F58A6"/>
    <w:rsid w:val="001F5A38"/>
    <w:rsid w:val="001F5B90"/>
    <w:rsid w:val="001F6548"/>
    <w:rsid w:val="001F695A"/>
    <w:rsid w:val="001F6DF1"/>
    <w:rsid w:val="001F6E07"/>
    <w:rsid w:val="001F7262"/>
    <w:rsid w:val="001F7323"/>
    <w:rsid w:val="001F75A0"/>
    <w:rsid w:val="001F7C06"/>
    <w:rsid w:val="001F7DF9"/>
    <w:rsid w:val="0020016B"/>
    <w:rsid w:val="002009A6"/>
    <w:rsid w:val="00200A19"/>
    <w:rsid w:val="002011F7"/>
    <w:rsid w:val="002015E0"/>
    <w:rsid w:val="00201773"/>
    <w:rsid w:val="00201CF0"/>
    <w:rsid w:val="002022B4"/>
    <w:rsid w:val="0020231A"/>
    <w:rsid w:val="00202B52"/>
    <w:rsid w:val="00203182"/>
    <w:rsid w:val="0020330F"/>
    <w:rsid w:val="00203335"/>
    <w:rsid w:val="002041E4"/>
    <w:rsid w:val="002044F3"/>
    <w:rsid w:val="0020450B"/>
    <w:rsid w:val="00204D21"/>
    <w:rsid w:val="00205233"/>
    <w:rsid w:val="002052DD"/>
    <w:rsid w:val="002054DF"/>
    <w:rsid w:val="00205DB0"/>
    <w:rsid w:val="00205DD9"/>
    <w:rsid w:val="0020630B"/>
    <w:rsid w:val="002063EA"/>
    <w:rsid w:val="00207446"/>
    <w:rsid w:val="002075DB"/>
    <w:rsid w:val="002076D4"/>
    <w:rsid w:val="00207883"/>
    <w:rsid w:val="0021030B"/>
    <w:rsid w:val="00210B35"/>
    <w:rsid w:val="00210B56"/>
    <w:rsid w:val="00210C06"/>
    <w:rsid w:val="00211034"/>
    <w:rsid w:val="00211041"/>
    <w:rsid w:val="002113EE"/>
    <w:rsid w:val="0021182F"/>
    <w:rsid w:val="00211BB0"/>
    <w:rsid w:val="00211E7D"/>
    <w:rsid w:val="00212B5C"/>
    <w:rsid w:val="00212C63"/>
    <w:rsid w:val="002132D7"/>
    <w:rsid w:val="00213577"/>
    <w:rsid w:val="002138F5"/>
    <w:rsid w:val="002139C4"/>
    <w:rsid w:val="00213C5B"/>
    <w:rsid w:val="00213D53"/>
    <w:rsid w:val="00213FCD"/>
    <w:rsid w:val="002149B4"/>
    <w:rsid w:val="002149D9"/>
    <w:rsid w:val="00214A5C"/>
    <w:rsid w:val="00214AC9"/>
    <w:rsid w:val="00214DDD"/>
    <w:rsid w:val="002156EF"/>
    <w:rsid w:val="00215949"/>
    <w:rsid w:val="00215B14"/>
    <w:rsid w:val="00215CD3"/>
    <w:rsid w:val="00215CDC"/>
    <w:rsid w:val="00215FCF"/>
    <w:rsid w:val="002167C1"/>
    <w:rsid w:val="002168EA"/>
    <w:rsid w:val="00216DFD"/>
    <w:rsid w:val="002170F0"/>
    <w:rsid w:val="00217524"/>
    <w:rsid w:val="0021793D"/>
    <w:rsid w:val="002179D4"/>
    <w:rsid w:val="00220985"/>
    <w:rsid w:val="00222332"/>
    <w:rsid w:val="0022259C"/>
    <w:rsid w:val="00222931"/>
    <w:rsid w:val="00222B3C"/>
    <w:rsid w:val="0022315F"/>
    <w:rsid w:val="00223426"/>
    <w:rsid w:val="002237EE"/>
    <w:rsid w:val="0022388D"/>
    <w:rsid w:val="00223AA2"/>
    <w:rsid w:val="00223AC5"/>
    <w:rsid w:val="0022432B"/>
    <w:rsid w:val="00224862"/>
    <w:rsid w:val="002248C8"/>
    <w:rsid w:val="00224D02"/>
    <w:rsid w:val="00224FAC"/>
    <w:rsid w:val="0022521A"/>
    <w:rsid w:val="002253BD"/>
    <w:rsid w:val="00225837"/>
    <w:rsid w:val="0022598B"/>
    <w:rsid w:val="00225A15"/>
    <w:rsid w:val="00225EEC"/>
    <w:rsid w:val="002260CE"/>
    <w:rsid w:val="002261FC"/>
    <w:rsid w:val="002262F9"/>
    <w:rsid w:val="00226E22"/>
    <w:rsid w:val="00226ECB"/>
    <w:rsid w:val="00227716"/>
    <w:rsid w:val="00227817"/>
    <w:rsid w:val="00227B63"/>
    <w:rsid w:val="002303D3"/>
    <w:rsid w:val="00230AD6"/>
    <w:rsid w:val="002323ED"/>
    <w:rsid w:val="00232546"/>
    <w:rsid w:val="0023269D"/>
    <w:rsid w:val="0023288A"/>
    <w:rsid w:val="0023290E"/>
    <w:rsid w:val="00232C67"/>
    <w:rsid w:val="00232E0A"/>
    <w:rsid w:val="00233022"/>
    <w:rsid w:val="00233537"/>
    <w:rsid w:val="002336B1"/>
    <w:rsid w:val="00233F67"/>
    <w:rsid w:val="00234010"/>
    <w:rsid w:val="00234218"/>
    <w:rsid w:val="002345DE"/>
    <w:rsid w:val="00234FBC"/>
    <w:rsid w:val="00235510"/>
    <w:rsid w:val="00235957"/>
    <w:rsid w:val="00235AC4"/>
    <w:rsid w:val="00235F5C"/>
    <w:rsid w:val="00236052"/>
    <w:rsid w:val="00236256"/>
    <w:rsid w:val="00236400"/>
    <w:rsid w:val="002365C3"/>
    <w:rsid w:val="00236E81"/>
    <w:rsid w:val="002379C9"/>
    <w:rsid w:val="00237EF0"/>
    <w:rsid w:val="002401CE"/>
    <w:rsid w:val="00240A53"/>
    <w:rsid w:val="00240BA2"/>
    <w:rsid w:val="00240D2B"/>
    <w:rsid w:val="00240D40"/>
    <w:rsid w:val="00240E32"/>
    <w:rsid w:val="002417B4"/>
    <w:rsid w:val="00241AE4"/>
    <w:rsid w:val="00241EAF"/>
    <w:rsid w:val="00241F76"/>
    <w:rsid w:val="00242B69"/>
    <w:rsid w:val="00242C85"/>
    <w:rsid w:val="00243061"/>
    <w:rsid w:val="002438D1"/>
    <w:rsid w:val="00243F5B"/>
    <w:rsid w:val="002447B9"/>
    <w:rsid w:val="002449FF"/>
    <w:rsid w:val="00244B7E"/>
    <w:rsid w:val="002450CF"/>
    <w:rsid w:val="002452BB"/>
    <w:rsid w:val="00245B52"/>
    <w:rsid w:val="00245CDC"/>
    <w:rsid w:val="0024605E"/>
    <w:rsid w:val="0024609D"/>
    <w:rsid w:val="00246FCA"/>
    <w:rsid w:val="00247299"/>
    <w:rsid w:val="00247368"/>
    <w:rsid w:val="002474B0"/>
    <w:rsid w:val="0024754E"/>
    <w:rsid w:val="0024792F"/>
    <w:rsid w:val="00247B60"/>
    <w:rsid w:val="00247B9F"/>
    <w:rsid w:val="00247D58"/>
    <w:rsid w:val="002500F3"/>
    <w:rsid w:val="002506BE"/>
    <w:rsid w:val="00250AEA"/>
    <w:rsid w:val="00250E4D"/>
    <w:rsid w:val="00250E7B"/>
    <w:rsid w:val="00250F97"/>
    <w:rsid w:val="0025118E"/>
    <w:rsid w:val="0025139E"/>
    <w:rsid w:val="0025141A"/>
    <w:rsid w:val="00251735"/>
    <w:rsid w:val="00251D20"/>
    <w:rsid w:val="002522BE"/>
    <w:rsid w:val="002523F3"/>
    <w:rsid w:val="0025264E"/>
    <w:rsid w:val="00252658"/>
    <w:rsid w:val="00252D93"/>
    <w:rsid w:val="0025301D"/>
    <w:rsid w:val="002539F3"/>
    <w:rsid w:val="002543DF"/>
    <w:rsid w:val="002549E5"/>
    <w:rsid w:val="00255107"/>
    <w:rsid w:val="00255780"/>
    <w:rsid w:val="00255E2A"/>
    <w:rsid w:val="00255EA8"/>
    <w:rsid w:val="00256282"/>
    <w:rsid w:val="0025637B"/>
    <w:rsid w:val="0025672F"/>
    <w:rsid w:val="002569DD"/>
    <w:rsid w:val="00256FAF"/>
    <w:rsid w:val="0025715A"/>
    <w:rsid w:val="002572CA"/>
    <w:rsid w:val="00257330"/>
    <w:rsid w:val="002574CC"/>
    <w:rsid w:val="002579C5"/>
    <w:rsid w:val="002604FC"/>
    <w:rsid w:val="00260A19"/>
    <w:rsid w:val="002610A2"/>
    <w:rsid w:val="00261294"/>
    <w:rsid w:val="00261656"/>
    <w:rsid w:val="00261955"/>
    <w:rsid w:val="00261D6B"/>
    <w:rsid w:val="00262433"/>
    <w:rsid w:val="00262487"/>
    <w:rsid w:val="00262D10"/>
    <w:rsid w:val="0026360D"/>
    <w:rsid w:val="00263B45"/>
    <w:rsid w:val="00263ED4"/>
    <w:rsid w:val="00264877"/>
    <w:rsid w:val="00264A48"/>
    <w:rsid w:val="002654E0"/>
    <w:rsid w:val="00265714"/>
    <w:rsid w:val="00266124"/>
    <w:rsid w:val="0026668D"/>
    <w:rsid w:val="00266A79"/>
    <w:rsid w:val="00266C33"/>
    <w:rsid w:val="00267052"/>
    <w:rsid w:val="0026759A"/>
    <w:rsid w:val="002675AD"/>
    <w:rsid w:val="00270065"/>
    <w:rsid w:val="00270125"/>
    <w:rsid w:val="00270390"/>
    <w:rsid w:val="00270C9B"/>
    <w:rsid w:val="00270EB5"/>
    <w:rsid w:val="002710E6"/>
    <w:rsid w:val="0027143A"/>
    <w:rsid w:val="0027187C"/>
    <w:rsid w:val="002719AE"/>
    <w:rsid w:val="00271ABA"/>
    <w:rsid w:val="00271DBD"/>
    <w:rsid w:val="0027209D"/>
    <w:rsid w:val="00272583"/>
    <w:rsid w:val="0027266E"/>
    <w:rsid w:val="00272982"/>
    <w:rsid w:val="002729DF"/>
    <w:rsid w:val="002731C6"/>
    <w:rsid w:val="00273219"/>
    <w:rsid w:val="00273B06"/>
    <w:rsid w:val="00273D2B"/>
    <w:rsid w:val="00273D54"/>
    <w:rsid w:val="0027435A"/>
    <w:rsid w:val="002749A2"/>
    <w:rsid w:val="00274E49"/>
    <w:rsid w:val="00275563"/>
    <w:rsid w:val="00275CA1"/>
    <w:rsid w:val="00275D62"/>
    <w:rsid w:val="00275DC2"/>
    <w:rsid w:val="0027657B"/>
    <w:rsid w:val="00276688"/>
    <w:rsid w:val="00276969"/>
    <w:rsid w:val="00276AE1"/>
    <w:rsid w:val="002771ED"/>
    <w:rsid w:val="00277C82"/>
    <w:rsid w:val="00277E24"/>
    <w:rsid w:val="00277EB5"/>
    <w:rsid w:val="002807A8"/>
    <w:rsid w:val="002807CD"/>
    <w:rsid w:val="00280D53"/>
    <w:rsid w:val="00280D98"/>
    <w:rsid w:val="00281145"/>
    <w:rsid w:val="00281237"/>
    <w:rsid w:val="002813B4"/>
    <w:rsid w:val="002813CD"/>
    <w:rsid w:val="00281C5E"/>
    <w:rsid w:val="00281F25"/>
    <w:rsid w:val="00282509"/>
    <w:rsid w:val="00282F48"/>
    <w:rsid w:val="00283785"/>
    <w:rsid w:val="002839C7"/>
    <w:rsid w:val="00283C28"/>
    <w:rsid w:val="00283C29"/>
    <w:rsid w:val="00283EE6"/>
    <w:rsid w:val="00284934"/>
    <w:rsid w:val="00284B54"/>
    <w:rsid w:val="00284E1E"/>
    <w:rsid w:val="002851BD"/>
    <w:rsid w:val="00285B94"/>
    <w:rsid w:val="002864AB"/>
    <w:rsid w:val="0028690A"/>
    <w:rsid w:val="00286C7E"/>
    <w:rsid w:val="00287094"/>
    <w:rsid w:val="002872D1"/>
    <w:rsid w:val="0028799D"/>
    <w:rsid w:val="00287E5F"/>
    <w:rsid w:val="002901BE"/>
    <w:rsid w:val="0029025F"/>
    <w:rsid w:val="002912A5"/>
    <w:rsid w:val="0029140C"/>
    <w:rsid w:val="0029192A"/>
    <w:rsid w:val="002920F1"/>
    <w:rsid w:val="002924F7"/>
    <w:rsid w:val="0029275D"/>
    <w:rsid w:val="00292BE7"/>
    <w:rsid w:val="00292EDD"/>
    <w:rsid w:val="00294CDB"/>
    <w:rsid w:val="00294E29"/>
    <w:rsid w:val="002950A6"/>
    <w:rsid w:val="00295202"/>
    <w:rsid w:val="002959F9"/>
    <w:rsid w:val="00295AC7"/>
    <w:rsid w:val="00295D31"/>
    <w:rsid w:val="00295DFD"/>
    <w:rsid w:val="002962EF"/>
    <w:rsid w:val="00296704"/>
    <w:rsid w:val="0029677E"/>
    <w:rsid w:val="00296DB6"/>
    <w:rsid w:val="00296E23"/>
    <w:rsid w:val="00296F7C"/>
    <w:rsid w:val="0029708F"/>
    <w:rsid w:val="00297379"/>
    <w:rsid w:val="00297482"/>
    <w:rsid w:val="00297879"/>
    <w:rsid w:val="00297A49"/>
    <w:rsid w:val="00297C6B"/>
    <w:rsid w:val="00297E42"/>
    <w:rsid w:val="00297F4D"/>
    <w:rsid w:val="002A035E"/>
    <w:rsid w:val="002A0475"/>
    <w:rsid w:val="002A1026"/>
    <w:rsid w:val="002A1303"/>
    <w:rsid w:val="002A2476"/>
    <w:rsid w:val="002A2805"/>
    <w:rsid w:val="002A3127"/>
    <w:rsid w:val="002A3F73"/>
    <w:rsid w:val="002A42E7"/>
    <w:rsid w:val="002A47C4"/>
    <w:rsid w:val="002A48F0"/>
    <w:rsid w:val="002A49FF"/>
    <w:rsid w:val="002A4A06"/>
    <w:rsid w:val="002A4CDD"/>
    <w:rsid w:val="002A4D23"/>
    <w:rsid w:val="002A4D95"/>
    <w:rsid w:val="002A4DFF"/>
    <w:rsid w:val="002A53FB"/>
    <w:rsid w:val="002A5414"/>
    <w:rsid w:val="002A547C"/>
    <w:rsid w:val="002A54C4"/>
    <w:rsid w:val="002A5930"/>
    <w:rsid w:val="002A5971"/>
    <w:rsid w:val="002A5A29"/>
    <w:rsid w:val="002A5B88"/>
    <w:rsid w:val="002A5D9D"/>
    <w:rsid w:val="002A6FB2"/>
    <w:rsid w:val="002A73A5"/>
    <w:rsid w:val="002A7427"/>
    <w:rsid w:val="002A7642"/>
    <w:rsid w:val="002A7C4F"/>
    <w:rsid w:val="002A7DC1"/>
    <w:rsid w:val="002A7E3A"/>
    <w:rsid w:val="002B02FE"/>
    <w:rsid w:val="002B0462"/>
    <w:rsid w:val="002B078F"/>
    <w:rsid w:val="002B09D2"/>
    <w:rsid w:val="002B1100"/>
    <w:rsid w:val="002B1138"/>
    <w:rsid w:val="002B113F"/>
    <w:rsid w:val="002B1608"/>
    <w:rsid w:val="002B1637"/>
    <w:rsid w:val="002B189D"/>
    <w:rsid w:val="002B1C03"/>
    <w:rsid w:val="002B1D13"/>
    <w:rsid w:val="002B2690"/>
    <w:rsid w:val="002B285D"/>
    <w:rsid w:val="002B2F2D"/>
    <w:rsid w:val="002B3015"/>
    <w:rsid w:val="002B323C"/>
    <w:rsid w:val="002B34DA"/>
    <w:rsid w:val="002B397A"/>
    <w:rsid w:val="002B39FF"/>
    <w:rsid w:val="002B3C6B"/>
    <w:rsid w:val="002B470C"/>
    <w:rsid w:val="002B4877"/>
    <w:rsid w:val="002B4961"/>
    <w:rsid w:val="002B4B4F"/>
    <w:rsid w:val="002B53FA"/>
    <w:rsid w:val="002B5F6C"/>
    <w:rsid w:val="002B65B0"/>
    <w:rsid w:val="002B66EA"/>
    <w:rsid w:val="002B67CA"/>
    <w:rsid w:val="002B68F7"/>
    <w:rsid w:val="002B6B82"/>
    <w:rsid w:val="002B6C8E"/>
    <w:rsid w:val="002B7FC9"/>
    <w:rsid w:val="002C0145"/>
    <w:rsid w:val="002C0554"/>
    <w:rsid w:val="002C1517"/>
    <w:rsid w:val="002C18B9"/>
    <w:rsid w:val="002C1B30"/>
    <w:rsid w:val="002C1BB1"/>
    <w:rsid w:val="002C1C94"/>
    <w:rsid w:val="002C2731"/>
    <w:rsid w:val="002C27EB"/>
    <w:rsid w:val="002C2969"/>
    <w:rsid w:val="002C2CCF"/>
    <w:rsid w:val="002C2D6D"/>
    <w:rsid w:val="002C300C"/>
    <w:rsid w:val="002C3077"/>
    <w:rsid w:val="002C3D31"/>
    <w:rsid w:val="002C408B"/>
    <w:rsid w:val="002C452C"/>
    <w:rsid w:val="002C4551"/>
    <w:rsid w:val="002C46E9"/>
    <w:rsid w:val="002C480E"/>
    <w:rsid w:val="002C552B"/>
    <w:rsid w:val="002C55C2"/>
    <w:rsid w:val="002C5808"/>
    <w:rsid w:val="002C60A7"/>
    <w:rsid w:val="002C61B1"/>
    <w:rsid w:val="002C6711"/>
    <w:rsid w:val="002C677C"/>
    <w:rsid w:val="002C6D4B"/>
    <w:rsid w:val="002C7063"/>
    <w:rsid w:val="002C72B2"/>
    <w:rsid w:val="002C761A"/>
    <w:rsid w:val="002C7643"/>
    <w:rsid w:val="002C76EB"/>
    <w:rsid w:val="002C7CDF"/>
    <w:rsid w:val="002D00F7"/>
    <w:rsid w:val="002D02FD"/>
    <w:rsid w:val="002D0386"/>
    <w:rsid w:val="002D04DE"/>
    <w:rsid w:val="002D0931"/>
    <w:rsid w:val="002D0B32"/>
    <w:rsid w:val="002D0B8B"/>
    <w:rsid w:val="002D0C7A"/>
    <w:rsid w:val="002D0D18"/>
    <w:rsid w:val="002D0F00"/>
    <w:rsid w:val="002D1623"/>
    <w:rsid w:val="002D2524"/>
    <w:rsid w:val="002D2B4C"/>
    <w:rsid w:val="002D2C3A"/>
    <w:rsid w:val="002D33B6"/>
    <w:rsid w:val="002D34F0"/>
    <w:rsid w:val="002D3AEB"/>
    <w:rsid w:val="002D3CCE"/>
    <w:rsid w:val="002D4248"/>
    <w:rsid w:val="002D4705"/>
    <w:rsid w:val="002D4CFB"/>
    <w:rsid w:val="002D4E27"/>
    <w:rsid w:val="002D54D4"/>
    <w:rsid w:val="002D5692"/>
    <w:rsid w:val="002D5AD6"/>
    <w:rsid w:val="002D5AF5"/>
    <w:rsid w:val="002D5EF1"/>
    <w:rsid w:val="002D65BB"/>
    <w:rsid w:val="002D6619"/>
    <w:rsid w:val="002D67E5"/>
    <w:rsid w:val="002D75DF"/>
    <w:rsid w:val="002D7610"/>
    <w:rsid w:val="002D77AA"/>
    <w:rsid w:val="002D7865"/>
    <w:rsid w:val="002D7B21"/>
    <w:rsid w:val="002E015E"/>
    <w:rsid w:val="002E01C1"/>
    <w:rsid w:val="002E0265"/>
    <w:rsid w:val="002E08C7"/>
    <w:rsid w:val="002E1C85"/>
    <w:rsid w:val="002E1F7C"/>
    <w:rsid w:val="002E21B5"/>
    <w:rsid w:val="002E23AF"/>
    <w:rsid w:val="002E249C"/>
    <w:rsid w:val="002E24A6"/>
    <w:rsid w:val="002E2CAF"/>
    <w:rsid w:val="002E31C9"/>
    <w:rsid w:val="002E31E6"/>
    <w:rsid w:val="002E3854"/>
    <w:rsid w:val="002E3B8D"/>
    <w:rsid w:val="002E3D87"/>
    <w:rsid w:val="002E4096"/>
    <w:rsid w:val="002E4210"/>
    <w:rsid w:val="002E4995"/>
    <w:rsid w:val="002E585A"/>
    <w:rsid w:val="002E5F78"/>
    <w:rsid w:val="002E6030"/>
    <w:rsid w:val="002E6369"/>
    <w:rsid w:val="002E6A7B"/>
    <w:rsid w:val="002E6BD4"/>
    <w:rsid w:val="002E6FFC"/>
    <w:rsid w:val="002E70A3"/>
    <w:rsid w:val="002E7123"/>
    <w:rsid w:val="002E7861"/>
    <w:rsid w:val="002E7ADA"/>
    <w:rsid w:val="002E7B49"/>
    <w:rsid w:val="002E7F24"/>
    <w:rsid w:val="002F049A"/>
    <w:rsid w:val="002F0B7F"/>
    <w:rsid w:val="002F0DCE"/>
    <w:rsid w:val="002F0E8D"/>
    <w:rsid w:val="002F2AE7"/>
    <w:rsid w:val="002F3D51"/>
    <w:rsid w:val="002F3F48"/>
    <w:rsid w:val="002F42FE"/>
    <w:rsid w:val="002F448E"/>
    <w:rsid w:val="002F44B7"/>
    <w:rsid w:val="002F44EB"/>
    <w:rsid w:val="002F4C45"/>
    <w:rsid w:val="002F4FFC"/>
    <w:rsid w:val="002F53AA"/>
    <w:rsid w:val="002F55C6"/>
    <w:rsid w:val="002F5A38"/>
    <w:rsid w:val="002F5C17"/>
    <w:rsid w:val="002F5D5D"/>
    <w:rsid w:val="002F62CB"/>
    <w:rsid w:val="002F63EE"/>
    <w:rsid w:val="002F6461"/>
    <w:rsid w:val="002F658B"/>
    <w:rsid w:val="002F698C"/>
    <w:rsid w:val="002F6AC2"/>
    <w:rsid w:val="002F6CC5"/>
    <w:rsid w:val="002F6DA9"/>
    <w:rsid w:val="002F7076"/>
    <w:rsid w:val="002F7259"/>
    <w:rsid w:val="002F752B"/>
    <w:rsid w:val="002F7534"/>
    <w:rsid w:val="002F75E5"/>
    <w:rsid w:val="002F78CD"/>
    <w:rsid w:val="002F7AF6"/>
    <w:rsid w:val="002F7BE7"/>
    <w:rsid w:val="0030018A"/>
    <w:rsid w:val="003002E1"/>
    <w:rsid w:val="0030031E"/>
    <w:rsid w:val="0030042A"/>
    <w:rsid w:val="003004BB"/>
    <w:rsid w:val="003007A9"/>
    <w:rsid w:val="00300E7A"/>
    <w:rsid w:val="00301015"/>
    <w:rsid w:val="00301018"/>
    <w:rsid w:val="00301149"/>
    <w:rsid w:val="00301B04"/>
    <w:rsid w:val="00301B37"/>
    <w:rsid w:val="00301DFD"/>
    <w:rsid w:val="00301E6C"/>
    <w:rsid w:val="00301FC5"/>
    <w:rsid w:val="00302369"/>
    <w:rsid w:val="00302440"/>
    <w:rsid w:val="003024AC"/>
    <w:rsid w:val="00302A0D"/>
    <w:rsid w:val="00302BCA"/>
    <w:rsid w:val="00302D1F"/>
    <w:rsid w:val="00303609"/>
    <w:rsid w:val="00303D2A"/>
    <w:rsid w:val="00303E0F"/>
    <w:rsid w:val="00304667"/>
    <w:rsid w:val="00304781"/>
    <w:rsid w:val="00304EB8"/>
    <w:rsid w:val="00304F26"/>
    <w:rsid w:val="003051ED"/>
    <w:rsid w:val="0030570B"/>
    <w:rsid w:val="00305742"/>
    <w:rsid w:val="00305AF0"/>
    <w:rsid w:val="00305DE3"/>
    <w:rsid w:val="00305ED3"/>
    <w:rsid w:val="003062E2"/>
    <w:rsid w:val="00306A11"/>
    <w:rsid w:val="00306D67"/>
    <w:rsid w:val="00306E10"/>
    <w:rsid w:val="00306FC6"/>
    <w:rsid w:val="00307253"/>
    <w:rsid w:val="0030754E"/>
    <w:rsid w:val="003079CC"/>
    <w:rsid w:val="00307C7E"/>
    <w:rsid w:val="00307C94"/>
    <w:rsid w:val="0031013A"/>
    <w:rsid w:val="0031056B"/>
    <w:rsid w:val="00310AD5"/>
    <w:rsid w:val="00310FB5"/>
    <w:rsid w:val="00311423"/>
    <w:rsid w:val="00311481"/>
    <w:rsid w:val="00311A91"/>
    <w:rsid w:val="00311F3C"/>
    <w:rsid w:val="003121C1"/>
    <w:rsid w:val="00312228"/>
    <w:rsid w:val="00312E43"/>
    <w:rsid w:val="0031320A"/>
    <w:rsid w:val="0031393B"/>
    <w:rsid w:val="00313ACA"/>
    <w:rsid w:val="00313BBD"/>
    <w:rsid w:val="00313D4A"/>
    <w:rsid w:val="00313FE6"/>
    <w:rsid w:val="00314CEE"/>
    <w:rsid w:val="00314DB6"/>
    <w:rsid w:val="003150DB"/>
    <w:rsid w:val="003153AA"/>
    <w:rsid w:val="0031554D"/>
    <w:rsid w:val="00315DBD"/>
    <w:rsid w:val="003169E5"/>
    <w:rsid w:val="00316FFD"/>
    <w:rsid w:val="003170AB"/>
    <w:rsid w:val="003172F5"/>
    <w:rsid w:val="003173F4"/>
    <w:rsid w:val="00317808"/>
    <w:rsid w:val="00317B9E"/>
    <w:rsid w:val="00317D17"/>
    <w:rsid w:val="00317DE0"/>
    <w:rsid w:val="00317F0D"/>
    <w:rsid w:val="0032037E"/>
    <w:rsid w:val="0032041C"/>
    <w:rsid w:val="00320A4A"/>
    <w:rsid w:val="00320B5E"/>
    <w:rsid w:val="00320D76"/>
    <w:rsid w:val="00321001"/>
    <w:rsid w:val="003211B4"/>
    <w:rsid w:val="00321598"/>
    <w:rsid w:val="0032197C"/>
    <w:rsid w:val="003222BC"/>
    <w:rsid w:val="00322ABB"/>
    <w:rsid w:val="00322B26"/>
    <w:rsid w:val="00322B7D"/>
    <w:rsid w:val="00322BFB"/>
    <w:rsid w:val="00323457"/>
    <w:rsid w:val="00323676"/>
    <w:rsid w:val="003237DD"/>
    <w:rsid w:val="00323809"/>
    <w:rsid w:val="0032399D"/>
    <w:rsid w:val="00324043"/>
    <w:rsid w:val="003255D0"/>
    <w:rsid w:val="00325617"/>
    <w:rsid w:val="0032564D"/>
    <w:rsid w:val="0032611C"/>
    <w:rsid w:val="00326354"/>
    <w:rsid w:val="00326395"/>
    <w:rsid w:val="00326A3A"/>
    <w:rsid w:val="00326C4C"/>
    <w:rsid w:val="00326C5E"/>
    <w:rsid w:val="00326FBE"/>
    <w:rsid w:val="00327217"/>
    <w:rsid w:val="0033008A"/>
    <w:rsid w:val="003300F3"/>
    <w:rsid w:val="00330D67"/>
    <w:rsid w:val="0033104B"/>
    <w:rsid w:val="00331424"/>
    <w:rsid w:val="00331598"/>
    <w:rsid w:val="00331AF3"/>
    <w:rsid w:val="00331BA5"/>
    <w:rsid w:val="00331EAC"/>
    <w:rsid w:val="00332765"/>
    <w:rsid w:val="00332D07"/>
    <w:rsid w:val="00332D7B"/>
    <w:rsid w:val="003331D9"/>
    <w:rsid w:val="00333A70"/>
    <w:rsid w:val="00333BDE"/>
    <w:rsid w:val="0033464B"/>
    <w:rsid w:val="003346DC"/>
    <w:rsid w:val="00334AE1"/>
    <w:rsid w:val="003353E5"/>
    <w:rsid w:val="00335BED"/>
    <w:rsid w:val="00335EFB"/>
    <w:rsid w:val="00336779"/>
    <w:rsid w:val="00336A5B"/>
    <w:rsid w:val="00337142"/>
    <w:rsid w:val="00337CB6"/>
    <w:rsid w:val="003402F9"/>
    <w:rsid w:val="00340352"/>
    <w:rsid w:val="00340363"/>
    <w:rsid w:val="00340E05"/>
    <w:rsid w:val="00340FBA"/>
    <w:rsid w:val="003412F6"/>
    <w:rsid w:val="00341377"/>
    <w:rsid w:val="003414C6"/>
    <w:rsid w:val="00341507"/>
    <w:rsid w:val="00341695"/>
    <w:rsid w:val="003416A4"/>
    <w:rsid w:val="00341FFC"/>
    <w:rsid w:val="003420FF"/>
    <w:rsid w:val="00342544"/>
    <w:rsid w:val="003428CB"/>
    <w:rsid w:val="00342A6A"/>
    <w:rsid w:val="00342B69"/>
    <w:rsid w:val="00342DF9"/>
    <w:rsid w:val="0034342B"/>
    <w:rsid w:val="0034364C"/>
    <w:rsid w:val="00343EF8"/>
    <w:rsid w:val="00344D93"/>
    <w:rsid w:val="00345659"/>
    <w:rsid w:val="00345CBE"/>
    <w:rsid w:val="003471FE"/>
    <w:rsid w:val="00347684"/>
    <w:rsid w:val="00347A40"/>
    <w:rsid w:val="00347A9E"/>
    <w:rsid w:val="00347EEE"/>
    <w:rsid w:val="00347F87"/>
    <w:rsid w:val="0035030D"/>
    <w:rsid w:val="00350BF7"/>
    <w:rsid w:val="00350EE3"/>
    <w:rsid w:val="00351DDF"/>
    <w:rsid w:val="003521C5"/>
    <w:rsid w:val="0035283F"/>
    <w:rsid w:val="00353597"/>
    <w:rsid w:val="0035364F"/>
    <w:rsid w:val="003536B5"/>
    <w:rsid w:val="0035377D"/>
    <w:rsid w:val="00353BEF"/>
    <w:rsid w:val="00353FCC"/>
    <w:rsid w:val="00354086"/>
    <w:rsid w:val="003542CA"/>
    <w:rsid w:val="00354371"/>
    <w:rsid w:val="003545F8"/>
    <w:rsid w:val="0035468D"/>
    <w:rsid w:val="00354AA6"/>
    <w:rsid w:val="003555A0"/>
    <w:rsid w:val="003558B5"/>
    <w:rsid w:val="0035598D"/>
    <w:rsid w:val="00355B52"/>
    <w:rsid w:val="00355C0C"/>
    <w:rsid w:val="00355E62"/>
    <w:rsid w:val="003561D7"/>
    <w:rsid w:val="003561E2"/>
    <w:rsid w:val="003564C8"/>
    <w:rsid w:val="0035681F"/>
    <w:rsid w:val="00357059"/>
    <w:rsid w:val="003573B2"/>
    <w:rsid w:val="003575C3"/>
    <w:rsid w:val="00357783"/>
    <w:rsid w:val="003579E4"/>
    <w:rsid w:val="00357AA7"/>
    <w:rsid w:val="003601A6"/>
    <w:rsid w:val="00360B05"/>
    <w:rsid w:val="003615B5"/>
    <w:rsid w:val="00361BF7"/>
    <w:rsid w:val="00362034"/>
    <w:rsid w:val="003621D6"/>
    <w:rsid w:val="00362284"/>
    <w:rsid w:val="00362597"/>
    <w:rsid w:val="00363153"/>
    <w:rsid w:val="003635C0"/>
    <w:rsid w:val="00363C13"/>
    <w:rsid w:val="00363D2C"/>
    <w:rsid w:val="00363E83"/>
    <w:rsid w:val="00363E88"/>
    <w:rsid w:val="00363F48"/>
    <w:rsid w:val="00364025"/>
    <w:rsid w:val="0036447A"/>
    <w:rsid w:val="00364596"/>
    <w:rsid w:val="00364DCD"/>
    <w:rsid w:val="00365410"/>
    <w:rsid w:val="003654A7"/>
    <w:rsid w:val="003654E3"/>
    <w:rsid w:val="003655D9"/>
    <w:rsid w:val="00365F3D"/>
    <w:rsid w:val="003662C4"/>
    <w:rsid w:val="0036656C"/>
    <w:rsid w:val="00366964"/>
    <w:rsid w:val="00366D96"/>
    <w:rsid w:val="003671DD"/>
    <w:rsid w:val="0036752F"/>
    <w:rsid w:val="00367793"/>
    <w:rsid w:val="00367851"/>
    <w:rsid w:val="00367923"/>
    <w:rsid w:val="00367935"/>
    <w:rsid w:val="00367B51"/>
    <w:rsid w:val="00367BF2"/>
    <w:rsid w:val="00367C24"/>
    <w:rsid w:val="003704A2"/>
    <w:rsid w:val="00370D9A"/>
    <w:rsid w:val="00371207"/>
    <w:rsid w:val="0037196B"/>
    <w:rsid w:val="00372532"/>
    <w:rsid w:val="003726F1"/>
    <w:rsid w:val="00373369"/>
    <w:rsid w:val="003736B5"/>
    <w:rsid w:val="00373BB9"/>
    <w:rsid w:val="00373FCF"/>
    <w:rsid w:val="0037416F"/>
    <w:rsid w:val="003742A2"/>
    <w:rsid w:val="00374629"/>
    <w:rsid w:val="0037492B"/>
    <w:rsid w:val="00375A8E"/>
    <w:rsid w:val="00375C96"/>
    <w:rsid w:val="00375F07"/>
    <w:rsid w:val="003761DF"/>
    <w:rsid w:val="0037631B"/>
    <w:rsid w:val="00376466"/>
    <w:rsid w:val="0037683F"/>
    <w:rsid w:val="00376C1E"/>
    <w:rsid w:val="00376D4A"/>
    <w:rsid w:val="003772B7"/>
    <w:rsid w:val="00377839"/>
    <w:rsid w:val="00377C4D"/>
    <w:rsid w:val="00377E30"/>
    <w:rsid w:val="00377E6E"/>
    <w:rsid w:val="003800FD"/>
    <w:rsid w:val="003804D0"/>
    <w:rsid w:val="003809B9"/>
    <w:rsid w:val="00381545"/>
    <w:rsid w:val="0038167C"/>
    <w:rsid w:val="00381979"/>
    <w:rsid w:val="00381B20"/>
    <w:rsid w:val="00381C7A"/>
    <w:rsid w:val="00381E29"/>
    <w:rsid w:val="00381E9B"/>
    <w:rsid w:val="0038207A"/>
    <w:rsid w:val="0038245C"/>
    <w:rsid w:val="00382749"/>
    <w:rsid w:val="00382B50"/>
    <w:rsid w:val="0038393C"/>
    <w:rsid w:val="003839F5"/>
    <w:rsid w:val="00383A3B"/>
    <w:rsid w:val="00383AD5"/>
    <w:rsid w:val="00383B56"/>
    <w:rsid w:val="00383FEE"/>
    <w:rsid w:val="0038424F"/>
    <w:rsid w:val="00384521"/>
    <w:rsid w:val="0038456E"/>
    <w:rsid w:val="003845C6"/>
    <w:rsid w:val="003846A1"/>
    <w:rsid w:val="00384C37"/>
    <w:rsid w:val="00385B05"/>
    <w:rsid w:val="00385F53"/>
    <w:rsid w:val="003861B5"/>
    <w:rsid w:val="00386277"/>
    <w:rsid w:val="003863BE"/>
    <w:rsid w:val="00386745"/>
    <w:rsid w:val="00386A12"/>
    <w:rsid w:val="00386D3C"/>
    <w:rsid w:val="00387036"/>
    <w:rsid w:val="003875DF"/>
    <w:rsid w:val="00387798"/>
    <w:rsid w:val="00390B4A"/>
    <w:rsid w:val="00390F0E"/>
    <w:rsid w:val="00391005"/>
    <w:rsid w:val="00391484"/>
    <w:rsid w:val="0039178E"/>
    <w:rsid w:val="00391898"/>
    <w:rsid w:val="003920C2"/>
    <w:rsid w:val="0039216B"/>
    <w:rsid w:val="003922A6"/>
    <w:rsid w:val="00392560"/>
    <w:rsid w:val="00392A29"/>
    <w:rsid w:val="00392E68"/>
    <w:rsid w:val="00392FA5"/>
    <w:rsid w:val="00393BA2"/>
    <w:rsid w:val="00393C6D"/>
    <w:rsid w:val="00393CCA"/>
    <w:rsid w:val="00393F48"/>
    <w:rsid w:val="003943E8"/>
    <w:rsid w:val="00394DFB"/>
    <w:rsid w:val="003950A5"/>
    <w:rsid w:val="003957DB"/>
    <w:rsid w:val="003958F9"/>
    <w:rsid w:val="003959C9"/>
    <w:rsid w:val="00395B18"/>
    <w:rsid w:val="00395B33"/>
    <w:rsid w:val="00395FA9"/>
    <w:rsid w:val="00396246"/>
    <w:rsid w:val="00396C8D"/>
    <w:rsid w:val="00396D46"/>
    <w:rsid w:val="003974B8"/>
    <w:rsid w:val="003975FC"/>
    <w:rsid w:val="003A050C"/>
    <w:rsid w:val="003A09DB"/>
    <w:rsid w:val="003A0A67"/>
    <w:rsid w:val="003A0A94"/>
    <w:rsid w:val="003A0B54"/>
    <w:rsid w:val="003A1B31"/>
    <w:rsid w:val="003A2671"/>
    <w:rsid w:val="003A26FA"/>
    <w:rsid w:val="003A286D"/>
    <w:rsid w:val="003A2FB7"/>
    <w:rsid w:val="003A30E7"/>
    <w:rsid w:val="003A319E"/>
    <w:rsid w:val="003A34BD"/>
    <w:rsid w:val="003A35C4"/>
    <w:rsid w:val="003A384F"/>
    <w:rsid w:val="003A3A0D"/>
    <w:rsid w:val="003A4B6B"/>
    <w:rsid w:val="003A4BBC"/>
    <w:rsid w:val="003A5045"/>
    <w:rsid w:val="003A5AB7"/>
    <w:rsid w:val="003A5D0A"/>
    <w:rsid w:val="003A5D94"/>
    <w:rsid w:val="003A5DC0"/>
    <w:rsid w:val="003A6004"/>
    <w:rsid w:val="003A6421"/>
    <w:rsid w:val="003A678F"/>
    <w:rsid w:val="003A6935"/>
    <w:rsid w:val="003A7B1D"/>
    <w:rsid w:val="003A7DAD"/>
    <w:rsid w:val="003B00E1"/>
    <w:rsid w:val="003B011A"/>
    <w:rsid w:val="003B090D"/>
    <w:rsid w:val="003B09B0"/>
    <w:rsid w:val="003B0F19"/>
    <w:rsid w:val="003B0F35"/>
    <w:rsid w:val="003B1509"/>
    <w:rsid w:val="003B1512"/>
    <w:rsid w:val="003B1780"/>
    <w:rsid w:val="003B1847"/>
    <w:rsid w:val="003B20D0"/>
    <w:rsid w:val="003B2364"/>
    <w:rsid w:val="003B2440"/>
    <w:rsid w:val="003B24C9"/>
    <w:rsid w:val="003B2FFA"/>
    <w:rsid w:val="003B32F6"/>
    <w:rsid w:val="003B3696"/>
    <w:rsid w:val="003B37E4"/>
    <w:rsid w:val="003B3969"/>
    <w:rsid w:val="003B3A52"/>
    <w:rsid w:val="003B47A8"/>
    <w:rsid w:val="003B49BD"/>
    <w:rsid w:val="003B4A0C"/>
    <w:rsid w:val="003B5006"/>
    <w:rsid w:val="003B61A8"/>
    <w:rsid w:val="003B64A4"/>
    <w:rsid w:val="003B66C9"/>
    <w:rsid w:val="003B6D16"/>
    <w:rsid w:val="003B6D41"/>
    <w:rsid w:val="003B7104"/>
    <w:rsid w:val="003B77CB"/>
    <w:rsid w:val="003B79D2"/>
    <w:rsid w:val="003B7B9C"/>
    <w:rsid w:val="003C0437"/>
    <w:rsid w:val="003C050E"/>
    <w:rsid w:val="003C083D"/>
    <w:rsid w:val="003C0D91"/>
    <w:rsid w:val="003C132D"/>
    <w:rsid w:val="003C1381"/>
    <w:rsid w:val="003C13D6"/>
    <w:rsid w:val="003C1905"/>
    <w:rsid w:val="003C1B87"/>
    <w:rsid w:val="003C1BBE"/>
    <w:rsid w:val="003C1C16"/>
    <w:rsid w:val="003C2024"/>
    <w:rsid w:val="003C3281"/>
    <w:rsid w:val="003C3473"/>
    <w:rsid w:val="003C3636"/>
    <w:rsid w:val="003C3704"/>
    <w:rsid w:val="003C3792"/>
    <w:rsid w:val="003C4781"/>
    <w:rsid w:val="003C4CF5"/>
    <w:rsid w:val="003C5B78"/>
    <w:rsid w:val="003C5E1F"/>
    <w:rsid w:val="003C5EE6"/>
    <w:rsid w:val="003C608B"/>
    <w:rsid w:val="003C61E7"/>
    <w:rsid w:val="003C66C5"/>
    <w:rsid w:val="003C6DBE"/>
    <w:rsid w:val="003C7316"/>
    <w:rsid w:val="003C75A6"/>
    <w:rsid w:val="003C7ADF"/>
    <w:rsid w:val="003C7E95"/>
    <w:rsid w:val="003C7F03"/>
    <w:rsid w:val="003D02A7"/>
    <w:rsid w:val="003D03BB"/>
    <w:rsid w:val="003D0E5A"/>
    <w:rsid w:val="003D0FEB"/>
    <w:rsid w:val="003D16AC"/>
    <w:rsid w:val="003D193D"/>
    <w:rsid w:val="003D1FDF"/>
    <w:rsid w:val="003D2100"/>
    <w:rsid w:val="003D213E"/>
    <w:rsid w:val="003D23B4"/>
    <w:rsid w:val="003D2556"/>
    <w:rsid w:val="003D26B8"/>
    <w:rsid w:val="003D2785"/>
    <w:rsid w:val="003D2CF3"/>
    <w:rsid w:val="003D2DD6"/>
    <w:rsid w:val="003D3787"/>
    <w:rsid w:val="003D3DE0"/>
    <w:rsid w:val="003D4396"/>
    <w:rsid w:val="003D4489"/>
    <w:rsid w:val="003D45DC"/>
    <w:rsid w:val="003D4AD3"/>
    <w:rsid w:val="003D4D03"/>
    <w:rsid w:val="003D4D8A"/>
    <w:rsid w:val="003D5025"/>
    <w:rsid w:val="003D5774"/>
    <w:rsid w:val="003D590C"/>
    <w:rsid w:val="003D6256"/>
    <w:rsid w:val="003D6C2F"/>
    <w:rsid w:val="003D6E38"/>
    <w:rsid w:val="003D72C4"/>
    <w:rsid w:val="003D7492"/>
    <w:rsid w:val="003D75EA"/>
    <w:rsid w:val="003E017A"/>
    <w:rsid w:val="003E03A4"/>
    <w:rsid w:val="003E1349"/>
    <w:rsid w:val="003E1369"/>
    <w:rsid w:val="003E15EF"/>
    <w:rsid w:val="003E1E9E"/>
    <w:rsid w:val="003E2558"/>
    <w:rsid w:val="003E2669"/>
    <w:rsid w:val="003E3303"/>
    <w:rsid w:val="003E367D"/>
    <w:rsid w:val="003E38C7"/>
    <w:rsid w:val="003E395F"/>
    <w:rsid w:val="003E3B43"/>
    <w:rsid w:val="003E3E15"/>
    <w:rsid w:val="003E41E0"/>
    <w:rsid w:val="003E4315"/>
    <w:rsid w:val="003E448C"/>
    <w:rsid w:val="003E4698"/>
    <w:rsid w:val="003E48BB"/>
    <w:rsid w:val="003E4FCC"/>
    <w:rsid w:val="003E58C1"/>
    <w:rsid w:val="003E61C7"/>
    <w:rsid w:val="003E6953"/>
    <w:rsid w:val="003E6EE2"/>
    <w:rsid w:val="003E6FB1"/>
    <w:rsid w:val="003E7AE4"/>
    <w:rsid w:val="003F0443"/>
    <w:rsid w:val="003F0642"/>
    <w:rsid w:val="003F08A0"/>
    <w:rsid w:val="003F0C4E"/>
    <w:rsid w:val="003F0E8F"/>
    <w:rsid w:val="003F0F3D"/>
    <w:rsid w:val="003F122D"/>
    <w:rsid w:val="003F1F31"/>
    <w:rsid w:val="003F1FE9"/>
    <w:rsid w:val="003F2109"/>
    <w:rsid w:val="003F210E"/>
    <w:rsid w:val="003F2416"/>
    <w:rsid w:val="003F26E5"/>
    <w:rsid w:val="003F2A2A"/>
    <w:rsid w:val="003F323A"/>
    <w:rsid w:val="003F3508"/>
    <w:rsid w:val="003F3EF0"/>
    <w:rsid w:val="003F3FC4"/>
    <w:rsid w:val="003F3FCD"/>
    <w:rsid w:val="003F4019"/>
    <w:rsid w:val="003F4136"/>
    <w:rsid w:val="003F418C"/>
    <w:rsid w:val="003F4B8E"/>
    <w:rsid w:val="003F4DCC"/>
    <w:rsid w:val="003F5345"/>
    <w:rsid w:val="003F590F"/>
    <w:rsid w:val="003F5926"/>
    <w:rsid w:val="003F59EB"/>
    <w:rsid w:val="003F5B70"/>
    <w:rsid w:val="003F5F48"/>
    <w:rsid w:val="003F6313"/>
    <w:rsid w:val="003F6AC0"/>
    <w:rsid w:val="003F6EE2"/>
    <w:rsid w:val="003F6F13"/>
    <w:rsid w:val="003F7863"/>
    <w:rsid w:val="003F7DA3"/>
    <w:rsid w:val="003F7E74"/>
    <w:rsid w:val="0040027C"/>
    <w:rsid w:val="004003A9"/>
    <w:rsid w:val="004009C2"/>
    <w:rsid w:val="004013CC"/>
    <w:rsid w:val="00401815"/>
    <w:rsid w:val="0040193A"/>
    <w:rsid w:val="00402187"/>
    <w:rsid w:val="0040218C"/>
    <w:rsid w:val="004026AE"/>
    <w:rsid w:val="00402741"/>
    <w:rsid w:val="00402C74"/>
    <w:rsid w:val="00403060"/>
    <w:rsid w:val="0040393C"/>
    <w:rsid w:val="00403C8B"/>
    <w:rsid w:val="0040417F"/>
    <w:rsid w:val="00404632"/>
    <w:rsid w:val="00404B96"/>
    <w:rsid w:val="00404C72"/>
    <w:rsid w:val="00404CAC"/>
    <w:rsid w:val="00405092"/>
    <w:rsid w:val="00406170"/>
    <w:rsid w:val="00406979"/>
    <w:rsid w:val="00406A85"/>
    <w:rsid w:val="004073FB"/>
    <w:rsid w:val="00407963"/>
    <w:rsid w:val="00407C7B"/>
    <w:rsid w:val="00410018"/>
    <w:rsid w:val="004106DC"/>
    <w:rsid w:val="004107D0"/>
    <w:rsid w:val="00410B15"/>
    <w:rsid w:val="00411416"/>
    <w:rsid w:val="0041166B"/>
    <w:rsid w:val="00411E6B"/>
    <w:rsid w:val="004124F2"/>
    <w:rsid w:val="004126F9"/>
    <w:rsid w:val="00412A2E"/>
    <w:rsid w:val="00412A7F"/>
    <w:rsid w:val="004137C0"/>
    <w:rsid w:val="00413FD4"/>
    <w:rsid w:val="0041427F"/>
    <w:rsid w:val="004142EA"/>
    <w:rsid w:val="004143F6"/>
    <w:rsid w:val="00414D8E"/>
    <w:rsid w:val="004154F3"/>
    <w:rsid w:val="004158F0"/>
    <w:rsid w:val="0041596E"/>
    <w:rsid w:val="0041607C"/>
    <w:rsid w:val="00416383"/>
    <w:rsid w:val="0041655A"/>
    <w:rsid w:val="004166B2"/>
    <w:rsid w:val="004169D9"/>
    <w:rsid w:val="00416A82"/>
    <w:rsid w:val="00416D96"/>
    <w:rsid w:val="00416DF6"/>
    <w:rsid w:val="00416EA9"/>
    <w:rsid w:val="0041730F"/>
    <w:rsid w:val="0041735E"/>
    <w:rsid w:val="00417433"/>
    <w:rsid w:val="0041775A"/>
    <w:rsid w:val="0041780F"/>
    <w:rsid w:val="00420302"/>
    <w:rsid w:val="0042071D"/>
    <w:rsid w:val="00420CDE"/>
    <w:rsid w:val="004216B9"/>
    <w:rsid w:val="00421755"/>
    <w:rsid w:val="004217CA"/>
    <w:rsid w:val="00421C0C"/>
    <w:rsid w:val="00421CD8"/>
    <w:rsid w:val="0042270A"/>
    <w:rsid w:val="0042360A"/>
    <w:rsid w:val="00423FE2"/>
    <w:rsid w:val="0042404B"/>
    <w:rsid w:val="0042407D"/>
    <w:rsid w:val="00424257"/>
    <w:rsid w:val="004243B6"/>
    <w:rsid w:val="00424506"/>
    <w:rsid w:val="004247A0"/>
    <w:rsid w:val="0042488E"/>
    <w:rsid w:val="00424C15"/>
    <w:rsid w:val="00424CD4"/>
    <w:rsid w:val="00424E66"/>
    <w:rsid w:val="00425AD1"/>
    <w:rsid w:val="00425F92"/>
    <w:rsid w:val="00426129"/>
    <w:rsid w:val="00426443"/>
    <w:rsid w:val="0042698A"/>
    <w:rsid w:val="00426ABC"/>
    <w:rsid w:val="0042702F"/>
    <w:rsid w:val="00427152"/>
    <w:rsid w:val="004276E2"/>
    <w:rsid w:val="0043003F"/>
    <w:rsid w:val="004307A7"/>
    <w:rsid w:val="00430BE3"/>
    <w:rsid w:val="004310C8"/>
    <w:rsid w:val="0043143D"/>
    <w:rsid w:val="00431BF7"/>
    <w:rsid w:val="00431E3C"/>
    <w:rsid w:val="0043203D"/>
    <w:rsid w:val="004320CE"/>
    <w:rsid w:val="0043221D"/>
    <w:rsid w:val="00432B7C"/>
    <w:rsid w:val="00432DBD"/>
    <w:rsid w:val="0043334B"/>
    <w:rsid w:val="00433476"/>
    <w:rsid w:val="004334E9"/>
    <w:rsid w:val="004338BD"/>
    <w:rsid w:val="00433918"/>
    <w:rsid w:val="00434CB6"/>
    <w:rsid w:val="00434FB5"/>
    <w:rsid w:val="0043576A"/>
    <w:rsid w:val="00435C95"/>
    <w:rsid w:val="00435E4F"/>
    <w:rsid w:val="00435F87"/>
    <w:rsid w:val="00436118"/>
    <w:rsid w:val="00436400"/>
    <w:rsid w:val="00436682"/>
    <w:rsid w:val="004367C0"/>
    <w:rsid w:val="00436D4E"/>
    <w:rsid w:val="004371A1"/>
    <w:rsid w:val="0043748A"/>
    <w:rsid w:val="00437CC6"/>
    <w:rsid w:val="00437D6B"/>
    <w:rsid w:val="00441222"/>
    <w:rsid w:val="0044137A"/>
    <w:rsid w:val="00441797"/>
    <w:rsid w:val="00441932"/>
    <w:rsid w:val="0044198A"/>
    <w:rsid w:val="004419A2"/>
    <w:rsid w:val="004420F8"/>
    <w:rsid w:val="004421C2"/>
    <w:rsid w:val="00442238"/>
    <w:rsid w:val="00442CB6"/>
    <w:rsid w:val="00442DF8"/>
    <w:rsid w:val="0044359A"/>
    <w:rsid w:val="00443F0C"/>
    <w:rsid w:val="0044416E"/>
    <w:rsid w:val="004442A5"/>
    <w:rsid w:val="004445C0"/>
    <w:rsid w:val="004449A7"/>
    <w:rsid w:val="00444BA2"/>
    <w:rsid w:val="00444D53"/>
    <w:rsid w:val="004450C5"/>
    <w:rsid w:val="004456EE"/>
    <w:rsid w:val="00446C5E"/>
    <w:rsid w:val="00446EAF"/>
    <w:rsid w:val="0044777D"/>
    <w:rsid w:val="00447A86"/>
    <w:rsid w:val="00447C03"/>
    <w:rsid w:val="0045030A"/>
    <w:rsid w:val="0045087E"/>
    <w:rsid w:val="00450F92"/>
    <w:rsid w:val="00451AE3"/>
    <w:rsid w:val="00451F66"/>
    <w:rsid w:val="004531F7"/>
    <w:rsid w:val="0045323E"/>
    <w:rsid w:val="004532DF"/>
    <w:rsid w:val="004536DC"/>
    <w:rsid w:val="00453FF8"/>
    <w:rsid w:val="004540B9"/>
    <w:rsid w:val="0045432B"/>
    <w:rsid w:val="0045432D"/>
    <w:rsid w:val="0045463B"/>
    <w:rsid w:val="004546F2"/>
    <w:rsid w:val="004548A0"/>
    <w:rsid w:val="00454BDD"/>
    <w:rsid w:val="00454CAA"/>
    <w:rsid w:val="00454F31"/>
    <w:rsid w:val="00455569"/>
    <w:rsid w:val="004556CE"/>
    <w:rsid w:val="004556E8"/>
    <w:rsid w:val="00455943"/>
    <w:rsid w:val="004559EE"/>
    <w:rsid w:val="00455B64"/>
    <w:rsid w:val="004569F4"/>
    <w:rsid w:val="00456AB2"/>
    <w:rsid w:val="00456B6A"/>
    <w:rsid w:val="00456B96"/>
    <w:rsid w:val="00456F8A"/>
    <w:rsid w:val="004571E3"/>
    <w:rsid w:val="0045774F"/>
    <w:rsid w:val="00457AA5"/>
    <w:rsid w:val="00457E61"/>
    <w:rsid w:val="00457F1F"/>
    <w:rsid w:val="004602DD"/>
    <w:rsid w:val="004604C8"/>
    <w:rsid w:val="00460A46"/>
    <w:rsid w:val="004616A4"/>
    <w:rsid w:val="00461D5C"/>
    <w:rsid w:val="00461FCB"/>
    <w:rsid w:val="0046204B"/>
    <w:rsid w:val="0046229A"/>
    <w:rsid w:val="0046232C"/>
    <w:rsid w:val="004629DF"/>
    <w:rsid w:val="00462AEA"/>
    <w:rsid w:val="004630A9"/>
    <w:rsid w:val="0046355F"/>
    <w:rsid w:val="004636E0"/>
    <w:rsid w:val="00463A7C"/>
    <w:rsid w:val="00463EC9"/>
    <w:rsid w:val="00464220"/>
    <w:rsid w:val="004645C0"/>
    <w:rsid w:val="004645E7"/>
    <w:rsid w:val="00464AF4"/>
    <w:rsid w:val="00464F82"/>
    <w:rsid w:val="00464FFB"/>
    <w:rsid w:val="0046513C"/>
    <w:rsid w:val="004655F4"/>
    <w:rsid w:val="00465650"/>
    <w:rsid w:val="00465CFB"/>
    <w:rsid w:val="00466033"/>
    <w:rsid w:val="004664EE"/>
    <w:rsid w:val="004668EF"/>
    <w:rsid w:val="00466D2D"/>
    <w:rsid w:val="00466FAE"/>
    <w:rsid w:val="00466FD6"/>
    <w:rsid w:val="00467647"/>
    <w:rsid w:val="00467A5C"/>
    <w:rsid w:val="00467CAE"/>
    <w:rsid w:val="004701D8"/>
    <w:rsid w:val="004708EE"/>
    <w:rsid w:val="00470950"/>
    <w:rsid w:val="00471892"/>
    <w:rsid w:val="00471CB2"/>
    <w:rsid w:val="00471EB6"/>
    <w:rsid w:val="00472939"/>
    <w:rsid w:val="00472A4C"/>
    <w:rsid w:val="00472AFB"/>
    <w:rsid w:val="00472B11"/>
    <w:rsid w:val="00472B7F"/>
    <w:rsid w:val="00472E98"/>
    <w:rsid w:val="004737DF"/>
    <w:rsid w:val="00473B75"/>
    <w:rsid w:val="00473C39"/>
    <w:rsid w:val="00473C44"/>
    <w:rsid w:val="00473D5B"/>
    <w:rsid w:val="00474795"/>
    <w:rsid w:val="0047480B"/>
    <w:rsid w:val="0047498A"/>
    <w:rsid w:val="0047513A"/>
    <w:rsid w:val="00475DBC"/>
    <w:rsid w:val="004760B0"/>
    <w:rsid w:val="00476822"/>
    <w:rsid w:val="00476B61"/>
    <w:rsid w:val="00476CC5"/>
    <w:rsid w:val="00477185"/>
    <w:rsid w:val="0047748F"/>
    <w:rsid w:val="00477A91"/>
    <w:rsid w:val="00477AEC"/>
    <w:rsid w:val="00477D67"/>
    <w:rsid w:val="00477F63"/>
    <w:rsid w:val="004801A1"/>
    <w:rsid w:val="004802AB"/>
    <w:rsid w:val="00480789"/>
    <w:rsid w:val="00480819"/>
    <w:rsid w:val="00480ADD"/>
    <w:rsid w:val="00480B26"/>
    <w:rsid w:val="00480E89"/>
    <w:rsid w:val="00481226"/>
    <w:rsid w:val="00481240"/>
    <w:rsid w:val="00481401"/>
    <w:rsid w:val="00481E77"/>
    <w:rsid w:val="004828AF"/>
    <w:rsid w:val="00482EF5"/>
    <w:rsid w:val="00483704"/>
    <w:rsid w:val="004838DE"/>
    <w:rsid w:val="00484225"/>
    <w:rsid w:val="0048471E"/>
    <w:rsid w:val="004847B8"/>
    <w:rsid w:val="00484D86"/>
    <w:rsid w:val="00484E4F"/>
    <w:rsid w:val="00484E6E"/>
    <w:rsid w:val="00485293"/>
    <w:rsid w:val="00485A65"/>
    <w:rsid w:val="00485B44"/>
    <w:rsid w:val="00485C0C"/>
    <w:rsid w:val="004862D4"/>
    <w:rsid w:val="00486530"/>
    <w:rsid w:val="00486919"/>
    <w:rsid w:val="00486C52"/>
    <w:rsid w:val="00487362"/>
    <w:rsid w:val="00487AEE"/>
    <w:rsid w:val="00487BF9"/>
    <w:rsid w:val="004902F2"/>
    <w:rsid w:val="004904DC"/>
    <w:rsid w:val="00491033"/>
    <w:rsid w:val="004915F2"/>
    <w:rsid w:val="0049199E"/>
    <w:rsid w:val="00491C5B"/>
    <w:rsid w:val="00491F25"/>
    <w:rsid w:val="00491F44"/>
    <w:rsid w:val="004920E5"/>
    <w:rsid w:val="0049277C"/>
    <w:rsid w:val="00492A9A"/>
    <w:rsid w:val="00493057"/>
    <w:rsid w:val="0049305F"/>
    <w:rsid w:val="004931DC"/>
    <w:rsid w:val="00493409"/>
    <w:rsid w:val="004934AD"/>
    <w:rsid w:val="004938C1"/>
    <w:rsid w:val="0049395A"/>
    <w:rsid w:val="00493A0F"/>
    <w:rsid w:val="00493D17"/>
    <w:rsid w:val="00493EB6"/>
    <w:rsid w:val="0049425F"/>
    <w:rsid w:val="0049430B"/>
    <w:rsid w:val="0049448A"/>
    <w:rsid w:val="004944D3"/>
    <w:rsid w:val="004947BA"/>
    <w:rsid w:val="00495467"/>
    <w:rsid w:val="0049599A"/>
    <w:rsid w:val="00495C31"/>
    <w:rsid w:val="0049644F"/>
    <w:rsid w:val="00496530"/>
    <w:rsid w:val="004968E0"/>
    <w:rsid w:val="00496D51"/>
    <w:rsid w:val="00496E55"/>
    <w:rsid w:val="00497238"/>
    <w:rsid w:val="004977A9"/>
    <w:rsid w:val="004A0418"/>
    <w:rsid w:val="004A093C"/>
    <w:rsid w:val="004A0AA2"/>
    <w:rsid w:val="004A0CA0"/>
    <w:rsid w:val="004A12EE"/>
    <w:rsid w:val="004A1436"/>
    <w:rsid w:val="004A2179"/>
    <w:rsid w:val="004A26BC"/>
    <w:rsid w:val="004A2A8A"/>
    <w:rsid w:val="004A2AFC"/>
    <w:rsid w:val="004A2F26"/>
    <w:rsid w:val="004A32F6"/>
    <w:rsid w:val="004A32FF"/>
    <w:rsid w:val="004A3437"/>
    <w:rsid w:val="004A345D"/>
    <w:rsid w:val="004A3A52"/>
    <w:rsid w:val="004A4612"/>
    <w:rsid w:val="004A4A73"/>
    <w:rsid w:val="004A5071"/>
    <w:rsid w:val="004A55EB"/>
    <w:rsid w:val="004A625A"/>
    <w:rsid w:val="004A7ADE"/>
    <w:rsid w:val="004B00F7"/>
    <w:rsid w:val="004B05C6"/>
    <w:rsid w:val="004B11BA"/>
    <w:rsid w:val="004B1B66"/>
    <w:rsid w:val="004B1F66"/>
    <w:rsid w:val="004B1F8C"/>
    <w:rsid w:val="004B1FF2"/>
    <w:rsid w:val="004B2430"/>
    <w:rsid w:val="004B28AE"/>
    <w:rsid w:val="004B2CEF"/>
    <w:rsid w:val="004B3098"/>
    <w:rsid w:val="004B36A8"/>
    <w:rsid w:val="004B384F"/>
    <w:rsid w:val="004B3FFB"/>
    <w:rsid w:val="004B43A2"/>
    <w:rsid w:val="004B4B75"/>
    <w:rsid w:val="004B4C61"/>
    <w:rsid w:val="004B4EE3"/>
    <w:rsid w:val="004B5622"/>
    <w:rsid w:val="004B5830"/>
    <w:rsid w:val="004B58BA"/>
    <w:rsid w:val="004B5DB6"/>
    <w:rsid w:val="004B5EB2"/>
    <w:rsid w:val="004B6587"/>
    <w:rsid w:val="004B6808"/>
    <w:rsid w:val="004B6D37"/>
    <w:rsid w:val="004B6EF0"/>
    <w:rsid w:val="004B7216"/>
    <w:rsid w:val="004B7A77"/>
    <w:rsid w:val="004B7F62"/>
    <w:rsid w:val="004C0B0D"/>
    <w:rsid w:val="004C0CCC"/>
    <w:rsid w:val="004C0F9E"/>
    <w:rsid w:val="004C148A"/>
    <w:rsid w:val="004C18B5"/>
    <w:rsid w:val="004C19E4"/>
    <w:rsid w:val="004C1C31"/>
    <w:rsid w:val="004C1E25"/>
    <w:rsid w:val="004C21BE"/>
    <w:rsid w:val="004C2E96"/>
    <w:rsid w:val="004C3164"/>
    <w:rsid w:val="004C3658"/>
    <w:rsid w:val="004C3840"/>
    <w:rsid w:val="004C3D3E"/>
    <w:rsid w:val="004C3E24"/>
    <w:rsid w:val="004C3EBF"/>
    <w:rsid w:val="004C4119"/>
    <w:rsid w:val="004C4A84"/>
    <w:rsid w:val="004C4DC7"/>
    <w:rsid w:val="004C51D7"/>
    <w:rsid w:val="004C5722"/>
    <w:rsid w:val="004C57BD"/>
    <w:rsid w:val="004C5A0E"/>
    <w:rsid w:val="004C5B4E"/>
    <w:rsid w:val="004C5B6B"/>
    <w:rsid w:val="004C61D6"/>
    <w:rsid w:val="004C69E9"/>
    <w:rsid w:val="004C6C81"/>
    <w:rsid w:val="004C70C7"/>
    <w:rsid w:val="004C769D"/>
    <w:rsid w:val="004C7C81"/>
    <w:rsid w:val="004D0779"/>
    <w:rsid w:val="004D0D7D"/>
    <w:rsid w:val="004D0DD7"/>
    <w:rsid w:val="004D0E55"/>
    <w:rsid w:val="004D1149"/>
    <w:rsid w:val="004D1228"/>
    <w:rsid w:val="004D15D2"/>
    <w:rsid w:val="004D173D"/>
    <w:rsid w:val="004D174A"/>
    <w:rsid w:val="004D20AF"/>
    <w:rsid w:val="004D20BA"/>
    <w:rsid w:val="004D22A4"/>
    <w:rsid w:val="004D243D"/>
    <w:rsid w:val="004D2EBD"/>
    <w:rsid w:val="004D2FA3"/>
    <w:rsid w:val="004D30B3"/>
    <w:rsid w:val="004D3273"/>
    <w:rsid w:val="004D3660"/>
    <w:rsid w:val="004D46EE"/>
    <w:rsid w:val="004D4ABD"/>
    <w:rsid w:val="004D4B31"/>
    <w:rsid w:val="004D4FB3"/>
    <w:rsid w:val="004D502D"/>
    <w:rsid w:val="004D6016"/>
    <w:rsid w:val="004D627F"/>
    <w:rsid w:val="004D64C8"/>
    <w:rsid w:val="004D6DDA"/>
    <w:rsid w:val="004D74A2"/>
    <w:rsid w:val="004D7B17"/>
    <w:rsid w:val="004D7C46"/>
    <w:rsid w:val="004D7CEB"/>
    <w:rsid w:val="004E0525"/>
    <w:rsid w:val="004E0550"/>
    <w:rsid w:val="004E0ACF"/>
    <w:rsid w:val="004E0E3F"/>
    <w:rsid w:val="004E121B"/>
    <w:rsid w:val="004E1289"/>
    <w:rsid w:val="004E13D2"/>
    <w:rsid w:val="004E152D"/>
    <w:rsid w:val="004E1702"/>
    <w:rsid w:val="004E17B7"/>
    <w:rsid w:val="004E1877"/>
    <w:rsid w:val="004E1B87"/>
    <w:rsid w:val="004E1D59"/>
    <w:rsid w:val="004E1FB5"/>
    <w:rsid w:val="004E2214"/>
    <w:rsid w:val="004E2269"/>
    <w:rsid w:val="004E22FD"/>
    <w:rsid w:val="004E244C"/>
    <w:rsid w:val="004E246A"/>
    <w:rsid w:val="004E2787"/>
    <w:rsid w:val="004E2F91"/>
    <w:rsid w:val="004E302C"/>
    <w:rsid w:val="004E39FA"/>
    <w:rsid w:val="004E3A75"/>
    <w:rsid w:val="004E3B21"/>
    <w:rsid w:val="004E3E30"/>
    <w:rsid w:val="004E3EDC"/>
    <w:rsid w:val="004E4AF1"/>
    <w:rsid w:val="004E5AF1"/>
    <w:rsid w:val="004E5F03"/>
    <w:rsid w:val="004E617C"/>
    <w:rsid w:val="004E670B"/>
    <w:rsid w:val="004E6FEA"/>
    <w:rsid w:val="004F0567"/>
    <w:rsid w:val="004F06DB"/>
    <w:rsid w:val="004F095E"/>
    <w:rsid w:val="004F0F14"/>
    <w:rsid w:val="004F1800"/>
    <w:rsid w:val="004F22C1"/>
    <w:rsid w:val="004F22F9"/>
    <w:rsid w:val="004F250B"/>
    <w:rsid w:val="004F299F"/>
    <w:rsid w:val="004F29FD"/>
    <w:rsid w:val="004F2AF4"/>
    <w:rsid w:val="004F2F07"/>
    <w:rsid w:val="004F318D"/>
    <w:rsid w:val="004F348D"/>
    <w:rsid w:val="004F3551"/>
    <w:rsid w:val="004F37AC"/>
    <w:rsid w:val="004F3D48"/>
    <w:rsid w:val="004F3DF7"/>
    <w:rsid w:val="004F52C7"/>
    <w:rsid w:val="004F56FB"/>
    <w:rsid w:val="004F58FB"/>
    <w:rsid w:val="004F5DDF"/>
    <w:rsid w:val="004F5FF0"/>
    <w:rsid w:val="004F6123"/>
    <w:rsid w:val="004F66D6"/>
    <w:rsid w:val="004F6B47"/>
    <w:rsid w:val="004F6BCB"/>
    <w:rsid w:val="004F7157"/>
    <w:rsid w:val="004F71A7"/>
    <w:rsid w:val="004F71E8"/>
    <w:rsid w:val="004F7341"/>
    <w:rsid w:val="004F7B7B"/>
    <w:rsid w:val="00500271"/>
    <w:rsid w:val="0050029E"/>
    <w:rsid w:val="00500608"/>
    <w:rsid w:val="0050077F"/>
    <w:rsid w:val="00500C05"/>
    <w:rsid w:val="00501451"/>
    <w:rsid w:val="005019E0"/>
    <w:rsid w:val="00501C57"/>
    <w:rsid w:val="00501E89"/>
    <w:rsid w:val="0050217B"/>
    <w:rsid w:val="00502391"/>
    <w:rsid w:val="0050283A"/>
    <w:rsid w:val="0050288B"/>
    <w:rsid w:val="005033BD"/>
    <w:rsid w:val="005043E5"/>
    <w:rsid w:val="00504486"/>
    <w:rsid w:val="00504662"/>
    <w:rsid w:val="0050475A"/>
    <w:rsid w:val="00504C73"/>
    <w:rsid w:val="00505589"/>
    <w:rsid w:val="005056F8"/>
    <w:rsid w:val="00505768"/>
    <w:rsid w:val="00506ECD"/>
    <w:rsid w:val="0050723B"/>
    <w:rsid w:val="00507441"/>
    <w:rsid w:val="00507728"/>
    <w:rsid w:val="00507F2A"/>
    <w:rsid w:val="005107DD"/>
    <w:rsid w:val="00511318"/>
    <w:rsid w:val="00511A60"/>
    <w:rsid w:val="00511CA2"/>
    <w:rsid w:val="005120AD"/>
    <w:rsid w:val="005127EE"/>
    <w:rsid w:val="00512901"/>
    <w:rsid w:val="00512D10"/>
    <w:rsid w:val="00512DCE"/>
    <w:rsid w:val="0051333C"/>
    <w:rsid w:val="005133F7"/>
    <w:rsid w:val="00513C9E"/>
    <w:rsid w:val="00514116"/>
    <w:rsid w:val="005142F7"/>
    <w:rsid w:val="00514459"/>
    <w:rsid w:val="0051467E"/>
    <w:rsid w:val="005146B6"/>
    <w:rsid w:val="00515553"/>
    <w:rsid w:val="0051555E"/>
    <w:rsid w:val="00515BBB"/>
    <w:rsid w:val="00515BBE"/>
    <w:rsid w:val="00516967"/>
    <w:rsid w:val="00516AA3"/>
    <w:rsid w:val="00516CC1"/>
    <w:rsid w:val="00517380"/>
    <w:rsid w:val="0051777A"/>
    <w:rsid w:val="00517AA3"/>
    <w:rsid w:val="00517C77"/>
    <w:rsid w:val="00517F2C"/>
    <w:rsid w:val="00520442"/>
    <w:rsid w:val="005209F3"/>
    <w:rsid w:val="0052184E"/>
    <w:rsid w:val="00521A80"/>
    <w:rsid w:val="00521EF1"/>
    <w:rsid w:val="005220B8"/>
    <w:rsid w:val="005220EF"/>
    <w:rsid w:val="00522968"/>
    <w:rsid w:val="00522A87"/>
    <w:rsid w:val="00522B93"/>
    <w:rsid w:val="00522DAF"/>
    <w:rsid w:val="0052304F"/>
    <w:rsid w:val="00523152"/>
    <w:rsid w:val="0052353C"/>
    <w:rsid w:val="005237E2"/>
    <w:rsid w:val="00523927"/>
    <w:rsid w:val="00523B13"/>
    <w:rsid w:val="00523E35"/>
    <w:rsid w:val="00524483"/>
    <w:rsid w:val="00524CF6"/>
    <w:rsid w:val="00524D5B"/>
    <w:rsid w:val="005251C2"/>
    <w:rsid w:val="00525CCB"/>
    <w:rsid w:val="005262D4"/>
    <w:rsid w:val="0052639C"/>
    <w:rsid w:val="00526789"/>
    <w:rsid w:val="00526C20"/>
    <w:rsid w:val="00526DCE"/>
    <w:rsid w:val="00527050"/>
    <w:rsid w:val="00527285"/>
    <w:rsid w:val="005272C2"/>
    <w:rsid w:val="0052791F"/>
    <w:rsid w:val="00527C1D"/>
    <w:rsid w:val="00527C37"/>
    <w:rsid w:val="00530460"/>
    <w:rsid w:val="00530688"/>
    <w:rsid w:val="00530F52"/>
    <w:rsid w:val="005312EB"/>
    <w:rsid w:val="0053245A"/>
    <w:rsid w:val="00533088"/>
    <w:rsid w:val="005331B4"/>
    <w:rsid w:val="00533435"/>
    <w:rsid w:val="005339F8"/>
    <w:rsid w:val="00534041"/>
    <w:rsid w:val="0053439C"/>
    <w:rsid w:val="005347CA"/>
    <w:rsid w:val="00534EA4"/>
    <w:rsid w:val="0053545B"/>
    <w:rsid w:val="005354B0"/>
    <w:rsid w:val="005357C9"/>
    <w:rsid w:val="00535D8C"/>
    <w:rsid w:val="00536582"/>
    <w:rsid w:val="00536939"/>
    <w:rsid w:val="005369AA"/>
    <w:rsid w:val="005369D2"/>
    <w:rsid w:val="005407EA"/>
    <w:rsid w:val="00540B10"/>
    <w:rsid w:val="00540BBA"/>
    <w:rsid w:val="00540C57"/>
    <w:rsid w:val="00541C4F"/>
    <w:rsid w:val="0054230E"/>
    <w:rsid w:val="00542C08"/>
    <w:rsid w:val="00542CB8"/>
    <w:rsid w:val="00542FFF"/>
    <w:rsid w:val="005434FF"/>
    <w:rsid w:val="00543574"/>
    <w:rsid w:val="0054365B"/>
    <w:rsid w:val="00543CD6"/>
    <w:rsid w:val="00543D58"/>
    <w:rsid w:val="00543DB2"/>
    <w:rsid w:val="00543E57"/>
    <w:rsid w:val="00543F4F"/>
    <w:rsid w:val="00544273"/>
    <w:rsid w:val="00544377"/>
    <w:rsid w:val="00544A4A"/>
    <w:rsid w:val="00544FD1"/>
    <w:rsid w:val="00545143"/>
    <w:rsid w:val="005451A8"/>
    <w:rsid w:val="005457A6"/>
    <w:rsid w:val="005458EA"/>
    <w:rsid w:val="005463D6"/>
    <w:rsid w:val="0054652D"/>
    <w:rsid w:val="005467DC"/>
    <w:rsid w:val="005468BA"/>
    <w:rsid w:val="00546A29"/>
    <w:rsid w:val="00546A4C"/>
    <w:rsid w:val="00546C95"/>
    <w:rsid w:val="00546E0D"/>
    <w:rsid w:val="00546F0B"/>
    <w:rsid w:val="00546F2C"/>
    <w:rsid w:val="00546F50"/>
    <w:rsid w:val="0054753A"/>
    <w:rsid w:val="00547BA1"/>
    <w:rsid w:val="00547E6F"/>
    <w:rsid w:val="00547F10"/>
    <w:rsid w:val="00550011"/>
    <w:rsid w:val="00550437"/>
    <w:rsid w:val="00550761"/>
    <w:rsid w:val="00551213"/>
    <w:rsid w:val="0055137E"/>
    <w:rsid w:val="00551405"/>
    <w:rsid w:val="0055140B"/>
    <w:rsid w:val="005514B7"/>
    <w:rsid w:val="005516B3"/>
    <w:rsid w:val="005519B5"/>
    <w:rsid w:val="00551A56"/>
    <w:rsid w:val="0055229A"/>
    <w:rsid w:val="00552322"/>
    <w:rsid w:val="005523FF"/>
    <w:rsid w:val="005525F1"/>
    <w:rsid w:val="00552678"/>
    <w:rsid w:val="00552E62"/>
    <w:rsid w:val="0055381D"/>
    <w:rsid w:val="005541FB"/>
    <w:rsid w:val="0055435F"/>
    <w:rsid w:val="00554C8A"/>
    <w:rsid w:val="00554E97"/>
    <w:rsid w:val="005556EC"/>
    <w:rsid w:val="00555CCF"/>
    <w:rsid w:val="00555FEC"/>
    <w:rsid w:val="0055621E"/>
    <w:rsid w:val="005563D6"/>
    <w:rsid w:val="00556E9D"/>
    <w:rsid w:val="005574E3"/>
    <w:rsid w:val="0055756C"/>
    <w:rsid w:val="005577B2"/>
    <w:rsid w:val="00557FC0"/>
    <w:rsid w:val="005605FF"/>
    <w:rsid w:val="00560720"/>
    <w:rsid w:val="00560908"/>
    <w:rsid w:val="00560D47"/>
    <w:rsid w:val="00561060"/>
    <w:rsid w:val="0056139D"/>
    <w:rsid w:val="005615BD"/>
    <w:rsid w:val="00561BC2"/>
    <w:rsid w:val="00561C23"/>
    <w:rsid w:val="00561ECC"/>
    <w:rsid w:val="00562033"/>
    <w:rsid w:val="00563270"/>
    <w:rsid w:val="0056329F"/>
    <w:rsid w:val="00563703"/>
    <w:rsid w:val="0056374F"/>
    <w:rsid w:val="005649B9"/>
    <w:rsid w:val="00565328"/>
    <w:rsid w:val="00565408"/>
    <w:rsid w:val="005659A8"/>
    <w:rsid w:val="005659FA"/>
    <w:rsid w:val="00565A0D"/>
    <w:rsid w:val="00565B4A"/>
    <w:rsid w:val="00566002"/>
    <w:rsid w:val="0056674B"/>
    <w:rsid w:val="00566CC2"/>
    <w:rsid w:val="0056727E"/>
    <w:rsid w:val="005673A3"/>
    <w:rsid w:val="00570189"/>
    <w:rsid w:val="00570597"/>
    <w:rsid w:val="00570850"/>
    <w:rsid w:val="00570B4C"/>
    <w:rsid w:val="00570EAD"/>
    <w:rsid w:val="0057174E"/>
    <w:rsid w:val="005723C3"/>
    <w:rsid w:val="005728C1"/>
    <w:rsid w:val="00572F1C"/>
    <w:rsid w:val="005736EF"/>
    <w:rsid w:val="00573734"/>
    <w:rsid w:val="00573811"/>
    <w:rsid w:val="00573877"/>
    <w:rsid w:val="005739AA"/>
    <w:rsid w:val="00573A40"/>
    <w:rsid w:val="005746F9"/>
    <w:rsid w:val="005748C4"/>
    <w:rsid w:val="0057497B"/>
    <w:rsid w:val="00574AD6"/>
    <w:rsid w:val="00574C34"/>
    <w:rsid w:val="00574CD5"/>
    <w:rsid w:val="00574D67"/>
    <w:rsid w:val="00574DAF"/>
    <w:rsid w:val="00574FF5"/>
    <w:rsid w:val="00575893"/>
    <w:rsid w:val="00575E19"/>
    <w:rsid w:val="0057608F"/>
    <w:rsid w:val="00576847"/>
    <w:rsid w:val="00576B0E"/>
    <w:rsid w:val="00576F5F"/>
    <w:rsid w:val="00576FDB"/>
    <w:rsid w:val="0057745F"/>
    <w:rsid w:val="00577678"/>
    <w:rsid w:val="00577A53"/>
    <w:rsid w:val="00577C57"/>
    <w:rsid w:val="00577FA5"/>
    <w:rsid w:val="00580887"/>
    <w:rsid w:val="00580A10"/>
    <w:rsid w:val="00580B72"/>
    <w:rsid w:val="00581372"/>
    <w:rsid w:val="00581651"/>
    <w:rsid w:val="005816E2"/>
    <w:rsid w:val="005816F2"/>
    <w:rsid w:val="0058197F"/>
    <w:rsid w:val="00581A27"/>
    <w:rsid w:val="00581BA9"/>
    <w:rsid w:val="00581BBF"/>
    <w:rsid w:val="00581CC2"/>
    <w:rsid w:val="00581EC6"/>
    <w:rsid w:val="00582091"/>
    <w:rsid w:val="00582845"/>
    <w:rsid w:val="0058324F"/>
    <w:rsid w:val="0058331F"/>
    <w:rsid w:val="00584476"/>
    <w:rsid w:val="005844ED"/>
    <w:rsid w:val="0058496F"/>
    <w:rsid w:val="00584DC0"/>
    <w:rsid w:val="00584E66"/>
    <w:rsid w:val="0058555F"/>
    <w:rsid w:val="00585C5A"/>
    <w:rsid w:val="0058626F"/>
    <w:rsid w:val="005862E3"/>
    <w:rsid w:val="005863B7"/>
    <w:rsid w:val="005865EC"/>
    <w:rsid w:val="005866EF"/>
    <w:rsid w:val="00586713"/>
    <w:rsid w:val="00586A24"/>
    <w:rsid w:val="00586BE5"/>
    <w:rsid w:val="00586EE3"/>
    <w:rsid w:val="00586FC9"/>
    <w:rsid w:val="00587316"/>
    <w:rsid w:val="00587806"/>
    <w:rsid w:val="00587808"/>
    <w:rsid w:val="00587B82"/>
    <w:rsid w:val="005900FD"/>
    <w:rsid w:val="00590651"/>
    <w:rsid w:val="005909F6"/>
    <w:rsid w:val="00591153"/>
    <w:rsid w:val="0059197C"/>
    <w:rsid w:val="00591B12"/>
    <w:rsid w:val="0059211C"/>
    <w:rsid w:val="00592579"/>
    <w:rsid w:val="00592DE8"/>
    <w:rsid w:val="00592DFE"/>
    <w:rsid w:val="0059335D"/>
    <w:rsid w:val="00593405"/>
    <w:rsid w:val="0059350E"/>
    <w:rsid w:val="0059381E"/>
    <w:rsid w:val="00593995"/>
    <w:rsid w:val="00593EBE"/>
    <w:rsid w:val="005941E6"/>
    <w:rsid w:val="00594420"/>
    <w:rsid w:val="0059462C"/>
    <w:rsid w:val="0059481F"/>
    <w:rsid w:val="005948CD"/>
    <w:rsid w:val="005948E0"/>
    <w:rsid w:val="0059497A"/>
    <w:rsid w:val="00594A2C"/>
    <w:rsid w:val="00595289"/>
    <w:rsid w:val="00595DCB"/>
    <w:rsid w:val="00595E6B"/>
    <w:rsid w:val="00595FB3"/>
    <w:rsid w:val="005960C2"/>
    <w:rsid w:val="005961A8"/>
    <w:rsid w:val="005963AC"/>
    <w:rsid w:val="005966D6"/>
    <w:rsid w:val="00596E77"/>
    <w:rsid w:val="00597E4E"/>
    <w:rsid w:val="005A0566"/>
    <w:rsid w:val="005A0CD4"/>
    <w:rsid w:val="005A19BA"/>
    <w:rsid w:val="005A1B69"/>
    <w:rsid w:val="005A1DA1"/>
    <w:rsid w:val="005A225C"/>
    <w:rsid w:val="005A27E6"/>
    <w:rsid w:val="005A2AC9"/>
    <w:rsid w:val="005A2E2C"/>
    <w:rsid w:val="005A31C2"/>
    <w:rsid w:val="005A331B"/>
    <w:rsid w:val="005A3A83"/>
    <w:rsid w:val="005A3AE1"/>
    <w:rsid w:val="005A439B"/>
    <w:rsid w:val="005A46E3"/>
    <w:rsid w:val="005A48FA"/>
    <w:rsid w:val="005A496F"/>
    <w:rsid w:val="005A4AB4"/>
    <w:rsid w:val="005A4DAA"/>
    <w:rsid w:val="005A5446"/>
    <w:rsid w:val="005A5634"/>
    <w:rsid w:val="005A59EE"/>
    <w:rsid w:val="005A5AB4"/>
    <w:rsid w:val="005A5EAE"/>
    <w:rsid w:val="005A61EF"/>
    <w:rsid w:val="005A6514"/>
    <w:rsid w:val="005A6871"/>
    <w:rsid w:val="005A725F"/>
    <w:rsid w:val="005B02E4"/>
    <w:rsid w:val="005B0554"/>
    <w:rsid w:val="005B0981"/>
    <w:rsid w:val="005B0A65"/>
    <w:rsid w:val="005B0B82"/>
    <w:rsid w:val="005B0C68"/>
    <w:rsid w:val="005B0D6D"/>
    <w:rsid w:val="005B122B"/>
    <w:rsid w:val="005B13F3"/>
    <w:rsid w:val="005B1516"/>
    <w:rsid w:val="005B16A0"/>
    <w:rsid w:val="005B1BA5"/>
    <w:rsid w:val="005B25CD"/>
    <w:rsid w:val="005B26C7"/>
    <w:rsid w:val="005B33D3"/>
    <w:rsid w:val="005B35A2"/>
    <w:rsid w:val="005B3F10"/>
    <w:rsid w:val="005B40B2"/>
    <w:rsid w:val="005B42D6"/>
    <w:rsid w:val="005B431F"/>
    <w:rsid w:val="005B4D12"/>
    <w:rsid w:val="005B4D84"/>
    <w:rsid w:val="005B5342"/>
    <w:rsid w:val="005B5A75"/>
    <w:rsid w:val="005B5B9B"/>
    <w:rsid w:val="005B5FEE"/>
    <w:rsid w:val="005B63F6"/>
    <w:rsid w:val="005B64B5"/>
    <w:rsid w:val="005B655E"/>
    <w:rsid w:val="005B68FC"/>
    <w:rsid w:val="005B6B8D"/>
    <w:rsid w:val="005B6DC5"/>
    <w:rsid w:val="005B7276"/>
    <w:rsid w:val="005B79A3"/>
    <w:rsid w:val="005C0B51"/>
    <w:rsid w:val="005C0BA6"/>
    <w:rsid w:val="005C0DC0"/>
    <w:rsid w:val="005C0DD4"/>
    <w:rsid w:val="005C19E8"/>
    <w:rsid w:val="005C21CA"/>
    <w:rsid w:val="005C24E4"/>
    <w:rsid w:val="005C25F2"/>
    <w:rsid w:val="005C2EC3"/>
    <w:rsid w:val="005C2F80"/>
    <w:rsid w:val="005C30DB"/>
    <w:rsid w:val="005C31FD"/>
    <w:rsid w:val="005C3E8A"/>
    <w:rsid w:val="005C4027"/>
    <w:rsid w:val="005C418F"/>
    <w:rsid w:val="005C42C2"/>
    <w:rsid w:val="005C4320"/>
    <w:rsid w:val="005C4692"/>
    <w:rsid w:val="005C475F"/>
    <w:rsid w:val="005C4C2A"/>
    <w:rsid w:val="005C4CF1"/>
    <w:rsid w:val="005C4D4C"/>
    <w:rsid w:val="005C51E6"/>
    <w:rsid w:val="005C5673"/>
    <w:rsid w:val="005C661A"/>
    <w:rsid w:val="005C6829"/>
    <w:rsid w:val="005C696B"/>
    <w:rsid w:val="005C71D0"/>
    <w:rsid w:val="005D0160"/>
    <w:rsid w:val="005D02A7"/>
    <w:rsid w:val="005D02AA"/>
    <w:rsid w:val="005D0445"/>
    <w:rsid w:val="005D0F21"/>
    <w:rsid w:val="005D141B"/>
    <w:rsid w:val="005D1706"/>
    <w:rsid w:val="005D186D"/>
    <w:rsid w:val="005D1CD8"/>
    <w:rsid w:val="005D2409"/>
    <w:rsid w:val="005D281F"/>
    <w:rsid w:val="005D2843"/>
    <w:rsid w:val="005D284D"/>
    <w:rsid w:val="005D28A7"/>
    <w:rsid w:val="005D2982"/>
    <w:rsid w:val="005D29F0"/>
    <w:rsid w:val="005D2A71"/>
    <w:rsid w:val="005D373C"/>
    <w:rsid w:val="005D3745"/>
    <w:rsid w:val="005D4124"/>
    <w:rsid w:val="005D546F"/>
    <w:rsid w:val="005D632C"/>
    <w:rsid w:val="005D6EC8"/>
    <w:rsid w:val="005D7460"/>
    <w:rsid w:val="005D77A0"/>
    <w:rsid w:val="005D7E77"/>
    <w:rsid w:val="005D7E79"/>
    <w:rsid w:val="005D7EE5"/>
    <w:rsid w:val="005E014E"/>
    <w:rsid w:val="005E01F7"/>
    <w:rsid w:val="005E0368"/>
    <w:rsid w:val="005E12D7"/>
    <w:rsid w:val="005E1387"/>
    <w:rsid w:val="005E14D7"/>
    <w:rsid w:val="005E160C"/>
    <w:rsid w:val="005E187C"/>
    <w:rsid w:val="005E2681"/>
    <w:rsid w:val="005E2D84"/>
    <w:rsid w:val="005E3259"/>
    <w:rsid w:val="005E3540"/>
    <w:rsid w:val="005E3622"/>
    <w:rsid w:val="005E3BF0"/>
    <w:rsid w:val="005E4564"/>
    <w:rsid w:val="005E5029"/>
    <w:rsid w:val="005E50F9"/>
    <w:rsid w:val="005E510F"/>
    <w:rsid w:val="005E5137"/>
    <w:rsid w:val="005E518D"/>
    <w:rsid w:val="005E53EB"/>
    <w:rsid w:val="005E5A3C"/>
    <w:rsid w:val="005E5B1B"/>
    <w:rsid w:val="005E5C06"/>
    <w:rsid w:val="005E778D"/>
    <w:rsid w:val="005F01FC"/>
    <w:rsid w:val="005F06DA"/>
    <w:rsid w:val="005F216A"/>
    <w:rsid w:val="005F22DE"/>
    <w:rsid w:val="005F258F"/>
    <w:rsid w:val="005F2650"/>
    <w:rsid w:val="005F28B1"/>
    <w:rsid w:val="005F2973"/>
    <w:rsid w:val="005F2BB9"/>
    <w:rsid w:val="005F314B"/>
    <w:rsid w:val="005F39D8"/>
    <w:rsid w:val="005F4468"/>
    <w:rsid w:val="005F44F8"/>
    <w:rsid w:val="005F463C"/>
    <w:rsid w:val="005F4728"/>
    <w:rsid w:val="005F47A4"/>
    <w:rsid w:val="005F4FD0"/>
    <w:rsid w:val="005F5557"/>
    <w:rsid w:val="005F5683"/>
    <w:rsid w:val="005F58FD"/>
    <w:rsid w:val="005F59A0"/>
    <w:rsid w:val="005F5AB2"/>
    <w:rsid w:val="005F5CBF"/>
    <w:rsid w:val="005F615F"/>
    <w:rsid w:val="005F6242"/>
    <w:rsid w:val="005F6731"/>
    <w:rsid w:val="005F6E5B"/>
    <w:rsid w:val="005F79B3"/>
    <w:rsid w:val="005F7D5C"/>
    <w:rsid w:val="005F7EE4"/>
    <w:rsid w:val="00600129"/>
    <w:rsid w:val="00600142"/>
    <w:rsid w:val="0060039C"/>
    <w:rsid w:val="00600C33"/>
    <w:rsid w:val="00600E1A"/>
    <w:rsid w:val="00601260"/>
    <w:rsid w:val="00601AB2"/>
    <w:rsid w:val="0060245A"/>
    <w:rsid w:val="00602638"/>
    <w:rsid w:val="00602841"/>
    <w:rsid w:val="00602866"/>
    <w:rsid w:val="0060295C"/>
    <w:rsid w:val="00602978"/>
    <w:rsid w:val="00602EC1"/>
    <w:rsid w:val="0060315A"/>
    <w:rsid w:val="00603623"/>
    <w:rsid w:val="00603663"/>
    <w:rsid w:val="00603AB4"/>
    <w:rsid w:val="006041BA"/>
    <w:rsid w:val="006041F4"/>
    <w:rsid w:val="00604886"/>
    <w:rsid w:val="006049E2"/>
    <w:rsid w:val="006050DB"/>
    <w:rsid w:val="00605150"/>
    <w:rsid w:val="006056A1"/>
    <w:rsid w:val="00605917"/>
    <w:rsid w:val="006062CF"/>
    <w:rsid w:val="00606419"/>
    <w:rsid w:val="00606721"/>
    <w:rsid w:val="00607003"/>
    <w:rsid w:val="00607455"/>
    <w:rsid w:val="00607E3A"/>
    <w:rsid w:val="00607ECF"/>
    <w:rsid w:val="00610205"/>
    <w:rsid w:val="00610370"/>
    <w:rsid w:val="00610659"/>
    <w:rsid w:val="006106E0"/>
    <w:rsid w:val="00610863"/>
    <w:rsid w:val="00610BC2"/>
    <w:rsid w:val="006111B6"/>
    <w:rsid w:val="00611329"/>
    <w:rsid w:val="006119FA"/>
    <w:rsid w:val="00611A5A"/>
    <w:rsid w:val="00611BC3"/>
    <w:rsid w:val="006122F6"/>
    <w:rsid w:val="0061235E"/>
    <w:rsid w:val="006127D5"/>
    <w:rsid w:val="00612969"/>
    <w:rsid w:val="00612AD5"/>
    <w:rsid w:val="00612B2F"/>
    <w:rsid w:val="00613765"/>
    <w:rsid w:val="00613DD6"/>
    <w:rsid w:val="006141AC"/>
    <w:rsid w:val="0061426A"/>
    <w:rsid w:val="006148F7"/>
    <w:rsid w:val="00614956"/>
    <w:rsid w:val="00614A6D"/>
    <w:rsid w:val="0061534A"/>
    <w:rsid w:val="00615653"/>
    <w:rsid w:val="0061574E"/>
    <w:rsid w:val="00615AC6"/>
    <w:rsid w:val="00615E5A"/>
    <w:rsid w:val="006163F1"/>
    <w:rsid w:val="00616424"/>
    <w:rsid w:val="00616518"/>
    <w:rsid w:val="00616C4F"/>
    <w:rsid w:val="0061781F"/>
    <w:rsid w:val="0061793D"/>
    <w:rsid w:val="00617F9B"/>
    <w:rsid w:val="00620609"/>
    <w:rsid w:val="006208D6"/>
    <w:rsid w:val="0062109E"/>
    <w:rsid w:val="006216A0"/>
    <w:rsid w:val="00621BAE"/>
    <w:rsid w:val="00621C81"/>
    <w:rsid w:val="00621DAC"/>
    <w:rsid w:val="00621DBE"/>
    <w:rsid w:val="006225EE"/>
    <w:rsid w:val="00622B86"/>
    <w:rsid w:val="00622CF3"/>
    <w:rsid w:val="00623123"/>
    <w:rsid w:val="0062378A"/>
    <w:rsid w:val="00623890"/>
    <w:rsid w:val="00623CDD"/>
    <w:rsid w:val="00623E45"/>
    <w:rsid w:val="006248D7"/>
    <w:rsid w:val="00624E31"/>
    <w:rsid w:val="006250C7"/>
    <w:rsid w:val="00625759"/>
    <w:rsid w:val="00625984"/>
    <w:rsid w:val="00625DE7"/>
    <w:rsid w:val="00626A26"/>
    <w:rsid w:val="00626ABE"/>
    <w:rsid w:val="00626B6D"/>
    <w:rsid w:val="006270FF"/>
    <w:rsid w:val="00627341"/>
    <w:rsid w:val="00627933"/>
    <w:rsid w:val="006279AF"/>
    <w:rsid w:val="00627E4B"/>
    <w:rsid w:val="006302CB"/>
    <w:rsid w:val="006302D1"/>
    <w:rsid w:val="006304D4"/>
    <w:rsid w:val="006309F2"/>
    <w:rsid w:val="00630A99"/>
    <w:rsid w:val="00630E8F"/>
    <w:rsid w:val="00631FE0"/>
    <w:rsid w:val="00632415"/>
    <w:rsid w:val="00632BC3"/>
    <w:rsid w:val="006334E1"/>
    <w:rsid w:val="00633623"/>
    <w:rsid w:val="00633731"/>
    <w:rsid w:val="00633775"/>
    <w:rsid w:val="0063446B"/>
    <w:rsid w:val="00635B5B"/>
    <w:rsid w:val="00635B7E"/>
    <w:rsid w:val="00635EF6"/>
    <w:rsid w:val="006363A5"/>
    <w:rsid w:val="006364F5"/>
    <w:rsid w:val="00636615"/>
    <w:rsid w:val="00636EDB"/>
    <w:rsid w:val="0063704B"/>
    <w:rsid w:val="00637787"/>
    <w:rsid w:val="00637DC8"/>
    <w:rsid w:val="00637E43"/>
    <w:rsid w:val="00637E8B"/>
    <w:rsid w:val="006406A1"/>
    <w:rsid w:val="00640B5C"/>
    <w:rsid w:val="0064188A"/>
    <w:rsid w:val="00641AFA"/>
    <w:rsid w:val="00641E68"/>
    <w:rsid w:val="00641FBA"/>
    <w:rsid w:val="00641FD9"/>
    <w:rsid w:val="00642334"/>
    <w:rsid w:val="0064237E"/>
    <w:rsid w:val="0064268E"/>
    <w:rsid w:val="00642720"/>
    <w:rsid w:val="00642B85"/>
    <w:rsid w:val="006440C6"/>
    <w:rsid w:val="006447BE"/>
    <w:rsid w:val="00644ACC"/>
    <w:rsid w:val="00644E6D"/>
    <w:rsid w:val="0064526D"/>
    <w:rsid w:val="00645274"/>
    <w:rsid w:val="00645D63"/>
    <w:rsid w:val="00645DEA"/>
    <w:rsid w:val="00645FD8"/>
    <w:rsid w:val="00646243"/>
    <w:rsid w:val="006463F7"/>
    <w:rsid w:val="0064697C"/>
    <w:rsid w:val="00646AF0"/>
    <w:rsid w:val="00646BAF"/>
    <w:rsid w:val="0064705C"/>
    <w:rsid w:val="00647125"/>
    <w:rsid w:val="00647445"/>
    <w:rsid w:val="00647590"/>
    <w:rsid w:val="0064782D"/>
    <w:rsid w:val="00647F51"/>
    <w:rsid w:val="00647F88"/>
    <w:rsid w:val="006500C5"/>
    <w:rsid w:val="0065041D"/>
    <w:rsid w:val="0065060C"/>
    <w:rsid w:val="00650643"/>
    <w:rsid w:val="00650BF5"/>
    <w:rsid w:val="00650BFE"/>
    <w:rsid w:val="00650C0F"/>
    <w:rsid w:val="00650D66"/>
    <w:rsid w:val="00650F13"/>
    <w:rsid w:val="0065112C"/>
    <w:rsid w:val="00651308"/>
    <w:rsid w:val="0065145D"/>
    <w:rsid w:val="006515B0"/>
    <w:rsid w:val="0065169D"/>
    <w:rsid w:val="006516CE"/>
    <w:rsid w:val="00651F7B"/>
    <w:rsid w:val="00652095"/>
    <w:rsid w:val="006520C8"/>
    <w:rsid w:val="0065237D"/>
    <w:rsid w:val="00652FD7"/>
    <w:rsid w:val="0065308D"/>
    <w:rsid w:val="006530C6"/>
    <w:rsid w:val="006545B1"/>
    <w:rsid w:val="0065538C"/>
    <w:rsid w:val="00655429"/>
    <w:rsid w:val="00655804"/>
    <w:rsid w:val="00655961"/>
    <w:rsid w:val="00656332"/>
    <w:rsid w:val="006567A6"/>
    <w:rsid w:val="006567B1"/>
    <w:rsid w:val="00656A4C"/>
    <w:rsid w:val="00656B35"/>
    <w:rsid w:val="00656CEC"/>
    <w:rsid w:val="00656E29"/>
    <w:rsid w:val="00656F05"/>
    <w:rsid w:val="0066025A"/>
    <w:rsid w:val="006603AA"/>
    <w:rsid w:val="00660832"/>
    <w:rsid w:val="006608D9"/>
    <w:rsid w:val="0066093D"/>
    <w:rsid w:val="006613A6"/>
    <w:rsid w:val="00661C61"/>
    <w:rsid w:val="00661DD3"/>
    <w:rsid w:val="00661DFD"/>
    <w:rsid w:val="006626BF"/>
    <w:rsid w:val="00663066"/>
    <w:rsid w:val="006630A0"/>
    <w:rsid w:val="00663429"/>
    <w:rsid w:val="00663899"/>
    <w:rsid w:val="00663C93"/>
    <w:rsid w:val="00663E60"/>
    <w:rsid w:val="00663E83"/>
    <w:rsid w:val="00664195"/>
    <w:rsid w:val="006641C4"/>
    <w:rsid w:val="00664359"/>
    <w:rsid w:val="00664534"/>
    <w:rsid w:val="0066453C"/>
    <w:rsid w:val="006648EF"/>
    <w:rsid w:val="00665008"/>
    <w:rsid w:val="0066548C"/>
    <w:rsid w:val="00665627"/>
    <w:rsid w:val="006658CF"/>
    <w:rsid w:val="00665DAD"/>
    <w:rsid w:val="00665DCC"/>
    <w:rsid w:val="00665F44"/>
    <w:rsid w:val="00666311"/>
    <w:rsid w:val="006668E3"/>
    <w:rsid w:val="00666EB7"/>
    <w:rsid w:val="0066764D"/>
    <w:rsid w:val="00667CFD"/>
    <w:rsid w:val="00667FFB"/>
    <w:rsid w:val="00670548"/>
    <w:rsid w:val="00670927"/>
    <w:rsid w:val="00670CA4"/>
    <w:rsid w:val="00670F90"/>
    <w:rsid w:val="00671159"/>
    <w:rsid w:val="006711BE"/>
    <w:rsid w:val="0067157B"/>
    <w:rsid w:val="00671A07"/>
    <w:rsid w:val="00671A7B"/>
    <w:rsid w:val="00671C5E"/>
    <w:rsid w:val="00671C77"/>
    <w:rsid w:val="00671D6B"/>
    <w:rsid w:val="0067201A"/>
    <w:rsid w:val="00672103"/>
    <w:rsid w:val="006721DB"/>
    <w:rsid w:val="006722CB"/>
    <w:rsid w:val="00672344"/>
    <w:rsid w:val="00672DE0"/>
    <w:rsid w:val="00672F33"/>
    <w:rsid w:val="00672FCA"/>
    <w:rsid w:val="00673CCE"/>
    <w:rsid w:val="00673FC3"/>
    <w:rsid w:val="0067401A"/>
    <w:rsid w:val="00674B86"/>
    <w:rsid w:val="00674E53"/>
    <w:rsid w:val="00674E6E"/>
    <w:rsid w:val="0067507C"/>
    <w:rsid w:val="006754F8"/>
    <w:rsid w:val="0067550E"/>
    <w:rsid w:val="00675554"/>
    <w:rsid w:val="0067578A"/>
    <w:rsid w:val="0067586D"/>
    <w:rsid w:val="00675E05"/>
    <w:rsid w:val="00675E7B"/>
    <w:rsid w:val="00676529"/>
    <w:rsid w:val="0067673F"/>
    <w:rsid w:val="00676920"/>
    <w:rsid w:val="00676B7A"/>
    <w:rsid w:val="006774F7"/>
    <w:rsid w:val="006776EA"/>
    <w:rsid w:val="00677BD0"/>
    <w:rsid w:val="00677DA4"/>
    <w:rsid w:val="00680021"/>
    <w:rsid w:val="006800C3"/>
    <w:rsid w:val="006804A9"/>
    <w:rsid w:val="0068096D"/>
    <w:rsid w:val="00680D8B"/>
    <w:rsid w:val="0068118A"/>
    <w:rsid w:val="0068158D"/>
    <w:rsid w:val="006815C2"/>
    <w:rsid w:val="0068211E"/>
    <w:rsid w:val="006821F9"/>
    <w:rsid w:val="00682216"/>
    <w:rsid w:val="0068261E"/>
    <w:rsid w:val="00682F3C"/>
    <w:rsid w:val="00683097"/>
    <w:rsid w:val="0068317E"/>
    <w:rsid w:val="006832F4"/>
    <w:rsid w:val="0068335B"/>
    <w:rsid w:val="00683946"/>
    <w:rsid w:val="00683AA1"/>
    <w:rsid w:val="006848AC"/>
    <w:rsid w:val="00684CB0"/>
    <w:rsid w:val="00684F73"/>
    <w:rsid w:val="0068504E"/>
    <w:rsid w:val="00685294"/>
    <w:rsid w:val="00685505"/>
    <w:rsid w:val="0068563F"/>
    <w:rsid w:val="006857FE"/>
    <w:rsid w:val="00685ADB"/>
    <w:rsid w:val="00685B23"/>
    <w:rsid w:val="00685EE7"/>
    <w:rsid w:val="00686376"/>
    <w:rsid w:val="00686480"/>
    <w:rsid w:val="00686A7E"/>
    <w:rsid w:val="00686E8F"/>
    <w:rsid w:val="00686F2B"/>
    <w:rsid w:val="00687129"/>
    <w:rsid w:val="00687546"/>
    <w:rsid w:val="00687B36"/>
    <w:rsid w:val="00687E4D"/>
    <w:rsid w:val="00690285"/>
    <w:rsid w:val="006902B3"/>
    <w:rsid w:val="0069036A"/>
    <w:rsid w:val="00690444"/>
    <w:rsid w:val="006904DB"/>
    <w:rsid w:val="006908F8"/>
    <w:rsid w:val="00690A3D"/>
    <w:rsid w:val="0069104C"/>
    <w:rsid w:val="006911C3"/>
    <w:rsid w:val="006916B2"/>
    <w:rsid w:val="00691ABF"/>
    <w:rsid w:val="0069220F"/>
    <w:rsid w:val="006925FB"/>
    <w:rsid w:val="00692813"/>
    <w:rsid w:val="006928B0"/>
    <w:rsid w:val="00692CA5"/>
    <w:rsid w:val="00694169"/>
    <w:rsid w:val="00694600"/>
    <w:rsid w:val="0069461A"/>
    <w:rsid w:val="00694670"/>
    <w:rsid w:val="00694854"/>
    <w:rsid w:val="00694C9D"/>
    <w:rsid w:val="006950F6"/>
    <w:rsid w:val="006954E6"/>
    <w:rsid w:val="006961D1"/>
    <w:rsid w:val="00696882"/>
    <w:rsid w:val="00696CD4"/>
    <w:rsid w:val="00696E76"/>
    <w:rsid w:val="006974B4"/>
    <w:rsid w:val="0069779F"/>
    <w:rsid w:val="00697999"/>
    <w:rsid w:val="006A06B9"/>
    <w:rsid w:val="006A0BFB"/>
    <w:rsid w:val="006A1787"/>
    <w:rsid w:val="006A1C3F"/>
    <w:rsid w:val="006A2501"/>
    <w:rsid w:val="006A2F3C"/>
    <w:rsid w:val="006A2FB6"/>
    <w:rsid w:val="006A3342"/>
    <w:rsid w:val="006A4644"/>
    <w:rsid w:val="006A52FF"/>
    <w:rsid w:val="006A554C"/>
    <w:rsid w:val="006A5928"/>
    <w:rsid w:val="006A5F1E"/>
    <w:rsid w:val="006A6045"/>
    <w:rsid w:val="006A61D7"/>
    <w:rsid w:val="006A6923"/>
    <w:rsid w:val="006A6D46"/>
    <w:rsid w:val="006A7106"/>
    <w:rsid w:val="006A742F"/>
    <w:rsid w:val="006A758D"/>
    <w:rsid w:val="006A766E"/>
    <w:rsid w:val="006A7D48"/>
    <w:rsid w:val="006A7EF4"/>
    <w:rsid w:val="006B0507"/>
    <w:rsid w:val="006B07F2"/>
    <w:rsid w:val="006B0F2B"/>
    <w:rsid w:val="006B0F43"/>
    <w:rsid w:val="006B1063"/>
    <w:rsid w:val="006B14DC"/>
    <w:rsid w:val="006B154D"/>
    <w:rsid w:val="006B18EE"/>
    <w:rsid w:val="006B1B69"/>
    <w:rsid w:val="006B2178"/>
    <w:rsid w:val="006B23AA"/>
    <w:rsid w:val="006B2C3E"/>
    <w:rsid w:val="006B2DD8"/>
    <w:rsid w:val="006B3254"/>
    <w:rsid w:val="006B3BCD"/>
    <w:rsid w:val="006B3E18"/>
    <w:rsid w:val="006B4182"/>
    <w:rsid w:val="006B4377"/>
    <w:rsid w:val="006B45FB"/>
    <w:rsid w:val="006B4873"/>
    <w:rsid w:val="006B49DC"/>
    <w:rsid w:val="006B4C5F"/>
    <w:rsid w:val="006B4E93"/>
    <w:rsid w:val="006B5B0E"/>
    <w:rsid w:val="006B5E91"/>
    <w:rsid w:val="006B61C5"/>
    <w:rsid w:val="006B624C"/>
    <w:rsid w:val="006B67DB"/>
    <w:rsid w:val="006B6B91"/>
    <w:rsid w:val="006B6E69"/>
    <w:rsid w:val="006B7240"/>
    <w:rsid w:val="006B75C9"/>
    <w:rsid w:val="006B77CD"/>
    <w:rsid w:val="006B7E4E"/>
    <w:rsid w:val="006B7EED"/>
    <w:rsid w:val="006C02EA"/>
    <w:rsid w:val="006C0DE5"/>
    <w:rsid w:val="006C1168"/>
    <w:rsid w:val="006C13D1"/>
    <w:rsid w:val="006C14EC"/>
    <w:rsid w:val="006C1649"/>
    <w:rsid w:val="006C1898"/>
    <w:rsid w:val="006C18F7"/>
    <w:rsid w:val="006C193F"/>
    <w:rsid w:val="006C1D92"/>
    <w:rsid w:val="006C1E46"/>
    <w:rsid w:val="006C1FD9"/>
    <w:rsid w:val="006C22F8"/>
    <w:rsid w:val="006C30F1"/>
    <w:rsid w:val="006C313B"/>
    <w:rsid w:val="006C3480"/>
    <w:rsid w:val="006C37B5"/>
    <w:rsid w:val="006C3BA8"/>
    <w:rsid w:val="006C3C9C"/>
    <w:rsid w:val="006C4629"/>
    <w:rsid w:val="006C4756"/>
    <w:rsid w:val="006C4905"/>
    <w:rsid w:val="006C4A09"/>
    <w:rsid w:val="006C4B1F"/>
    <w:rsid w:val="006C4D84"/>
    <w:rsid w:val="006C4F52"/>
    <w:rsid w:val="006C5095"/>
    <w:rsid w:val="006C579E"/>
    <w:rsid w:val="006C591D"/>
    <w:rsid w:val="006C6582"/>
    <w:rsid w:val="006C6708"/>
    <w:rsid w:val="006D05D5"/>
    <w:rsid w:val="006D07E3"/>
    <w:rsid w:val="006D0B36"/>
    <w:rsid w:val="006D0DBB"/>
    <w:rsid w:val="006D19C5"/>
    <w:rsid w:val="006D1AC0"/>
    <w:rsid w:val="006D234C"/>
    <w:rsid w:val="006D2684"/>
    <w:rsid w:val="006D28EE"/>
    <w:rsid w:val="006D2AB2"/>
    <w:rsid w:val="006D309C"/>
    <w:rsid w:val="006D314A"/>
    <w:rsid w:val="006D346F"/>
    <w:rsid w:val="006D39B2"/>
    <w:rsid w:val="006D39D9"/>
    <w:rsid w:val="006D39F9"/>
    <w:rsid w:val="006D414D"/>
    <w:rsid w:val="006D4324"/>
    <w:rsid w:val="006D4620"/>
    <w:rsid w:val="006D48FC"/>
    <w:rsid w:val="006D4CFF"/>
    <w:rsid w:val="006D53A8"/>
    <w:rsid w:val="006D56DA"/>
    <w:rsid w:val="006D5A2C"/>
    <w:rsid w:val="006D5D74"/>
    <w:rsid w:val="006D5DF7"/>
    <w:rsid w:val="006D617F"/>
    <w:rsid w:val="006D6853"/>
    <w:rsid w:val="006D6A35"/>
    <w:rsid w:val="006D6A4C"/>
    <w:rsid w:val="006D6C33"/>
    <w:rsid w:val="006D704F"/>
    <w:rsid w:val="006D770A"/>
    <w:rsid w:val="006D7838"/>
    <w:rsid w:val="006D7A43"/>
    <w:rsid w:val="006D7D9F"/>
    <w:rsid w:val="006D7FE1"/>
    <w:rsid w:val="006E012E"/>
    <w:rsid w:val="006E03E9"/>
    <w:rsid w:val="006E0617"/>
    <w:rsid w:val="006E0849"/>
    <w:rsid w:val="006E1D31"/>
    <w:rsid w:val="006E2107"/>
    <w:rsid w:val="006E2340"/>
    <w:rsid w:val="006E2395"/>
    <w:rsid w:val="006E2465"/>
    <w:rsid w:val="006E24EE"/>
    <w:rsid w:val="006E2CF8"/>
    <w:rsid w:val="006E2CFD"/>
    <w:rsid w:val="006E2EA1"/>
    <w:rsid w:val="006E365B"/>
    <w:rsid w:val="006E396A"/>
    <w:rsid w:val="006E3BCA"/>
    <w:rsid w:val="006E4208"/>
    <w:rsid w:val="006E4766"/>
    <w:rsid w:val="006E48FB"/>
    <w:rsid w:val="006E498F"/>
    <w:rsid w:val="006E4AD9"/>
    <w:rsid w:val="006E4FB9"/>
    <w:rsid w:val="006E59D1"/>
    <w:rsid w:val="006E5B02"/>
    <w:rsid w:val="006E5B1A"/>
    <w:rsid w:val="006E5DAE"/>
    <w:rsid w:val="006E5E37"/>
    <w:rsid w:val="006E60E7"/>
    <w:rsid w:val="006E671F"/>
    <w:rsid w:val="006E6829"/>
    <w:rsid w:val="006E6C80"/>
    <w:rsid w:val="006E71E2"/>
    <w:rsid w:val="006E728F"/>
    <w:rsid w:val="006E73D1"/>
    <w:rsid w:val="006E76AA"/>
    <w:rsid w:val="006E7AFB"/>
    <w:rsid w:val="006F0DE3"/>
    <w:rsid w:val="006F0F41"/>
    <w:rsid w:val="006F1295"/>
    <w:rsid w:val="006F1447"/>
    <w:rsid w:val="006F1E49"/>
    <w:rsid w:val="006F2047"/>
    <w:rsid w:val="006F2137"/>
    <w:rsid w:val="006F2ED3"/>
    <w:rsid w:val="006F31E2"/>
    <w:rsid w:val="006F347C"/>
    <w:rsid w:val="006F3763"/>
    <w:rsid w:val="006F3AB6"/>
    <w:rsid w:val="006F3B1C"/>
    <w:rsid w:val="006F3CAC"/>
    <w:rsid w:val="006F409B"/>
    <w:rsid w:val="006F43A3"/>
    <w:rsid w:val="006F49C2"/>
    <w:rsid w:val="006F4BE0"/>
    <w:rsid w:val="006F4D75"/>
    <w:rsid w:val="006F4F96"/>
    <w:rsid w:val="006F590C"/>
    <w:rsid w:val="006F595D"/>
    <w:rsid w:val="006F5BB2"/>
    <w:rsid w:val="006F5D41"/>
    <w:rsid w:val="006F619D"/>
    <w:rsid w:val="006F61D9"/>
    <w:rsid w:val="006F6477"/>
    <w:rsid w:val="006F6ABA"/>
    <w:rsid w:val="006F6B76"/>
    <w:rsid w:val="006F6C07"/>
    <w:rsid w:val="006F6DF6"/>
    <w:rsid w:val="006F6F7A"/>
    <w:rsid w:val="006F7518"/>
    <w:rsid w:val="006F766E"/>
    <w:rsid w:val="006F788E"/>
    <w:rsid w:val="006F7C35"/>
    <w:rsid w:val="00700145"/>
    <w:rsid w:val="0070017F"/>
    <w:rsid w:val="007005DB"/>
    <w:rsid w:val="007006B6"/>
    <w:rsid w:val="007009F8"/>
    <w:rsid w:val="0070128E"/>
    <w:rsid w:val="00701B94"/>
    <w:rsid w:val="00701C7B"/>
    <w:rsid w:val="00702AB6"/>
    <w:rsid w:val="00703276"/>
    <w:rsid w:val="007041E9"/>
    <w:rsid w:val="00704305"/>
    <w:rsid w:val="00704CA6"/>
    <w:rsid w:val="00704D0D"/>
    <w:rsid w:val="00704D49"/>
    <w:rsid w:val="00704F1E"/>
    <w:rsid w:val="007051BA"/>
    <w:rsid w:val="00705407"/>
    <w:rsid w:val="00705A6D"/>
    <w:rsid w:val="00706D31"/>
    <w:rsid w:val="00707832"/>
    <w:rsid w:val="007079A5"/>
    <w:rsid w:val="00707A61"/>
    <w:rsid w:val="00707BB8"/>
    <w:rsid w:val="00707D2B"/>
    <w:rsid w:val="00707DB7"/>
    <w:rsid w:val="007101BA"/>
    <w:rsid w:val="00710CBA"/>
    <w:rsid w:val="007115E3"/>
    <w:rsid w:val="007117B6"/>
    <w:rsid w:val="007121E2"/>
    <w:rsid w:val="0071242F"/>
    <w:rsid w:val="00713305"/>
    <w:rsid w:val="00713661"/>
    <w:rsid w:val="00713830"/>
    <w:rsid w:val="00713933"/>
    <w:rsid w:val="007139DD"/>
    <w:rsid w:val="00713DE5"/>
    <w:rsid w:val="007141CC"/>
    <w:rsid w:val="007142FB"/>
    <w:rsid w:val="00714357"/>
    <w:rsid w:val="00714F0B"/>
    <w:rsid w:val="007156CD"/>
    <w:rsid w:val="00715802"/>
    <w:rsid w:val="00716046"/>
    <w:rsid w:val="00716146"/>
    <w:rsid w:val="00716742"/>
    <w:rsid w:val="00716E04"/>
    <w:rsid w:val="00717960"/>
    <w:rsid w:val="007179AA"/>
    <w:rsid w:val="00717DB9"/>
    <w:rsid w:val="007204DB"/>
    <w:rsid w:val="00720539"/>
    <w:rsid w:val="00720CA1"/>
    <w:rsid w:val="00721227"/>
    <w:rsid w:val="007219A0"/>
    <w:rsid w:val="00721AB4"/>
    <w:rsid w:val="0072215D"/>
    <w:rsid w:val="0072262C"/>
    <w:rsid w:val="00722AD4"/>
    <w:rsid w:val="00722CA3"/>
    <w:rsid w:val="00722CD3"/>
    <w:rsid w:val="00722E76"/>
    <w:rsid w:val="00723A07"/>
    <w:rsid w:val="00723FD2"/>
    <w:rsid w:val="0072410C"/>
    <w:rsid w:val="00724857"/>
    <w:rsid w:val="00724ADA"/>
    <w:rsid w:val="00725623"/>
    <w:rsid w:val="00725FD4"/>
    <w:rsid w:val="0072655B"/>
    <w:rsid w:val="00726968"/>
    <w:rsid w:val="007270C9"/>
    <w:rsid w:val="00727107"/>
    <w:rsid w:val="0072776C"/>
    <w:rsid w:val="00727A0A"/>
    <w:rsid w:val="00727A86"/>
    <w:rsid w:val="0073031C"/>
    <w:rsid w:val="00730984"/>
    <w:rsid w:val="0073154E"/>
    <w:rsid w:val="007318AC"/>
    <w:rsid w:val="00731B5B"/>
    <w:rsid w:val="00731C68"/>
    <w:rsid w:val="007320CB"/>
    <w:rsid w:val="00732777"/>
    <w:rsid w:val="00732982"/>
    <w:rsid w:val="00732AE2"/>
    <w:rsid w:val="00732C0A"/>
    <w:rsid w:val="00732CC7"/>
    <w:rsid w:val="00732F08"/>
    <w:rsid w:val="007337C7"/>
    <w:rsid w:val="00733977"/>
    <w:rsid w:val="00733B24"/>
    <w:rsid w:val="00733EBD"/>
    <w:rsid w:val="00733FEA"/>
    <w:rsid w:val="00734249"/>
    <w:rsid w:val="007346F3"/>
    <w:rsid w:val="00734CE7"/>
    <w:rsid w:val="00734D92"/>
    <w:rsid w:val="00734FC4"/>
    <w:rsid w:val="007353BB"/>
    <w:rsid w:val="00735C75"/>
    <w:rsid w:val="0073638B"/>
    <w:rsid w:val="00737339"/>
    <w:rsid w:val="007373C4"/>
    <w:rsid w:val="00737509"/>
    <w:rsid w:val="0073753C"/>
    <w:rsid w:val="00737ED5"/>
    <w:rsid w:val="00737EF1"/>
    <w:rsid w:val="0074026C"/>
    <w:rsid w:val="0074066E"/>
    <w:rsid w:val="00740835"/>
    <w:rsid w:val="00741664"/>
    <w:rsid w:val="00741AC9"/>
    <w:rsid w:val="00741C33"/>
    <w:rsid w:val="00741CA5"/>
    <w:rsid w:val="007420F8"/>
    <w:rsid w:val="007429A2"/>
    <w:rsid w:val="00742A3C"/>
    <w:rsid w:val="00742A7A"/>
    <w:rsid w:val="00742BAF"/>
    <w:rsid w:val="00742D10"/>
    <w:rsid w:val="00743168"/>
    <w:rsid w:val="007432C9"/>
    <w:rsid w:val="00743882"/>
    <w:rsid w:val="00743CD9"/>
    <w:rsid w:val="00744126"/>
    <w:rsid w:val="007441BD"/>
    <w:rsid w:val="007441F8"/>
    <w:rsid w:val="007444EB"/>
    <w:rsid w:val="0074459C"/>
    <w:rsid w:val="0074471C"/>
    <w:rsid w:val="0074472E"/>
    <w:rsid w:val="0074476B"/>
    <w:rsid w:val="00744954"/>
    <w:rsid w:val="00744C50"/>
    <w:rsid w:val="00744D05"/>
    <w:rsid w:val="00744EFA"/>
    <w:rsid w:val="00745150"/>
    <w:rsid w:val="007451D3"/>
    <w:rsid w:val="007454B1"/>
    <w:rsid w:val="007455A6"/>
    <w:rsid w:val="00745C4A"/>
    <w:rsid w:val="00745CB9"/>
    <w:rsid w:val="00745E0A"/>
    <w:rsid w:val="00745E92"/>
    <w:rsid w:val="00746221"/>
    <w:rsid w:val="00746DF6"/>
    <w:rsid w:val="007470D4"/>
    <w:rsid w:val="00747380"/>
    <w:rsid w:val="0074788F"/>
    <w:rsid w:val="00750007"/>
    <w:rsid w:val="007506AC"/>
    <w:rsid w:val="00750AA0"/>
    <w:rsid w:val="00750F3E"/>
    <w:rsid w:val="00751077"/>
    <w:rsid w:val="00751412"/>
    <w:rsid w:val="007514B5"/>
    <w:rsid w:val="00751C70"/>
    <w:rsid w:val="00751D80"/>
    <w:rsid w:val="00751F91"/>
    <w:rsid w:val="00751FA1"/>
    <w:rsid w:val="00752322"/>
    <w:rsid w:val="00752414"/>
    <w:rsid w:val="0075269C"/>
    <w:rsid w:val="00752853"/>
    <w:rsid w:val="00753439"/>
    <w:rsid w:val="0075395F"/>
    <w:rsid w:val="00753AEA"/>
    <w:rsid w:val="00754088"/>
    <w:rsid w:val="007544EB"/>
    <w:rsid w:val="00754542"/>
    <w:rsid w:val="007548F1"/>
    <w:rsid w:val="00754C63"/>
    <w:rsid w:val="00754CA8"/>
    <w:rsid w:val="0075512C"/>
    <w:rsid w:val="00755177"/>
    <w:rsid w:val="0075538D"/>
    <w:rsid w:val="007555B4"/>
    <w:rsid w:val="007556FF"/>
    <w:rsid w:val="00755A94"/>
    <w:rsid w:val="00755BBC"/>
    <w:rsid w:val="007561E2"/>
    <w:rsid w:val="007563D2"/>
    <w:rsid w:val="007565EF"/>
    <w:rsid w:val="00756842"/>
    <w:rsid w:val="007571CD"/>
    <w:rsid w:val="007576C3"/>
    <w:rsid w:val="00757926"/>
    <w:rsid w:val="00757945"/>
    <w:rsid w:val="007600AE"/>
    <w:rsid w:val="007602A2"/>
    <w:rsid w:val="007605A7"/>
    <w:rsid w:val="007605B7"/>
    <w:rsid w:val="00760D7E"/>
    <w:rsid w:val="007615E1"/>
    <w:rsid w:val="0076175E"/>
    <w:rsid w:val="0076207B"/>
    <w:rsid w:val="00762975"/>
    <w:rsid w:val="00762E8E"/>
    <w:rsid w:val="0076301A"/>
    <w:rsid w:val="0076370D"/>
    <w:rsid w:val="0076419D"/>
    <w:rsid w:val="00764297"/>
    <w:rsid w:val="00764648"/>
    <w:rsid w:val="0076469B"/>
    <w:rsid w:val="00764811"/>
    <w:rsid w:val="00764C28"/>
    <w:rsid w:val="007651AA"/>
    <w:rsid w:val="007658BA"/>
    <w:rsid w:val="0076617D"/>
    <w:rsid w:val="007664C4"/>
    <w:rsid w:val="0076653E"/>
    <w:rsid w:val="0076661A"/>
    <w:rsid w:val="007668B9"/>
    <w:rsid w:val="00766B25"/>
    <w:rsid w:val="00766F22"/>
    <w:rsid w:val="00767163"/>
    <w:rsid w:val="007675C6"/>
    <w:rsid w:val="007679D6"/>
    <w:rsid w:val="00770206"/>
    <w:rsid w:val="00770246"/>
    <w:rsid w:val="00770684"/>
    <w:rsid w:val="00770A02"/>
    <w:rsid w:val="00771021"/>
    <w:rsid w:val="00771A58"/>
    <w:rsid w:val="00771DE4"/>
    <w:rsid w:val="00771F53"/>
    <w:rsid w:val="00772090"/>
    <w:rsid w:val="00772278"/>
    <w:rsid w:val="007726CA"/>
    <w:rsid w:val="007729C5"/>
    <w:rsid w:val="00773023"/>
    <w:rsid w:val="007732CD"/>
    <w:rsid w:val="00773345"/>
    <w:rsid w:val="007734F4"/>
    <w:rsid w:val="00773DFB"/>
    <w:rsid w:val="007746C3"/>
    <w:rsid w:val="00774940"/>
    <w:rsid w:val="00775015"/>
    <w:rsid w:val="007751CC"/>
    <w:rsid w:val="00775262"/>
    <w:rsid w:val="007756DD"/>
    <w:rsid w:val="00775A52"/>
    <w:rsid w:val="00775AA1"/>
    <w:rsid w:val="00775FC7"/>
    <w:rsid w:val="00776451"/>
    <w:rsid w:val="007767A8"/>
    <w:rsid w:val="00776FA6"/>
    <w:rsid w:val="00777304"/>
    <w:rsid w:val="007773B7"/>
    <w:rsid w:val="007773E7"/>
    <w:rsid w:val="0077746B"/>
    <w:rsid w:val="00777706"/>
    <w:rsid w:val="00777848"/>
    <w:rsid w:val="00777868"/>
    <w:rsid w:val="00777F53"/>
    <w:rsid w:val="00780007"/>
    <w:rsid w:val="00780376"/>
    <w:rsid w:val="007808B4"/>
    <w:rsid w:val="007808E6"/>
    <w:rsid w:val="00780998"/>
    <w:rsid w:val="00780B65"/>
    <w:rsid w:val="00780B84"/>
    <w:rsid w:val="00780CC9"/>
    <w:rsid w:val="00781404"/>
    <w:rsid w:val="0078150E"/>
    <w:rsid w:val="00781FD9"/>
    <w:rsid w:val="007821E6"/>
    <w:rsid w:val="00782509"/>
    <w:rsid w:val="00782B9B"/>
    <w:rsid w:val="00782D3C"/>
    <w:rsid w:val="00782F37"/>
    <w:rsid w:val="00783C55"/>
    <w:rsid w:val="007842B3"/>
    <w:rsid w:val="007842B4"/>
    <w:rsid w:val="007842CC"/>
    <w:rsid w:val="00785404"/>
    <w:rsid w:val="0078547E"/>
    <w:rsid w:val="0078588A"/>
    <w:rsid w:val="00785D66"/>
    <w:rsid w:val="007860B8"/>
    <w:rsid w:val="007867E7"/>
    <w:rsid w:val="00787201"/>
    <w:rsid w:val="0078793D"/>
    <w:rsid w:val="00787967"/>
    <w:rsid w:val="00787BCD"/>
    <w:rsid w:val="007900E7"/>
    <w:rsid w:val="00790A5E"/>
    <w:rsid w:val="00790B14"/>
    <w:rsid w:val="00790D0B"/>
    <w:rsid w:val="00791178"/>
    <w:rsid w:val="007911E6"/>
    <w:rsid w:val="007912D8"/>
    <w:rsid w:val="00792348"/>
    <w:rsid w:val="00792439"/>
    <w:rsid w:val="0079328F"/>
    <w:rsid w:val="00793480"/>
    <w:rsid w:val="00793750"/>
    <w:rsid w:val="00793CF6"/>
    <w:rsid w:val="007942BB"/>
    <w:rsid w:val="0079431B"/>
    <w:rsid w:val="007946A2"/>
    <w:rsid w:val="00794917"/>
    <w:rsid w:val="00794AD9"/>
    <w:rsid w:val="00794BE1"/>
    <w:rsid w:val="00794C69"/>
    <w:rsid w:val="0079559E"/>
    <w:rsid w:val="007956B1"/>
    <w:rsid w:val="00795E76"/>
    <w:rsid w:val="00796277"/>
    <w:rsid w:val="00796319"/>
    <w:rsid w:val="00796325"/>
    <w:rsid w:val="0079648E"/>
    <w:rsid w:val="007966F7"/>
    <w:rsid w:val="00796ACE"/>
    <w:rsid w:val="00797121"/>
    <w:rsid w:val="007972F2"/>
    <w:rsid w:val="00797616"/>
    <w:rsid w:val="00797775"/>
    <w:rsid w:val="00797AEB"/>
    <w:rsid w:val="00797BA2"/>
    <w:rsid w:val="00797C2A"/>
    <w:rsid w:val="00797CE7"/>
    <w:rsid w:val="00797D5C"/>
    <w:rsid w:val="00797DFD"/>
    <w:rsid w:val="00797FEA"/>
    <w:rsid w:val="007A0083"/>
    <w:rsid w:val="007A012B"/>
    <w:rsid w:val="007A0208"/>
    <w:rsid w:val="007A035C"/>
    <w:rsid w:val="007A14AC"/>
    <w:rsid w:val="007A1FD9"/>
    <w:rsid w:val="007A2174"/>
    <w:rsid w:val="007A26E3"/>
    <w:rsid w:val="007A28BF"/>
    <w:rsid w:val="007A2914"/>
    <w:rsid w:val="007A32B2"/>
    <w:rsid w:val="007A32C5"/>
    <w:rsid w:val="007A38DE"/>
    <w:rsid w:val="007A39F9"/>
    <w:rsid w:val="007A3F65"/>
    <w:rsid w:val="007A414B"/>
    <w:rsid w:val="007A467C"/>
    <w:rsid w:val="007A47CA"/>
    <w:rsid w:val="007A4C64"/>
    <w:rsid w:val="007A583D"/>
    <w:rsid w:val="007A5C22"/>
    <w:rsid w:val="007A5CE0"/>
    <w:rsid w:val="007A5D59"/>
    <w:rsid w:val="007A6306"/>
    <w:rsid w:val="007A712F"/>
    <w:rsid w:val="007A7203"/>
    <w:rsid w:val="007A74D6"/>
    <w:rsid w:val="007A757A"/>
    <w:rsid w:val="007A7BC9"/>
    <w:rsid w:val="007A7CA1"/>
    <w:rsid w:val="007A7CD0"/>
    <w:rsid w:val="007A7F38"/>
    <w:rsid w:val="007B02A2"/>
    <w:rsid w:val="007B051A"/>
    <w:rsid w:val="007B0832"/>
    <w:rsid w:val="007B114B"/>
    <w:rsid w:val="007B13C8"/>
    <w:rsid w:val="007B1519"/>
    <w:rsid w:val="007B1635"/>
    <w:rsid w:val="007B183C"/>
    <w:rsid w:val="007B1961"/>
    <w:rsid w:val="007B1BE5"/>
    <w:rsid w:val="007B200B"/>
    <w:rsid w:val="007B20D6"/>
    <w:rsid w:val="007B2800"/>
    <w:rsid w:val="007B494F"/>
    <w:rsid w:val="007B5C75"/>
    <w:rsid w:val="007B6903"/>
    <w:rsid w:val="007B6A3A"/>
    <w:rsid w:val="007B7663"/>
    <w:rsid w:val="007B7DFF"/>
    <w:rsid w:val="007C0341"/>
    <w:rsid w:val="007C1165"/>
    <w:rsid w:val="007C15AA"/>
    <w:rsid w:val="007C18CE"/>
    <w:rsid w:val="007C1D03"/>
    <w:rsid w:val="007C1E81"/>
    <w:rsid w:val="007C2E30"/>
    <w:rsid w:val="007C3A90"/>
    <w:rsid w:val="007C3B42"/>
    <w:rsid w:val="007C3C22"/>
    <w:rsid w:val="007C3CEB"/>
    <w:rsid w:val="007C3F40"/>
    <w:rsid w:val="007C3F6F"/>
    <w:rsid w:val="007C4630"/>
    <w:rsid w:val="007C4740"/>
    <w:rsid w:val="007C4B5F"/>
    <w:rsid w:val="007C4E9D"/>
    <w:rsid w:val="007C4F59"/>
    <w:rsid w:val="007C4F5B"/>
    <w:rsid w:val="007C5634"/>
    <w:rsid w:val="007C587C"/>
    <w:rsid w:val="007C5995"/>
    <w:rsid w:val="007C5F1D"/>
    <w:rsid w:val="007C6669"/>
    <w:rsid w:val="007C6712"/>
    <w:rsid w:val="007C672B"/>
    <w:rsid w:val="007C6D5F"/>
    <w:rsid w:val="007C6F82"/>
    <w:rsid w:val="007C71FC"/>
    <w:rsid w:val="007C7947"/>
    <w:rsid w:val="007C7B72"/>
    <w:rsid w:val="007C7BE1"/>
    <w:rsid w:val="007C7FD7"/>
    <w:rsid w:val="007D018A"/>
    <w:rsid w:val="007D0A52"/>
    <w:rsid w:val="007D0BF5"/>
    <w:rsid w:val="007D107B"/>
    <w:rsid w:val="007D11D3"/>
    <w:rsid w:val="007D12C7"/>
    <w:rsid w:val="007D1397"/>
    <w:rsid w:val="007D1C69"/>
    <w:rsid w:val="007D1EDB"/>
    <w:rsid w:val="007D2199"/>
    <w:rsid w:val="007D2348"/>
    <w:rsid w:val="007D2564"/>
    <w:rsid w:val="007D2639"/>
    <w:rsid w:val="007D29B9"/>
    <w:rsid w:val="007D2B31"/>
    <w:rsid w:val="007D2F6F"/>
    <w:rsid w:val="007D3035"/>
    <w:rsid w:val="007D3160"/>
    <w:rsid w:val="007D326D"/>
    <w:rsid w:val="007D357D"/>
    <w:rsid w:val="007D4047"/>
    <w:rsid w:val="007D452D"/>
    <w:rsid w:val="007D49E8"/>
    <w:rsid w:val="007D4A8B"/>
    <w:rsid w:val="007D4E64"/>
    <w:rsid w:val="007D5E91"/>
    <w:rsid w:val="007D63D5"/>
    <w:rsid w:val="007D6B97"/>
    <w:rsid w:val="007D7077"/>
    <w:rsid w:val="007D74C8"/>
    <w:rsid w:val="007D75EA"/>
    <w:rsid w:val="007E0473"/>
    <w:rsid w:val="007E050C"/>
    <w:rsid w:val="007E0738"/>
    <w:rsid w:val="007E0E71"/>
    <w:rsid w:val="007E1022"/>
    <w:rsid w:val="007E10A8"/>
    <w:rsid w:val="007E13D2"/>
    <w:rsid w:val="007E1772"/>
    <w:rsid w:val="007E1CAD"/>
    <w:rsid w:val="007E1CBB"/>
    <w:rsid w:val="007E20C6"/>
    <w:rsid w:val="007E2279"/>
    <w:rsid w:val="007E2788"/>
    <w:rsid w:val="007E2B6D"/>
    <w:rsid w:val="007E2CA3"/>
    <w:rsid w:val="007E2E84"/>
    <w:rsid w:val="007E30DE"/>
    <w:rsid w:val="007E3158"/>
    <w:rsid w:val="007E3870"/>
    <w:rsid w:val="007E3FBB"/>
    <w:rsid w:val="007E4375"/>
    <w:rsid w:val="007E49E3"/>
    <w:rsid w:val="007E4ABC"/>
    <w:rsid w:val="007E4B1D"/>
    <w:rsid w:val="007E4C5C"/>
    <w:rsid w:val="007E4CBE"/>
    <w:rsid w:val="007E4DA0"/>
    <w:rsid w:val="007E5162"/>
    <w:rsid w:val="007E51AA"/>
    <w:rsid w:val="007E52AD"/>
    <w:rsid w:val="007E5CA8"/>
    <w:rsid w:val="007E63B5"/>
    <w:rsid w:val="007E6411"/>
    <w:rsid w:val="007E6822"/>
    <w:rsid w:val="007E6A6F"/>
    <w:rsid w:val="007E70B0"/>
    <w:rsid w:val="007E74F7"/>
    <w:rsid w:val="007E769A"/>
    <w:rsid w:val="007E79DF"/>
    <w:rsid w:val="007E7A52"/>
    <w:rsid w:val="007E7EDA"/>
    <w:rsid w:val="007F0213"/>
    <w:rsid w:val="007F0A1D"/>
    <w:rsid w:val="007F0A3C"/>
    <w:rsid w:val="007F1002"/>
    <w:rsid w:val="007F1484"/>
    <w:rsid w:val="007F16CF"/>
    <w:rsid w:val="007F2467"/>
    <w:rsid w:val="007F2547"/>
    <w:rsid w:val="007F2765"/>
    <w:rsid w:val="007F2806"/>
    <w:rsid w:val="007F2998"/>
    <w:rsid w:val="007F2BF7"/>
    <w:rsid w:val="007F3078"/>
    <w:rsid w:val="007F338A"/>
    <w:rsid w:val="007F34DD"/>
    <w:rsid w:val="007F3D6A"/>
    <w:rsid w:val="007F3E66"/>
    <w:rsid w:val="007F415D"/>
    <w:rsid w:val="007F457E"/>
    <w:rsid w:val="007F476A"/>
    <w:rsid w:val="007F496D"/>
    <w:rsid w:val="007F4DD5"/>
    <w:rsid w:val="007F4E00"/>
    <w:rsid w:val="007F4E06"/>
    <w:rsid w:val="007F4E45"/>
    <w:rsid w:val="007F5556"/>
    <w:rsid w:val="007F58EF"/>
    <w:rsid w:val="007F5FFD"/>
    <w:rsid w:val="007F6028"/>
    <w:rsid w:val="007F6F7C"/>
    <w:rsid w:val="007F7227"/>
    <w:rsid w:val="007F7366"/>
    <w:rsid w:val="007F7569"/>
    <w:rsid w:val="007F76B8"/>
    <w:rsid w:val="007F79AA"/>
    <w:rsid w:val="007F7DEC"/>
    <w:rsid w:val="00800595"/>
    <w:rsid w:val="008009D2"/>
    <w:rsid w:val="00800CA8"/>
    <w:rsid w:val="00801017"/>
    <w:rsid w:val="00801288"/>
    <w:rsid w:val="008012F9"/>
    <w:rsid w:val="008019F7"/>
    <w:rsid w:val="00801CB5"/>
    <w:rsid w:val="0080237A"/>
    <w:rsid w:val="00802416"/>
    <w:rsid w:val="00802765"/>
    <w:rsid w:val="0080283C"/>
    <w:rsid w:val="00802BD0"/>
    <w:rsid w:val="00802DC7"/>
    <w:rsid w:val="00802F6F"/>
    <w:rsid w:val="00803003"/>
    <w:rsid w:val="00803435"/>
    <w:rsid w:val="00803867"/>
    <w:rsid w:val="00803A52"/>
    <w:rsid w:val="00804117"/>
    <w:rsid w:val="008048CA"/>
    <w:rsid w:val="00805004"/>
    <w:rsid w:val="00805090"/>
    <w:rsid w:val="008056E6"/>
    <w:rsid w:val="00805F9E"/>
    <w:rsid w:val="0080625B"/>
    <w:rsid w:val="00806619"/>
    <w:rsid w:val="00806E52"/>
    <w:rsid w:val="00806F71"/>
    <w:rsid w:val="0080720A"/>
    <w:rsid w:val="00807C48"/>
    <w:rsid w:val="00807ED7"/>
    <w:rsid w:val="008109B1"/>
    <w:rsid w:val="00810D86"/>
    <w:rsid w:val="008115FF"/>
    <w:rsid w:val="00811768"/>
    <w:rsid w:val="008119B7"/>
    <w:rsid w:val="00812B17"/>
    <w:rsid w:val="00812E33"/>
    <w:rsid w:val="00813047"/>
    <w:rsid w:val="0081329D"/>
    <w:rsid w:val="008133AD"/>
    <w:rsid w:val="008134DC"/>
    <w:rsid w:val="0081352B"/>
    <w:rsid w:val="00813E5A"/>
    <w:rsid w:val="0081465C"/>
    <w:rsid w:val="00814662"/>
    <w:rsid w:val="00814A00"/>
    <w:rsid w:val="00815590"/>
    <w:rsid w:val="008156A9"/>
    <w:rsid w:val="008157E8"/>
    <w:rsid w:val="0081594A"/>
    <w:rsid w:val="00815A50"/>
    <w:rsid w:val="008165D3"/>
    <w:rsid w:val="0081673E"/>
    <w:rsid w:val="00816D7F"/>
    <w:rsid w:val="008170E2"/>
    <w:rsid w:val="0081723B"/>
    <w:rsid w:val="008173FD"/>
    <w:rsid w:val="008177CA"/>
    <w:rsid w:val="00817DB9"/>
    <w:rsid w:val="00817E2D"/>
    <w:rsid w:val="00817E9A"/>
    <w:rsid w:val="00817FF3"/>
    <w:rsid w:val="0082017D"/>
    <w:rsid w:val="008204A3"/>
    <w:rsid w:val="008206A3"/>
    <w:rsid w:val="008208BD"/>
    <w:rsid w:val="00820D41"/>
    <w:rsid w:val="00820E69"/>
    <w:rsid w:val="00821369"/>
    <w:rsid w:val="008213F4"/>
    <w:rsid w:val="008214C0"/>
    <w:rsid w:val="00821550"/>
    <w:rsid w:val="00821757"/>
    <w:rsid w:val="00821792"/>
    <w:rsid w:val="008218C2"/>
    <w:rsid w:val="00821C7E"/>
    <w:rsid w:val="008221E5"/>
    <w:rsid w:val="008224D0"/>
    <w:rsid w:val="00822FB6"/>
    <w:rsid w:val="0082352A"/>
    <w:rsid w:val="0082358A"/>
    <w:rsid w:val="00823929"/>
    <w:rsid w:val="0082418E"/>
    <w:rsid w:val="00824A0C"/>
    <w:rsid w:val="00824A95"/>
    <w:rsid w:val="008251BC"/>
    <w:rsid w:val="00825D69"/>
    <w:rsid w:val="008265FF"/>
    <w:rsid w:val="008267EF"/>
    <w:rsid w:val="00826A8B"/>
    <w:rsid w:val="00826DBC"/>
    <w:rsid w:val="00826DFB"/>
    <w:rsid w:val="0082729C"/>
    <w:rsid w:val="00827641"/>
    <w:rsid w:val="00827BC5"/>
    <w:rsid w:val="0083043F"/>
    <w:rsid w:val="008304A2"/>
    <w:rsid w:val="00830B60"/>
    <w:rsid w:val="00830BF0"/>
    <w:rsid w:val="00830E5C"/>
    <w:rsid w:val="0083122C"/>
    <w:rsid w:val="008317D0"/>
    <w:rsid w:val="0083183C"/>
    <w:rsid w:val="00831EC4"/>
    <w:rsid w:val="00832185"/>
    <w:rsid w:val="008326F5"/>
    <w:rsid w:val="008328E1"/>
    <w:rsid w:val="00832B5D"/>
    <w:rsid w:val="008330BF"/>
    <w:rsid w:val="008337F7"/>
    <w:rsid w:val="00833A7D"/>
    <w:rsid w:val="00833CD4"/>
    <w:rsid w:val="00833FED"/>
    <w:rsid w:val="00834055"/>
    <w:rsid w:val="0083421E"/>
    <w:rsid w:val="00834355"/>
    <w:rsid w:val="008343A3"/>
    <w:rsid w:val="00834460"/>
    <w:rsid w:val="00834663"/>
    <w:rsid w:val="0083487B"/>
    <w:rsid w:val="00834BCD"/>
    <w:rsid w:val="00835085"/>
    <w:rsid w:val="008356FF"/>
    <w:rsid w:val="00835DE6"/>
    <w:rsid w:val="00835F8D"/>
    <w:rsid w:val="00836626"/>
    <w:rsid w:val="00836CF1"/>
    <w:rsid w:val="00836F82"/>
    <w:rsid w:val="00837100"/>
    <w:rsid w:val="00837413"/>
    <w:rsid w:val="00837BC0"/>
    <w:rsid w:val="00837E8D"/>
    <w:rsid w:val="00840658"/>
    <w:rsid w:val="0084070A"/>
    <w:rsid w:val="008409B6"/>
    <w:rsid w:val="008409D3"/>
    <w:rsid w:val="008417C2"/>
    <w:rsid w:val="00841C28"/>
    <w:rsid w:val="00842134"/>
    <w:rsid w:val="008421F0"/>
    <w:rsid w:val="008422B1"/>
    <w:rsid w:val="00842567"/>
    <w:rsid w:val="0084271B"/>
    <w:rsid w:val="00842AC9"/>
    <w:rsid w:val="00842E31"/>
    <w:rsid w:val="00842FCC"/>
    <w:rsid w:val="008432DF"/>
    <w:rsid w:val="008433E9"/>
    <w:rsid w:val="00843643"/>
    <w:rsid w:val="008436A6"/>
    <w:rsid w:val="00843916"/>
    <w:rsid w:val="00843A58"/>
    <w:rsid w:val="00843CC3"/>
    <w:rsid w:val="00843CD1"/>
    <w:rsid w:val="00843E01"/>
    <w:rsid w:val="00844401"/>
    <w:rsid w:val="0084443A"/>
    <w:rsid w:val="008445D5"/>
    <w:rsid w:val="0084461A"/>
    <w:rsid w:val="0084470E"/>
    <w:rsid w:val="00844B49"/>
    <w:rsid w:val="00844E73"/>
    <w:rsid w:val="00844F50"/>
    <w:rsid w:val="0084507F"/>
    <w:rsid w:val="00845778"/>
    <w:rsid w:val="00845D96"/>
    <w:rsid w:val="00846CFD"/>
    <w:rsid w:val="008473FB"/>
    <w:rsid w:val="008475D2"/>
    <w:rsid w:val="008477B5"/>
    <w:rsid w:val="0084787B"/>
    <w:rsid w:val="008478D3"/>
    <w:rsid w:val="00847968"/>
    <w:rsid w:val="00847971"/>
    <w:rsid w:val="00847CB2"/>
    <w:rsid w:val="00847CD5"/>
    <w:rsid w:val="00847D2E"/>
    <w:rsid w:val="008502D2"/>
    <w:rsid w:val="008510D8"/>
    <w:rsid w:val="008511A0"/>
    <w:rsid w:val="00851902"/>
    <w:rsid w:val="00851CB3"/>
    <w:rsid w:val="0085218F"/>
    <w:rsid w:val="00852B3A"/>
    <w:rsid w:val="00852DB0"/>
    <w:rsid w:val="0085357D"/>
    <w:rsid w:val="0085360B"/>
    <w:rsid w:val="0085374F"/>
    <w:rsid w:val="00853DCE"/>
    <w:rsid w:val="008541DF"/>
    <w:rsid w:val="00854A4C"/>
    <w:rsid w:val="008550BA"/>
    <w:rsid w:val="0085525E"/>
    <w:rsid w:val="008552A1"/>
    <w:rsid w:val="0085563C"/>
    <w:rsid w:val="00855982"/>
    <w:rsid w:val="00855B22"/>
    <w:rsid w:val="00856446"/>
    <w:rsid w:val="008565F0"/>
    <w:rsid w:val="00856745"/>
    <w:rsid w:val="008567E1"/>
    <w:rsid w:val="00856832"/>
    <w:rsid w:val="00856879"/>
    <w:rsid w:val="00856ED7"/>
    <w:rsid w:val="008571E9"/>
    <w:rsid w:val="008572A7"/>
    <w:rsid w:val="0085740E"/>
    <w:rsid w:val="0085782A"/>
    <w:rsid w:val="00857C52"/>
    <w:rsid w:val="00860676"/>
    <w:rsid w:val="00860712"/>
    <w:rsid w:val="008619D4"/>
    <w:rsid w:val="00861CFE"/>
    <w:rsid w:val="00862F94"/>
    <w:rsid w:val="00864596"/>
    <w:rsid w:val="00864662"/>
    <w:rsid w:val="00864A53"/>
    <w:rsid w:val="00864AB4"/>
    <w:rsid w:val="008657C7"/>
    <w:rsid w:val="00865862"/>
    <w:rsid w:val="00865886"/>
    <w:rsid w:val="00865A4B"/>
    <w:rsid w:val="00865F4F"/>
    <w:rsid w:val="00866059"/>
    <w:rsid w:val="00866BF8"/>
    <w:rsid w:val="0086746F"/>
    <w:rsid w:val="00867912"/>
    <w:rsid w:val="00867BB7"/>
    <w:rsid w:val="00867BF6"/>
    <w:rsid w:val="00870067"/>
    <w:rsid w:val="008700F1"/>
    <w:rsid w:val="0087012E"/>
    <w:rsid w:val="008702E0"/>
    <w:rsid w:val="008705E7"/>
    <w:rsid w:val="008706CB"/>
    <w:rsid w:val="008707F7"/>
    <w:rsid w:val="00870C4A"/>
    <w:rsid w:val="0087130C"/>
    <w:rsid w:val="008718D7"/>
    <w:rsid w:val="00871CB2"/>
    <w:rsid w:val="00872407"/>
    <w:rsid w:val="008725AB"/>
    <w:rsid w:val="00873144"/>
    <w:rsid w:val="008734BD"/>
    <w:rsid w:val="00873547"/>
    <w:rsid w:val="00873A65"/>
    <w:rsid w:val="00873BD8"/>
    <w:rsid w:val="00873F3D"/>
    <w:rsid w:val="00874238"/>
    <w:rsid w:val="0087427C"/>
    <w:rsid w:val="00874428"/>
    <w:rsid w:val="00874975"/>
    <w:rsid w:val="00874A57"/>
    <w:rsid w:val="00874BBC"/>
    <w:rsid w:val="00874C88"/>
    <w:rsid w:val="00874D16"/>
    <w:rsid w:val="00874ED3"/>
    <w:rsid w:val="00875385"/>
    <w:rsid w:val="00875765"/>
    <w:rsid w:val="0087589E"/>
    <w:rsid w:val="00875A07"/>
    <w:rsid w:val="00875A52"/>
    <w:rsid w:val="00875B93"/>
    <w:rsid w:val="00875FE1"/>
    <w:rsid w:val="00876E6A"/>
    <w:rsid w:val="00877351"/>
    <w:rsid w:val="0087779C"/>
    <w:rsid w:val="00877804"/>
    <w:rsid w:val="00877BA1"/>
    <w:rsid w:val="00880277"/>
    <w:rsid w:val="00880527"/>
    <w:rsid w:val="008806D3"/>
    <w:rsid w:val="00880B1F"/>
    <w:rsid w:val="0088154B"/>
    <w:rsid w:val="008816AB"/>
    <w:rsid w:val="00881A22"/>
    <w:rsid w:val="00882204"/>
    <w:rsid w:val="008822DC"/>
    <w:rsid w:val="00882B94"/>
    <w:rsid w:val="00883126"/>
    <w:rsid w:val="0088382E"/>
    <w:rsid w:val="008838D8"/>
    <w:rsid w:val="0088464E"/>
    <w:rsid w:val="008846DE"/>
    <w:rsid w:val="00884F97"/>
    <w:rsid w:val="0088561A"/>
    <w:rsid w:val="008856F4"/>
    <w:rsid w:val="00885780"/>
    <w:rsid w:val="00885B45"/>
    <w:rsid w:val="00885B5D"/>
    <w:rsid w:val="00885FFD"/>
    <w:rsid w:val="008862EE"/>
    <w:rsid w:val="008866B7"/>
    <w:rsid w:val="0088695C"/>
    <w:rsid w:val="0088739F"/>
    <w:rsid w:val="00887956"/>
    <w:rsid w:val="00887ABF"/>
    <w:rsid w:val="00890692"/>
    <w:rsid w:val="008906F2"/>
    <w:rsid w:val="008909F6"/>
    <w:rsid w:val="00890CA4"/>
    <w:rsid w:val="00890E99"/>
    <w:rsid w:val="00890EE7"/>
    <w:rsid w:val="00891028"/>
    <w:rsid w:val="00891343"/>
    <w:rsid w:val="008916F1"/>
    <w:rsid w:val="00891A27"/>
    <w:rsid w:val="00891B38"/>
    <w:rsid w:val="00892225"/>
    <w:rsid w:val="00892245"/>
    <w:rsid w:val="00892663"/>
    <w:rsid w:val="00893047"/>
    <w:rsid w:val="008931EC"/>
    <w:rsid w:val="00893321"/>
    <w:rsid w:val="008937A5"/>
    <w:rsid w:val="008938ED"/>
    <w:rsid w:val="00893C73"/>
    <w:rsid w:val="00893D01"/>
    <w:rsid w:val="00893DCF"/>
    <w:rsid w:val="0089491E"/>
    <w:rsid w:val="00894960"/>
    <w:rsid w:val="00894EAD"/>
    <w:rsid w:val="00894F27"/>
    <w:rsid w:val="00895368"/>
    <w:rsid w:val="00895758"/>
    <w:rsid w:val="00895CB9"/>
    <w:rsid w:val="00895E4D"/>
    <w:rsid w:val="00895E55"/>
    <w:rsid w:val="00895EA5"/>
    <w:rsid w:val="0089601C"/>
    <w:rsid w:val="00896213"/>
    <w:rsid w:val="00896339"/>
    <w:rsid w:val="00896673"/>
    <w:rsid w:val="00896E08"/>
    <w:rsid w:val="008975D5"/>
    <w:rsid w:val="008A04F5"/>
    <w:rsid w:val="008A0714"/>
    <w:rsid w:val="008A0825"/>
    <w:rsid w:val="008A086F"/>
    <w:rsid w:val="008A0BA0"/>
    <w:rsid w:val="008A0CBD"/>
    <w:rsid w:val="008A0CE0"/>
    <w:rsid w:val="008A1A2E"/>
    <w:rsid w:val="008A1C7A"/>
    <w:rsid w:val="008A2395"/>
    <w:rsid w:val="008A23C8"/>
    <w:rsid w:val="008A26E0"/>
    <w:rsid w:val="008A2851"/>
    <w:rsid w:val="008A2BE4"/>
    <w:rsid w:val="008A2E41"/>
    <w:rsid w:val="008A3925"/>
    <w:rsid w:val="008A3CFD"/>
    <w:rsid w:val="008A3D97"/>
    <w:rsid w:val="008A3FF8"/>
    <w:rsid w:val="008A410B"/>
    <w:rsid w:val="008A4912"/>
    <w:rsid w:val="008A5113"/>
    <w:rsid w:val="008A51E5"/>
    <w:rsid w:val="008A52C8"/>
    <w:rsid w:val="008A540F"/>
    <w:rsid w:val="008A546B"/>
    <w:rsid w:val="008A566F"/>
    <w:rsid w:val="008A5C79"/>
    <w:rsid w:val="008A5D46"/>
    <w:rsid w:val="008A6033"/>
    <w:rsid w:val="008A6306"/>
    <w:rsid w:val="008A6345"/>
    <w:rsid w:val="008A6771"/>
    <w:rsid w:val="008A6846"/>
    <w:rsid w:val="008A697D"/>
    <w:rsid w:val="008A6F5D"/>
    <w:rsid w:val="008A7880"/>
    <w:rsid w:val="008A7BFB"/>
    <w:rsid w:val="008A7EFB"/>
    <w:rsid w:val="008A7FEE"/>
    <w:rsid w:val="008B0334"/>
    <w:rsid w:val="008B03F7"/>
    <w:rsid w:val="008B0B87"/>
    <w:rsid w:val="008B10BE"/>
    <w:rsid w:val="008B1337"/>
    <w:rsid w:val="008B1704"/>
    <w:rsid w:val="008B1708"/>
    <w:rsid w:val="008B1CDB"/>
    <w:rsid w:val="008B25BB"/>
    <w:rsid w:val="008B2840"/>
    <w:rsid w:val="008B2A92"/>
    <w:rsid w:val="008B2B6A"/>
    <w:rsid w:val="008B2B71"/>
    <w:rsid w:val="008B2DCD"/>
    <w:rsid w:val="008B31A6"/>
    <w:rsid w:val="008B3351"/>
    <w:rsid w:val="008B3627"/>
    <w:rsid w:val="008B3654"/>
    <w:rsid w:val="008B3C24"/>
    <w:rsid w:val="008B41EB"/>
    <w:rsid w:val="008B467D"/>
    <w:rsid w:val="008B4DF2"/>
    <w:rsid w:val="008B51E8"/>
    <w:rsid w:val="008B51F6"/>
    <w:rsid w:val="008B5466"/>
    <w:rsid w:val="008B5721"/>
    <w:rsid w:val="008B6045"/>
    <w:rsid w:val="008B64B4"/>
    <w:rsid w:val="008B65DF"/>
    <w:rsid w:val="008B6C72"/>
    <w:rsid w:val="008B6CC9"/>
    <w:rsid w:val="008B6E5C"/>
    <w:rsid w:val="008B700D"/>
    <w:rsid w:val="008B7A5C"/>
    <w:rsid w:val="008C0270"/>
    <w:rsid w:val="008C02B9"/>
    <w:rsid w:val="008C0301"/>
    <w:rsid w:val="008C0385"/>
    <w:rsid w:val="008C0D98"/>
    <w:rsid w:val="008C18AC"/>
    <w:rsid w:val="008C1BFE"/>
    <w:rsid w:val="008C1F6C"/>
    <w:rsid w:val="008C20F0"/>
    <w:rsid w:val="008C2468"/>
    <w:rsid w:val="008C254E"/>
    <w:rsid w:val="008C27D4"/>
    <w:rsid w:val="008C2C25"/>
    <w:rsid w:val="008C2ECB"/>
    <w:rsid w:val="008C2FF6"/>
    <w:rsid w:val="008C303F"/>
    <w:rsid w:val="008C360A"/>
    <w:rsid w:val="008C4812"/>
    <w:rsid w:val="008C4C1D"/>
    <w:rsid w:val="008C4C92"/>
    <w:rsid w:val="008C4D1B"/>
    <w:rsid w:val="008C51A8"/>
    <w:rsid w:val="008C54BF"/>
    <w:rsid w:val="008C5613"/>
    <w:rsid w:val="008C5889"/>
    <w:rsid w:val="008C6731"/>
    <w:rsid w:val="008D00F2"/>
    <w:rsid w:val="008D0B8F"/>
    <w:rsid w:val="008D0FEC"/>
    <w:rsid w:val="008D108E"/>
    <w:rsid w:val="008D162B"/>
    <w:rsid w:val="008D27E6"/>
    <w:rsid w:val="008D2AF2"/>
    <w:rsid w:val="008D2CA8"/>
    <w:rsid w:val="008D35C4"/>
    <w:rsid w:val="008D3CE5"/>
    <w:rsid w:val="008D3F47"/>
    <w:rsid w:val="008D4270"/>
    <w:rsid w:val="008D4A20"/>
    <w:rsid w:val="008D4B2C"/>
    <w:rsid w:val="008D533D"/>
    <w:rsid w:val="008D58B0"/>
    <w:rsid w:val="008D59D4"/>
    <w:rsid w:val="008D59F5"/>
    <w:rsid w:val="008D5E9A"/>
    <w:rsid w:val="008D6167"/>
    <w:rsid w:val="008D6495"/>
    <w:rsid w:val="008D6FF3"/>
    <w:rsid w:val="008D7136"/>
    <w:rsid w:val="008D7A0F"/>
    <w:rsid w:val="008E0167"/>
    <w:rsid w:val="008E116D"/>
    <w:rsid w:val="008E1174"/>
    <w:rsid w:val="008E172A"/>
    <w:rsid w:val="008E187E"/>
    <w:rsid w:val="008E1E54"/>
    <w:rsid w:val="008E1F36"/>
    <w:rsid w:val="008E1F8E"/>
    <w:rsid w:val="008E286F"/>
    <w:rsid w:val="008E2875"/>
    <w:rsid w:val="008E28FD"/>
    <w:rsid w:val="008E29C6"/>
    <w:rsid w:val="008E2DA7"/>
    <w:rsid w:val="008E2F56"/>
    <w:rsid w:val="008E3435"/>
    <w:rsid w:val="008E34DC"/>
    <w:rsid w:val="008E4B15"/>
    <w:rsid w:val="008E4E73"/>
    <w:rsid w:val="008E53E6"/>
    <w:rsid w:val="008E54E0"/>
    <w:rsid w:val="008E6A48"/>
    <w:rsid w:val="008E6BD0"/>
    <w:rsid w:val="008E6C4C"/>
    <w:rsid w:val="008E6EC2"/>
    <w:rsid w:val="008E7A0F"/>
    <w:rsid w:val="008E7D34"/>
    <w:rsid w:val="008E7E0E"/>
    <w:rsid w:val="008E7E49"/>
    <w:rsid w:val="008F089F"/>
    <w:rsid w:val="008F0CA0"/>
    <w:rsid w:val="008F10B5"/>
    <w:rsid w:val="008F22B4"/>
    <w:rsid w:val="008F2817"/>
    <w:rsid w:val="008F2DE4"/>
    <w:rsid w:val="008F3C41"/>
    <w:rsid w:val="008F4032"/>
    <w:rsid w:val="008F412B"/>
    <w:rsid w:val="008F43A1"/>
    <w:rsid w:val="008F45D2"/>
    <w:rsid w:val="008F4FB4"/>
    <w:rsid w:val="008F5010"/>
    <w:rsid w:val="008F5105"/>
    <w:rsid w:val="008F54C4"/>
    <w:rsid w:val="008F640F"/>
    <w:rsid w:val="008F6661"/>
    <w:rsid w:val="008F68DA"/>
    <w:rsid w:val="008F692A"/>
    <w:rsid w:val="008F6A95"/>
    <w:rsid w:val="008F6D8F"/>
    <w:rsid w:val="008F7089"/>
    <w:rsid w:val="008F77E0"/>
    <w:rsid w:val="008F77E1"/>
    <w:rsid w:val="008F79B1"/>
    <w:rsid w:val="008F7A3D"/>
    <w:rsid w:val="008F7B72"/>
    <w:rsid w:val="008F7CCB"/>
    <w:rsid w:val="009001B9"/>
    <w:rsid w:val="0090076B"/>
    <w:rsid w:val="00901031"/>
    <w:rsid w:val="009019EF"/>
    <w:rsid w:val="00901B50"/>
    <w:rsid w:val="00901C40"/>
    <w:rsid w:val="00902037"/>
    <w:rsid w:val="00902053"/>
    <w:rsid w:val="00902601"/>
    <w:rsid w:val="0090346F"/>
    <w:rsid w:val="00903744"/>
    <w:rsid w:val="009039B6"/>
    <w:rsid w:val="00903ECD"/>
    <w:rsid w:val="009044EF"/>
    <w:rsid w:val="009054A3"/>
    <w:rsid w:val="00905EE3"/>
    <w:rsid w:val="00905F54"/>
    <w:rsid w:val="00905FB5"/>
    <w:rsid w:val="00907BBC"/>
    <w:rsid w:val="00907BD1"/>
    <w:rsid w:val="00907EBD"/>
    <w:rsid w:val="0091081D"/>
    <w:rsid w:val="00910ACB"/>
    <w:rsid w:val="00910EFA"/>
    <w:rsid w:val="00911370"/>
    <w:rsid w:val="00911763"/>
    <w:rsid w:val="00911EDD"/>
    <w:rsid w:val="0091313A"/>
    <w:rsid w:val="00913374"/>
    <w:rsid w:val="00913528"/>
    <w:rsid w:val="009137EC"/>
    <w:rsid w:val="009139B1"/>
    <w:rsid w:val="00913AA6"/>
    <w:rsid w:val="00913CEA"/>
    <w:rsid w:val="00913E22"/>
    <w:rsid w:val="0091403F"/>
    <w:rsid w:val="009140BF"/>
    <w:rsid w:val="00914902"/>
    <w:rsid w:val="00914EFD"/>
    <w:rsid w:val="00914F68"/>
    <w:rsid w:val="00915270"/>
    <w:rsid w:val="00915F05"/>
    <w:rsid w:val="0091612F"/>
    <w:rsid w:val="00916382"/>
    <w:rsid w:val="0091667D"/>
    <w:rsid w:val="00916B9E"/>
    <w:rsid w:val="00916DC6"/>
    <w:rsid w:val="00917040"/>
    <w:rsid w:val="009170F4"/>
    <w:rsid w:val="0091712C"/>
    <w:rsid w:val="00917882"/>
    <w:rsid w:val="009178F3"/>
    <w:rsid w:val="009179B8"/>
    <w:rsid w:val="00917EBE"/>
    <w:rsid w:val="00917EF9"/>
    <w:rsid w:val="00920420"/>
    <w:rsid w:val="00920774"/>
    <w:rsid w:val="00920FEB"/>
    <w:rsid w:val="00921676"/>
    <w:rsid w:val="009217E4"/>
    <w:rsid w:val="00921838"/>
    <w:rsid w:val="00921850"/>
    <w:rsid w:val="00921DC5"/>
    <w:rsid w:val="00922116"/>
    <w:rsid w:val="009226F2"/>
    <w:rsid w:val="00922A12"/>
    <w:rsid w:val="00922E9A"/>
    <w:rsid w:val="00923171"/>
    <w:rsid w:val="00923424"/>
    <w:rsid w:val="00923682"/>
    <w:rsid w:val="0092388B"/>
    <w:rsid w:val="009238CA"/>
    <w:rsid w:val="00923A40"/>
    <w:rsid w:val="0092440A"/>
    <w:rsid w:val="009247F8"/>
    <w:rsid w:val="00924F92"/>
    <w:rsid w:val="009252CF"/>
    <w:rsid w:val="0092569D"/>
    <w:rsid w:val="009257BD"/>
    <w:rsid w:val="0092589A"/>
    <w:rsid w:val="00925C99"/>
    <w:rsid w:val="00926828"/>
    <w:rsid w:val="0092728D"/>
    <w:rsid w:val="0092735C"/>
    <w:rsid w:val="009276A8"/>
    <w:rsid w:val="00927A9A"/>
    <w:rsid w:val="00927F5E"/>
    <w:rsid w:val="00930848"/>
    <w:rsid w:val="00931872"/>
    <w:rsid w:val="009318E0"/>
    <w:rsid w:val="00932714"/>
    <w:rsid w:val="0093299C"/>
    <w:rsid w:val="00932BB3"/>
    <w:rsid w:val="00932D82"/>
    <w:rsid w:val="00932EC1"/>
    <w:rsid w:val="009332E8"/>
    <w:rsid w:val="009335DA"/>
    <w:rsid w:val="009337D0"/>
    <w:rsid w:val="00933D05"/>
    <w:rsid w:val="00933E06"/>
    <w:rsid w:val="00934415"/>
    <w:rsid w:val="00934446"/>
    <w:rsid w:val="009345B3"/>
    <w:rsid w:val="009346AA"/>
    <w:rsid w:val="009347E8"/>
    <w:rsid w:val="0093500C"/>
    <w:rsid w:val="0093557F"/>
    <w:rsid w:val="0093662E"/>
    <w:rsid w:val="00936D68"/>
    <w:rsid w:val="0093738E"/>
    <w:rsid w:val="009377B7"/>
    <w:rsid w:val="00940383"/>
    <w:rsid w:val="009407EA"/>
    <w:rsid w:val="0094085C"/>
    <w:rsid w:val="0094090B"/>
    <w:rsid w:val="009409E3"/>
    <w:rsid w:val="00940C50"/>
    <w:rsid w:val="00941034"/>
    <w:rsid w:val="009412DF"/>
    <w:rsid w:val="00941318"/>
    <w:rsid w:val="00941399"/>
    <w:rsid w:val="00941481"/>
    <w:rsid w:val="0094230C"/>
    <w:rsid w:val="009425CF"/>
    <w:rsid w:val="009427F3"/>
    <w:rsid w:val="00942CA4"/>
    <w:rsid w:val="00942EB1"/>
    <w:rsid w:val="00943015"/>
    <w:rsid w:val="009430D6"/>
    <w:rsid w:val="0094338D"/>
    <w:rsid w:val="009436AC"/>
    <w:rsid w:val="00943B9C"/>
    <w:rsid w:val="00944104"/>
    <w:rsid w:val="00944564"/>
    <w:rsid w:val="0094485D"/>
    <w:rsid w:val="00944AE0"/>
    <w:rsid w:val="00944C62"/>
    <w:rsid w:val="009452F1"/>
    <w:rsid w:val="009453BD"/>
    <w:rsid w:val="0094566E"/>
    <w:rsid w:val="00945715"/>
    <w:rsid w:val="00945863"/>
    <w:rsid w:val="00945E70"/>
    <w:rsid w:val="0094654F"/>
    <w:rsid w:val="0094679D"/>
    <w:rsid w:val="00946DDD"/>
    <w:rsid w:val="0094755B"/>
    <w:rsid w:val="00947EAB"/>
    <w:rsid w:val="009502B5"/>
    <w:rsid w:val="00950328"/>
    <w:rsid w:val="009503EF"/>
    <w:rsid w:val="009507EF"/>
    <w:rsid w:val="009509B7"/>
    <w:rsid w:val="00950FF7"/>
    <w:rsid w:val="009512BE"/>
    <w:rsid w:val="0095192B"/>
    <w:rsid w:val="00951A2C"/>
    <w:rsid w:val="00951B53"/>
    <w:rsid w:val="00951BB3"/>
    <w:rsid w:val="00952365"/>
    <w:rsid w:val="009525FC"/>
    <w:rsid w:val="009526E5"/>
    <w:rsid w:val="009528CA"/>
    <w:rsid w:val="009528ED"/>
    <w:rsid w:val="0095299E"/>
    <w:rsid w:val="009529C7"/>
    <w:rsid w:val="00952BAD"/>
    <w:rsid w:val="00953031"/>
    <w:rsid w:val="00953264"/>
    <w:rsid w:val="0095380E"/>
    <w:rsid w:val="00953910"/>
    <w:rsid w:val="00953CFB"/>
    <w:rsid w:val="00953D7F"/>
    <w:rsid w:val="009540BE"/>
    <w:rsid w:val="009545F1"/>
    <w:rsid w:val="0095482E"/>
    <w:rsid w:val="00954F03"/>
    <w:rsid w:val="009552FC"/>
    <w:rsid w:val="00955555"/>
    <w:rsid w:val="009558A7"/>
    <w:rsid w:val="00955A27"/>
    <w:rsid w:val="009563FF"/>
    <w:rsid w:val="00956BA1"/>
    <w:rsid w:val="00956E60"/>
    <w:rsid w:val="00957118"/>
    <w:rsid w:val="00957484"/>
    <w:rsid w:val="0095756A"/>
    <w:rsid w:val="009576B5"/>
    <w:rsid w:val="00957768"/>
    <w:rsid w:val="00957E84"/>
    <w:rsid w:val="00960737"/>
    <w:rsid w:val="0096073C"/>
    <w:rsid w:val="009608E0"/>
    <w:rsid w:val="00960A0D"/>
    <w:rsid w:val="00960A7F"/>
    <w:rsid w:val="00960B04"/>
    <w:rsid w:val="00961173"/>
    <w:rsid w:val="00961298"/>
    <w:rsid w:val="009617EB"/>
    <w:rsid w:val="00961A60"/>
    <w:rsid w:val="00961A71"/>
    <w:rsid w:val="00961F67"/>
    <w:rsid w:val="00962101"/>
    <w:rsid w:val="009622E1"/>
    <w:rsid w:val="00962DD6"/>
    <w:rsid w:val="00963414"/>
    <w:rsid w:val="00963726"/>
    <w:rsid w:val="009640BE"/>
    <w:rsid w:val="00964650"/>
    <w:rsid w:val="00964934"/>
    <w:rsid w:val="00964B77"/>
    <w:rsid w:val="00964BD8"/>
    <w:rsid w:val="009659D6"/>
    <w:rsid w:val="00965A6C"/>
    <w:rsid w:val="00965C49"/>
    <w:rsid w:val="00966165"/>
    <w:rsid w:val="009666B3"/>
    <w:rsid w:val="0096680D"/>
    <w:rsid w:val="00966962"/>
    <w:rsid w:val="00966A1E"/>
    <w:rsid w:val="00966C0D"/>
    <w:rsid w:val="00966ED1"/>
    <w:rsid w:val="00966F00"/>
    <w:rsid w:val="009670DF"/>
    <w:rsid w:val="0096750F"/>
    <w:rsid w:val="00970A46"/>
    <w:rsid w:val="009712D8"/>
    <w:rsid w:val="009713F8"/>
    <w:rsid w:val="0097168A"/>
    <w:rsid w:val="0097176A"/>
    <w:rsid w:val="00971892"/>
    <w:rsid w:val="00971AF1"/>
    <w:rsid w:val="00971BF4"/>
    <w:rsid w:val="00972316"/>
    <w:rsid w:val="00972A2A"/>
    <w:rsid w:val="00972A60"/>
    <w:rsid w:val="00972EEE"/>
    <w:rsid w:val="00972FC1"/>
    <w:rsid w:val="009731B0"/>
    <w:rsid w:val="0097339B"/>
    <w:rsid w:val="009741FC"/>
    <w:rsid w:val="00974B5B"/>
    <w:rsid w:val="00974DE7"/>
    <w:rsid w:val="009753E9"/>
    <w:rsid w:val="00975908"/>
    <w:rsid w:val="00975A73"/>
    <w:rsid w:val="009761C9"/>
    <w:rsid w:val="00976564"/>
    <w:rsid w:val="009765D6"/>
    <w:rsid w:val="00976B77"/>
    <w:rsid w:val="00977064"/>
    <w:rsid w:val="009772A0"/>
    <w:rsid w:val="00977305"/>
    <w:rsid w:val="009775C2"/>
    <w:rsid w:val="0097760E"/>
    <w:rsid w:val="00977868"/>
    <w:rsid w:val="009807F7"/>
    <w:rsid w:val="00980D62"/>
    <w:rsid w:val="009815CD"/>
    <w:rsid w:val="00981CF1"/>
    <w:rsid w:val="0098280D"/>
    <w:rsid w:val="00982979"/>
    <w:rsid w:val="00982BAD"/>
    <w:rsid w:val="00982E50"/>
    <w:rsid w:val="0098307B"/>
    <w:rsid w:val="009832E5"/>
    <w:rsid w:val="00983387"/>
    <w:rsid w:val="0098370D"/>
    <w:rsid w:val="00983771"/>
    <w:rsid w:val="00983DCB"/>
    <w:rsid w:val="00984C3E"/>
    <w:rsid w:val="009852B6"/>
    <w:rsid w:val="00985D84"/>
    <w:rsid w:val="00986685"/>
    <w:rsid w:val="009867BA"/>
    <w:rsid w:val="00986A30"/>
    <w:rsid w:val="009873D3"/>
    <w:rsid w:val="0098763D"/>
    <w:rsid w:val="009877EB"/>
    <w:rsid w:val="00987F85"/>
    <w:rsid w:val="009905BA"/>
    <w:rsid w:val="0099074E"/>
    <w:rsid w:val="00990CCB"/>
    <w:rsid w:val="00991278"/>
    <w:rsid w:val="00991348"/>
    <w:rsid w:val="00991804"/>
    <w:rsid w:val="009919D8"/>
    <w:rsid w:val="00991D5F"/>
    <w:rsid w:val="0099231F"/>
    <w:rsid w:val="00992B5F"/>
    <w:rsid w:val="0099301F"/>
    <w:rsid w:val="00993797"/>
    <w:rsid w:val="00993996"/>
    <w:rsid w:val="00993AEE"/>
    <w:rsid w:val="00993E3A"/>
    <w:rsid w:val="00993F30"/>
    <w:rsid w:val="00993F95"/>
    <w:rsid w:val="009942C7"/>
    <w:rsid w:val="009942EB"/>
    <w:rsid w:val="00994B17"/>
    <w:rsid w:val="0099530F"/>
    <w:rsid w:val="00995BE9"/>
    <w:rsid w:val="00995D83"/>
    <w:rsid w:val="00995F15"/>
    <w:rsid w:val="009963A1"/>
    <w:rsid w:val="00996554"/>
    <w:rsid w:val="00997472"/>
    <w:rsid w:val="0099747D"/>
    <w:rsid w:val="00997CB9"/>
    <w:rsid w:val="00997D7F"/>
    <w:rsid w:val="00997F94"/>
    <w:rsid w:val="009A0346"/>
    <w:rsid w:val="009A057A"/>
    <w:rsid w:val="009A0DE1"/>
    <w:rsid w:val="009A0FCA"/>
    <w:rsid w:val="009A168A"/>
    <w:rsid w:val="009A1845"/>
    <w:rsid w:val="009A1ACF"/>
    <w:rsid w:val="009A1E44"/>
    <w:rsid w:val="009A1E89"/>
    <w:rsid w:val="009A2202"/>
    <w:rsid w:val="009A2838"/>
    <w:rsid w:val="009A2844"/>
    <w:rsid w:val="009A336F"/>
    <w:rsid w:val="009A3ACA"/>
    <w:rsid w:val="009A3B8A"/>
    <w:rsid w:val="009A4015"/>
    <w:rsid w:val="009A4698"/>
    <w:rsid w:val="009A4C4C"/>
    <w:rsid w:val="009A4E92"/>
    <w:rsid w:val="009A57BC"/>
    <w:rsid w:val="009A653F"/>
    <w:rsid w:val="009A6573"/>
    <w:rsid w:val="009A69D7"/>
    <w:rsid w:val="009A6D9D"/>
    <w:rsid w:val="009A70B1"/>
    <w:rsid w:val="009A71E1"/>
    <w:rsid w:val="009A72F9"/>
    <w:rsid w:val="009A7335"/>
    <w:rsid w:val="009A768C"/>
    <w:rsid w:val="009A7A91"/>
    <w:rsid w:val="009A7B51"/>
    <w:rsid w:val="009B0012"/>
    <w:rsid w:val="009B0A07"/>
    <w:rsid w:val="009B0D21"/>
    <w:rsid w:val="009B0F12"/>
    <w:rsid w:val="009B108C"/>
    <w:rsid w:val="009B16AD"/>
    <w:rsid w:val="009B1A95"/>
    <w:rsid w:val="009B1C60"/>
    <w:rsid w:val="009B2193"/>
    <w:rsid w:val="009B24FF"/>
    <w:rsid w:val="009B2DC3"/>
    <w:rsid w:val="009B351E"/>
    <w:rsid w:val="009B3616"/>
    <w:rsid w:val="009B3657"/>
    <w:rsid w:val="009B3766"/>
    <w:rsid w:val="009B3BDB"/>
    <w:rsid w:val="009B44C4"/>
    <w:rsid w:val="009B456B"/>
    <w:rsid w:val="009B46CC"/>
    <w:rsid w:val="009B5141"/>
    <w:rsid w:val="009B64BC"/>
    <w:rsid w:val="009B6652"/>
    <w:rsid w:val="009B6990"/>
    <w:rsid w:val="009B727D"/>
    <w:rsid w:val="009B79F8"/>
    <w:rsid w:val="009B7D43"/>
    <w:rsid w:val="009B7FD9"/>
    <w:rsid w:val="009C07EF"/>
    <w:rsid w:val="009C0C39"/>
    <w:rsid w:val="009C10A6"/>
    <w:rsid w:val="009C194C"/>
    <w:rsid w:val="009C205D"/>
    <w:rsid w:val="009C21E3"/>
    <w:rsid w:val="009C27A5"/>
    <w:rsid w:val="009C3162"/>
    <w:rsid w:val="009C34E8"/>
    <w:rsid w:val="009C3547"/>
    <w:rsid w:val="009C3A17"/>
    <w:rsid w:val="009C3A75"/>
    <w:rsid w:val="009C3AF8"/>
    <w:rsid w:val="009C4302"/>
    <w:rsid w:val="009C48D8"/>
    <w:rsid w:val="009C4BC0"/>
    <w:rsid w:val="009C5299"/>
    <w:rsid w:val="009C5FCA"/>
    <w:rsid w:val="009C66B6"/>
    <w:rsid w:val="009C6894"/>
    <w:rsid w:val="009C69E0"/>
    <w:rsid w:val="009C6B01"/>
    <w:rsid w:val="009C6C97"/>
    <w:rsid w:val="009C6CF1"/>
    <w:rsid w:val="009C6E3D"/>
    <w:rsid w:val="009C6E74"/>
    <w:rsid w:val="009C73F9"/>
    <w:rsid w:val="009C74FC"/>
    <w:rsid w:val="009C78C8"/>
    <w:rsid w:val="009D03BB"/>
    <w:rsid w:val="009D08FC"/>
    <w:rsid w:val="009D0A47"/>
    <w:rsid w:val="009D0DBF"/>
    <w:rsid w:val="009D0F5B"/>
    <w:rsid w:val="009D1071"/>
    <w:rsid w:val="009D10EF"/>
    <w:rsid w:val="009D13E5"/>
    <w:rsid w:val="009D18D9"/>
    <w:rsid w:val="009D196F"/>
    <w:rsid w:val="009D2233"/>
    <w:rsid w:val="009D2416"/>
    <w:rsid w:val="009D2493"/>
    <w:rsid w:val="009D2700"/>
    <w:rsid w:val="009D2921"/>
    <w:rsid w:val="009D2D4F"/>
    <w:rsid w:val="009D3252"/>
    <w:rsid w:val="009D341A"/>
    <w:rsid w:val="009D3A0F"/>
    <w:rsid w:val="009D3B69"/>
    <w:rsid w:val="009D3B7D"/>
    <w:rsid w:val="009D3C33"/>
    <w:rsid w:val="009D3DBB"/>
    <w:rsid w:val="009D42AA"/>
    <w:rsid w:val="009D444E"/>
    <w:rsid w:val="009D44FD"/>
    <w:rsid w:val="009D4C16"/>
    <w:rsid w:val="009D5282"/>
    <w:rsid w:val="009D528C"/>
    <w:rsid w:val="009D565A"/>
    <w:rsid w:val="009D58F8"/>
    <w:rsid w:val="009D5D4B"/>
    <w:rsid w:val="009D5EC6"/>
    <w:rsid w:val="009D5F06"/>
    <w:rsid w:val="009D5FC1"/>
    <w:rsid w:val="009D6026"/>
    <w:rsid w:val="009D6217"/>
    <w:rsid w:val="009D6488"/>
    <w:rsid w:val="009D6732"/>
    <w:rsid w:val="009D68B7"/>
    <w:rsid w:val="009D68E8"/>
    <w:rsid w:val="009D69D2"/>
    <w:rsid w:val="009D69F9"/>
    <w:rsid w:val="009D6BDF"/>
    <w:rsid w:val="009D6C16"/>
    <w:rsid w:val="009D6DDE"/>
    <w:rsid w:val="009D70F3"/>
    <w:rsid w:val="009D7535"/>
    <w:rsid w:val="009D7743"/>
    <w:rsid w:val="009D79CD"/>
    <w:rsid w:val="009D7BAB"/>
    <w:rsid w:val="009D7CF4"/>
    <w:rsid w:val="009E03B5"/>
    <w:rsid w:val="009E048C"/>
    <w:rsid w:val="009E0A69"/>
    <w:rsid w:val="009E0AD8"/>
    <w:rsid w:val="009E0E26"/>
    <w:rsid w:val="009E0FAA"/>
    <w:rsid w:val="009E1058"/>
    <w:rsid w:val="009E17D0"/>
    <w:rsid w:val="009E1E09"/>
    <w:rsid w:val="009E2182"/>
    <w:rsid w:val="009E2851"/>
    <w:rsid w:val="009E2879"/>
    <w:rsid w:val="009E3253"/>
    <w:rsid w:val="009E3470"/>
    <w:rsid w:val="009E3D90"/>
    <w:rsid w:val="009E3ECE"/>
    <w:rsid w:val="009E4269"/>
    <w:rsid w:val="009E54C1"/>
    <w:rsid w:val="009E6156"/>
    <w:rsid w:val="009E6D76"/>
    <w:rsid w:val="009E6EA8"/>
    <w:rsid w:val="009E6F02"/>
    <w:rsid w:val="009E74FD"/>
    <w:rsid w:val="009E755A"/>
    <w:rsid w:val="009E75B0"/>
    <w:rsid w:val="009E7AAF"/>
    <w:rsid w:val="009F070B"/>
    <w:rsid w:val="009F0955"/>
    <w:rsid w:val="009F17FF"/>
    <w:rsid w:val="009F1971"/>
    <w:rsid w:val="009F19BE"/>
    <w:rsid w:val="009F2543"/>
    <w:rsid w:val="009F2930"/>
    <w:rsid w:val="009F2A16"/>
    <w:rsid w:val="009F2F13"/>
    <w:rsid w:val="009F31F3"/>
    <w:rsid w:val="009F39F5"/>
    <w:rsid w:val="009F42C4"/>
    <w:rsid w:val="009F4925"/>
    <w:rsid w:val="009F4C7A"/>
    <w:rsid w:val="009F56F6"/>
    <w:rsid w:val="009F57C1"/>
    <w:rsid w:val="009F5A22"/>
    <w:rsid w:val="009F5BDE"/>
    <w:rsid w:val="009F5C17"/>
    <w:rsid w:val="009F5C1B"/>
    <w:rsid w:val="009F5C29"/>
    <w:rsid w:val="009F629E"/>
    <w:rsid w:val="009F65A6"/>
    <w:rsid w:val="009F66EE"/>
    <w:rsid w:val="009F6D0B"/>
    <w:rsid w:val="009F6EF0"/>
    <w:rsid w:val="009F6F35"/>
    <w:rsid w:val="009F7227"/>
    <w:rsid w:val="009F75C1"/>
    <w:rsid w:val="009F7A09"/>
    <w:rsid w:val="009F7A67"/>
    <w:rsid w:val="00A000DE"/>
    <w:rsid w:val="00A000E3"/>
    <w:rsid w:val="00A00243"/>
    <w:rsid w:val="00A00654"/>
    <w:rsid w:val="00A01390"/>
    <w:rsid w:val="00A01654"/>
    <w:rsid w:val="00A016E7"/>
    <w:rsid w:val="00A018E3"/>
    <w:rsid w:val="00A01B43"/>
    <w:rsid w:val="00A02119"/>
    <w:rsid w:val="00A0299B"/>
    <w:rsid w:val="00A02A9B"/>
    <w:rsid w:val="00A02C2E"/>
    <w:rsid w:val="00A02C4D"/>
    <w:rsid w:val="00A02F0A"/>
    <w:rsid w:val="00A037E5"/>
    <w:rsid w:val="00A03DB6"/>
    <w:rsid w:val="00A05181"/>
    <w:rsid w:val="00A05364"/>
    <w:rsid w:val="00A055E4"/>
    <w:rsid w:val="00A0581D"/>
    <w:rsid w:val="00A05D54"/>
    <w:rsid w:val="00A060A6"/>
    <w:rsid w:val="00A064C4"/>
    <w:rsid w:val="00A0650E"/>
    <w:rsid w:val="00A0654A"/>
    <w:rsid w:val="00A06724"/>
    <w:rsid w:val="00A07016"/>
    <w:rsid w:val="00A07404"/>
    <w:rsid w:val="00A10211"/>
    <w:rsid w:val="00A10864"/>
    <w:rsid w:val="00A1094F"/>
    <w:rsid w:val="00A10D36"/>
    <w:rsid w:val="00A10E51"/>
    <w:rsid w:val="00A1141A"/>
    <w:rsid w:val="00A11AD8"/>
    <w:rsid w:val="00A12251"/>
    <w:rsid w:val="00A12EAB"/>
    <w:rsid w:val="00A132EE"/>
    <w:rsid w:val="00A1335E"/>
    <w:rsid w:val="00A134D5"/>
    <w:rsid w:val="00A13F1F"/>
    <w:rsid w:val="00A142F7"/>
    <w:rsid w:val="00A1461B"/>
    <w:rsid w:val="00A146DC"/>
    <w:rsid w:val="00A149FC"/>
    <w:rsid w:val="00A14A30"/>
    <w:rsid w:val="00A15170"/>
    <w:rsid w:val="00A1541D"/>
    <w:rsid w:val="00A154A3"/>
    <w:rsid w:val="00A155AE"/>
    <w:rsid w:val="00A1605E"/>
    <w:rsid w:val="00A16136"/>
    <w:rsid w:val="00A163F9"/>
    <w:rsid w:val="00A165D3"/>
    <w:rsid w:val="00A1660C"/>
    <w:rsid w:val="00A16AA2"/>
    <w:rsid w:val="00A17093"/>
    <w:rsid w:val="00A17934"/>
    <w:rsid w:val="00A17C04"/>
    <w:rsid w:val="00A17CD7"/>
    <w:rsid w:val="00A17E07"/>
    <w:rsid w:val="00A17E7F"/>
    <w:rsid w:val="00A200B7"/>
    <w:rsid w:val="00A2013E"/>
    <w:rsid w:val="00A20544"/>
    <w:rsid w:val="00A207AB"/>
    <w:rsid w:val="00A20A50"/>
    <w:rsid w:val="00A20A5B"/>
    <w:rsid w:val="00A20D30"/>
    <w:rsid w:val="00A20E68"/>
    <w:rsid w:val="00A21242"/>
    <w:rsid w:val="00A215FD"/>
    <w:rsid w:val="00A217DB"/>
    <w:rsid w:val="00A22009"/>
    <w:rsid w:val="00A22019"/>
    <w:rsid w:val="00A224CA"/>
    <w:rsid w:val="00A22698"/>
    <w:rsid w:val="00A22A27"/>
    <w:rsid w:val="00A22D10"/>
    <w:rsid w:val="00A2334F"/>
    <w:rsid w:val="00A2355B"/>
    <w:rsid w:val="00A23A05"/>
    <w:rsid w:val="00A23A94"/>
    <w:rsid w:val="00A23C36"/>
    <w:rsid w:val="00A24296"/>
    <w:rsid w:val="00A2463E"/>
    <w:rsid w:val="00A24E32"/>
    <w:rsid w:val="00A25513"/>
    <w:rsid w:val="00A256F0"/>
    <w:rsid w:val="00A25C26"/>
    <w:rsid w:val="00A25E0B"/>
    <w:rsid w:val="00A26B00"/>
    <w:rsid w:val="00A26BB1"/>
    <w:rsid w:val="00A27405"/>
    <w:rsid w:val="00A27E4B"/>
    <w:rsid w:val="00A30121"/>
    <w:rsid w:val="00A30218"/>
    <w:rsid w:val="00A30575"/>
    <w:rsid w:val="00A305B3"/>
    <w:rsid w:val="00A307FA"/>
    <w:rsid w:val="00A3130E"/>
    <w:rsid w:val="00A31813"/>
    <w:rsid w:val="00A31AC9"/>
    <w:rsid w:val="00A31AE1"/>
    <w:rsid w:val="00A31D98"/>
    <w:rsid w:val="00A3241A"/>
    <w:rsid w:val="00A3250C"/>
    <w:rsid w:val="00A332EA"/>
    <w:rsid w:val="00A33C7E"/>
    <w:rsid w:val="00A3422D"/>
    <w:rsid w:val="00A34366"/>
    <w:rsid w:val="00A34F37"/>
    <w:rsid w:val="00A352C7"/>
    <w:rsid w:val="00A35619"/>
    <w:rsid w:val="00A36023"/>
    <w:rsid w:val="00A3625A"/>
    <w:rsid w:val="00A36798"/>
    <w:rsid w:val="00A367DA"/>
    <w:rsid w:val="00A36C0D"/>
    <w:rsid w:val="00A36DA7"/>
    <w:rsid w:val="00A378AC"/>
    <w:rsid w:val="00A378C2"/>
    <w:rsid w:val="00A37F50"/>
    <w:rsid w:val="00A40602"/>
    <w:rsid w:val="00A41257"/>
    <w:rsid w:val="00A41886"/>
    <w:rsid w:val="00A425D7"/>
    <w:rsid w:val="00A426FB"/>
    <w:rsid w:val="00A42B23"/>
    <w:rsid w:val="00A432B6"/>
    <w:rsid w:val="00A437C5"/>
    <w:rsid w:val="00A43D31"/>
    <w:rsid w:val="00A44BED"/>
    <w:rsid w:val="00A44FB4"/>
    <w:rsid w:val="00A454E1"/>
    <w:rsid w:val="00A4551E"/>
    <w:rsid w:val="00A45978"/>
    <w:rsid w:val="00A45D1F"/>
    <w:rsid w:val="00A468D2"/>
    <w:rsid w:val="00A46B31"/>
    <w:rsid w:val="00A46C5A"/>
    <w:rsid w:val="00A46CE9"/>
    <w:rsid w:val="00A472AD"/>
    <w:rsid w:val="00A47690"/>
    <w:rsid w:val="00A476F3"/>
    <w:rsid w:val="00A47E19"/>
    <w:rsid w:val="00A47E69"/>
    <w:rsid w:val="00A509C0"/>
    <w:rsid w:val="00A50A39"/>
    <w:rsid w:val="00A5171C"/>
    <w:rsid w:val="00A520F2"/>
    <w:rsid w:val="00A523B3"/>
    <w:rsid w:val="00A52428"/>
    <w:rsid w:val="00A5254F"/>
    <w:rsid w:val="00A52719"/>
    <w:rsid w:val="00A52BEC"/>
    <w:rsid w:val="00A537F4"/>
    <w:rsid w:val="00A53941"/>
    <w:rsid w:val="00A53C89"/>
    <w:rsid w:val="00A53D13"/>
    <w:rsid w:val="00A540AB"/>
    <w:rsid w:val="00A54337"/>
    <w:rsid w:val="00A5455C"/>
    <w:rsid w:val="00A5464D"/>
    <w:rsid w:val="00A54910"/>
    <w:rsid w:val="00A54BD3"/>
    <w:rsid w:val="00A54C07"/>
    <w:rsid w:val="00A55D78"/>
    <w:rsid w:val="00A56C56"/>
    <w:rsid w:val="00A56D74"/>
    <w:rsid w:val="00A56D82"/>
    <w:rsid w:val="00A56EF6"/>
    <w:rsid w:val="00A57303"/>
    <w:rsid w:val="00A576D5"/>
    <w:rsid w:val="00A57AB8"/>
    <w:rsid w:val="00A57F04"/>
    <w:rsid w:val="00A57F4B"/>
    <w:rsid w:val="00A600D7"/>
    <w:rsid w:val="00A6025E"/>
    <w:rsid w:val="00A60449"/>
    <w:rsid w:val="00A60704"/>
    <w:rsid w:val="00A60846"/>
    <w:rsid w:val="00A611EC"/>
    <w:rsid w:val="00A6154E"/>
    <w:rsid w:val="00A6183C"/>
    <w:rsid w:val="00A61C6B"/>
    <w:rsid w:val="00A61D58"/>
    <w:rsid w:val="00A61D59"/>
    <w:rsid w:val="00A6296F"/>
    <w:rsid w:val="00A63054"/>
    <w:rsid w:val="00A630C3"/>
    <w:rsid w:val="00A636DD"/>
    <w:rsid w:val="00A6381C"/>
    <w:rsid w:val="00A6385F"/>
    <w:rsid w:val="00A63C63"/>
    <w:rsid w:val="00A63D8D"/>
    <w:rsid w:val="00A640EF"/>
    <w:rsid w:val="00A64413"/>
    <w:rsid w:val="00A64D38"/>
    <w:rsid w:val="00A64F21"/>
    <w:rsid w:val="00A6540C"/>
    <w:rsid w:val="00A6549C"/>
    <w:rsid w:val="00A6551A"/>
    <w:rsid w:val="00A657D7"/>
    <w:rsid w:val="00A65AB7"/>
    <w:rsid w:val="00A65F43"/>
    <w:rsid w:val="00A67A17"/>
    <w:rsid w:val="00A67EC9"/>
    <w:rsid w:val="00A701BF"/>
    <w:rsid w:val="00A70209"/>
    <w:rsid w:val="00A7021C"/>
    <w:rsid w:val="00A702B5"/>
    <w:rsid w:val="00A7045E"/>
    <w:rsid w:val="00A70530"/>
    <w:rsid w:val="00A70D4A"/>
    <w:rsid w:val="00A70E7D"/>
    <w:rsid w:val="00A70F1C"/>
    <w:rsid w:val="00A70F99"/>
    <w:rsid w:val="00A70FA8"/>
    <w:rsid w:val="00A71442"/>
    <w:rsid w:val="00A714BB"/>
    <w:rsid w:val="00A714EB"/>
    <w:rsid w:val="00A716BE"/>
    <w:rsid w:val="00A71703"/>
    <w:rsid w:val="00A717DF"/>
    <w:rsid w:val="00A71B48"/>
    <w:rsid w:val="00A71D5E"/>
    <w:rsid w:val="00A72220"/>
    <w:rsid w:val="00A7228E"/>
    <w:rsid w:val="00A72F25"/>
    <w:rsid w:val="00A73404"/>
    <w:rsid w:val="00A73449"/>
    <w:rsid w:val="00A7355A"/>
    <w:rsid w:val="00A748C1"/>
    <w:rsid w:val="00A74A2F"/>
    <w:rsid w:val="00A74A58"/>
    <w:rsid w:val="00A74A77"/>
    <w:rsid w:val="00A754D5"/>
    <w:rsid w:val="00A7587B"/>
    <w:rsid w:val="00A75A02"/>
    <w:rsid w:val="00A75B97"/>
    <w:rsid w:val="00A75CE9"/>
    <w:rsid w:val="00A76C1C"/>
    <w:rsid w:val="00A76C6D"/>
    <w:rsid w:val="00A76E33"/>
    <w:rsid w:val="00A7743F"/>
    <w:rsid w:val="00A77447"/>
    <w:rsid w:val="00A8069A"/>
    <w:rsid w:val="00A807B7"/>
    <w:rsid w:val="00A80F0D"/>
    <w:rsid w:val="00A80FBF"/>
    <w:rsid w:val="00A818BB"/>
    <w:rsid w:val="00A81B8C"/>
    <w:rsid w:val="00A81D5A"/>
    <w:rsid w:val="00A81FFF"/>
    <w:rsid w:val="00A820E3"/>
    <w:rsid w:val="00A8218C"/>
    <w:rsid w:val="00A824FD"/>
    <w:rsid w:val="00A8254C"/>
    <w:rsid w:val="00A829D3"/>
    <w:rsid w:val="00A829D9"/>
    <w:rsid w:val="00A82CAE"/>
    <w:rsid w:val="00A82CB7"/>
    <w:rsid w:val="00A82CF9"/>
    <w:rsid w:val="00A82EF8"/>
    <w:rsid w:val="00A83625"/>
    <w:rsid w:val="00A83C24"/>
    <w:rsid w:val="00A83FB9"/>
    <w:rsid w:val="00A8406A"/>
    <w:rsid w:val="00A84366"/>
    <w:rsid w:val="00A84C52"/>
    <w:rsid w:val="00A84CD9"/>
    <w:rsid w:val="00A8526D"/>
    <w:rsid w:val="00A853DD"/>
    <w:rsid w:val="00A860BB"/>
    <w:rsid w:val="00A860E3"/>
    <w:rsid w:val="00A86400"/>
    <w:rsid w:val="00A86450"/>
    <w:rsid w:val="00A865E1"/>
    <w:rsid w:val="00A873B3"/>
    <w:rsid w:val="00A87704"/>
    <w:rsid w:val="00A8776D"/>
    <w:rsid w:val="00A878D6"/>
    <w:rsid w:val="00A87AA2"/>
    <w:rsid w:val="00A901EB"/>
    <w:rsid w:val="00A903DA"/>
    <w:rsid w:val="00A908A9"/>
    <w:rsid w:val="00A91DB4"/>
    <w:rsid w:val="00A91DEE"/>
    <w:rsid w:val="00A921D3"/>
    <w:rsid w:val="00A92B74"/>
    <w:rsid w:val="00A92D42"/>
    <w:rsid w:val="00A92E2D"/>
    <w:rsid w:val="00A9310C"/>
    <w:rsid w:val="00A9331A"/>
    <w:rsid w:val="00A939D7"/>
    <w:rsid w:val="00A940FB"/>
    <w:rsid w:val="00A9429A"/>
    <w:rsid w:val="00A946E6"/>
    <w:rsid w:val="00A94E53"/>
    <w:rsid w:val="00A94FC3"/>
    <w:rsid w:val="00A95211"/>
    <w:rsid w:val="00A95652"/>
    <w:rsid w:val="00A95C98"/>
    <w:rsid w:val="00A95DA7"/>
    <w:rsid w:val="00A962A6"/>
    <w:rsid w:val="00A963E8"/>
    <w:rsid w:val="00A9643D"/>
    <w:rsid w:val="00A96E49"/>
    <w:rsid w:val="00A97273"/>
    <w:rsid w:val="00A974E0"/>
    <w:rsid w:val="00A9768F"/>
    <w:rsid w:val="00A97B37"/>
    <w:rsid w:val="00A97DE6"/>
    <w:rsid w:val="00AA001D"/>
    <w:rsid w:val="00AA02D0"/>
    <w:rsid w:val="00AA0A05"/>
    <w:rsid w:val="00AA0ED1"/>
    <w:rsid w:val="00AA1472"/>
    <w:rsid w:val="00AA1999"/>
    <w:rsid w:val="00AA1BC8"/>
    <w:rsid w:val="00AA22DB"/>
    <w:rsid w:val="00AA2612"/>
    <w:rsid w:val="00AA3222"/>
    <w:rsid w:val="00AA3A7F"/>
    <w:rsid w:val="00AA3AB3"/>
    <w:rsid w:val="00AA3BD6"/>
    <w:rsid w:val="00AA3E13"/>
    <w:rsid w:val="00AA41A8"/>
    <w:rsid w:val="00AA43D2"/>
    <w:rsid w:val="00AA47FF"/>
    <w:rsid w:val="00AA4DC4"/>
    <w:rsid w:val="00AA52AE"/>
    <w:rsid w:val="00AA5842"/>
    <w:rsid w:val="00AA592C"/>
    <w:rsid w:val="00AA5A3C"/>
    <w:rsid w:val="00AA623D"/>
    <w:rsid w:val="00AA6A71"/>
    <w:rsid w:val="00AA717F"/>
    <w:rsid w:val="00AA72B3"/>
    <w:rsid w:val="00AA76F7"/>
    <w:rsid w:val="00AA76FA"/>
    <w:rsid w:val="00AA7840"/>
    <w:rsid w:val="00AA79F6"/>
    <w:rsid w:val="00AA7AC0"/>
    <w:rsid w:val="00AA7E11"/>
    <w:rsid w:val="00AB021B"/>
    <w:rsid w:val="00AB02A4"/>
    <w:rsid w:val="00AB04A4"/>
    <w:rsid w:val="00AB206E"/>
    <w:rsid w:val="00AB2235"/>
    <w:rsid w:val="00AB2BDC"/>
    <w:rsid w:val="00AB3054"/>
    <w:rsid w:val="00AB31D7"/>
    <w:rsid w:val="00AB4160"/>
    <w:rsid w:val="00AB47EB"/>
    <w:rsid w:val="00AB4B53"/>
    <w:rsid w:val="00AB5545"/>
    <w:rsid w:val="00AB5550"/>
    <w:rsid w:val="00AB563F"/>
    <w:rsid w:val="00AB6388"/>
    <w:rsid w:val="00AB67A7"/>
    <w:rsid w:val="00AB6848"/>
    <w:rsid w:val="00AB695A"/>
    <w:rsid w:val="00AB6B10"/>
    <w:rsid w:val="00AB6DD4"/>
    <w:rsid w:val="00AB6F29"/>
    <w:rsid w:val="00AB6FD5"/>
    <w:rsid w:val="00AB7143"/>
    <w:rsid w:val="00AB7FD0"/>
    <w:rsid w:val="00AC0325"/>
    <w:rsid w:val="00AC0485"/>
    <w:rsid w:val="00AC07C3"/>
    <w:rsid w:val="00AC07C9"/>
    <w:rsid w:val="00AC08FD"/>
    <w:rsid w:val="00AC1CBD"/>
    <w:rsid w:val="00AC1D62"/>
    <w:rsid w:val="00AC2B50"/>
    <w:rsid w:val="00AC2BA1"/>
    <w:rsid w:val="00AC3158"/>
    <w:rsid w:val="00AC3310"/>
    <w:rsid w:val="00AC3A37"/>
    <w:rsid w:val="00AC3DEC"/>
    <w:rsid w:val="00AC41A7"/>
    <w:rsid w:val="00AC44CD"/>
    <w:rsid w:val="00AC47FC"/>
    <w:rsid w:val="00AC4AFE"/>
    <w:rsid w:val="00AC4E5B"/>
    <w:rsid w:val="00AC50AC"/>
    <w:rsid w:val="00AC526D"/>
    <w:rsid w:val="00AC550F"/>
    <w:rsid w:val="00AC6075"/>
    <w:rsid w:val="00AC6127"/>
    <w:rsid w:val="00AC61A4"/>
    <w:rsid w:val="00AC6659"/>
    <w:rsid w:val="00AC672D"/>
    <w:rsid w:val="00AC6CD4"/>
    <w:rsid w:val="00AC71C9"/>
    <w:rsid w:val="00AC7AFF"/>
    <w:rsid w:val="00AD009F"/>
    <w:rsid w:val="00AD08D5"/>
    <w:rsid w:val="00AD14E9"/>
    <w:rsid w:val="00AD16B7"/>
    <w:rsid w:val="00AD1E6A"/>
    <w:rsid w:val="00AD2724"/>
    <w:rsid w:val="00AD35C4"/>
    <w:rsid w:val="00AD3986"/>
    <w:rsid w:val="00AD3BF3"/>
    <w:rsid w:val="00AD49F6"/>
    <w:rsid w:val="00AD4B35"/>
    <w:rsid w:val="00AD507E"/>
    <w:rsid w:val="00AD5D7A"/>
    <w:rsid w:val="00AD61A7"/>
    <w:rsid w:val="00AD6A66"/>
    <w:rsid w:val="00AD6B1F"/>
    <w:rsid w:val="00AD7A25"/>
    <w:rsid w:val="00AE096B"/>
    <w:rsid w:val="00AE0BAA"/>
    <w:rsid w:val="00AE0EEF"/>
    <w:rsid w:val="00AE14BF"/>
    <w:rsid w:val="00AE184E"/>
    <w:rsid w:val="00AE1B74"/>
    <w:rsid w:val="00AE1C24"/>
    <w:rsid w:val="00AE20DD"/>
    <w:rsid w:val="00AE2FF5"/>
    <w:rsid w:val="00AE34C9"/>
    <w:rsid w:val="00AE3721"/>
    <w:rsid w:val="00AE390C"/>
    <w:rsid w:val="00AE3B6E"/>
    <w:rsid w:val="00AE3D01"/>
    <w:rsid w:val="00AE3D9E"/>
    <w:rsid w:val="00AE4137"/>
    <w:rsid w:val="00AE41BC"/>
    <w:rsid w:val="00AE428C"/>
    <w:rsid w:val="00AE4C8F"/>
    <w:rsid w:val="00AE50F1"/>
    <w:rsid w:val="00AE5291"/>
    <w:rsid w:val="00AE5421"/>
    <w:rsid w:val="00AE559D"/>
    <w:rsid w:val="00AE5784"/>
    <w:rsid w:val="00AE5B01"/>
    <w:rsid w:val="00AE5C3E"/>
    <w:rsid w:val="00AE5CBF"/>
    <w:rsid w:val="00AE5D5B"/>
    <w:rsid w:val="00AE5EF2"/>
    <w:rsid w:val="00AE5FE9"/>
    <w:rsid w:val="00AE6380"/>
    <w:rsid w:val="00AE64F7"/>
    <w:rsid w:val="00AE7036"/>
    <w:rsid w:val="00AE74CD"/>
    <w:rsid w:val="00AE7B9A"/>
    <w:rsid w:val="00AE7BDD"/>
    <w:rsid w:val="00AE7C99"/>
    <w:rsid w:val="00AE7E63"/>
    <w:rsid w:val="00AF0851"/>
    <w:rsid w:val="00AF18A3"/>
    <w:rsid w:val="00AF1CA0"/>
    <w:rsid w:val="00AF1D0D"/>
    <w:rsid w:val="00AF23F7"/>
    <w:rsid w:val="00AF2AA3"/>
    <w:rsid w:val="00AF2CAA"/>
    <w:rsid w:val="00AF33B8"/>
    <w:rsid w:val="00AF36A9"/>
    <w:rsid w:val="00AF3F8B"/>
    <w:rsid w:val="00AF411B"/>
    <w:rsid w:val="00AF45F9"/>
    <w:rsid w:val="00AF49D5"/>
    <w:rsid w:val="00AF6170"/>
    <w:rsid w:val="00AF61BC"/>
    <w:rsid w:val="00AF61D6"/>
    <w:rsid w:val="00AF6222"/>
    <w:rsid w:val="00AF6673"/>
    <w:rsid w:val="00AF6BDC"/>
    <w:rsid w:val="00AF6FF7"/>
    <w:rsid w:val="00AF75E9"/>
    <w:rsid w:val="00AF7BDC"/>
    <w:rsid w:val="00AF7CC3"/>
    <w:rsid w:val="00AF7CEB"/>
    <w:rsid w:val="00B002FB"/>
    <w:rsid w:val="00B006AE"/>
    <w:rsid w:val="00B00742"/>
    <w:rsid w:val="00B01060"/>
    <w:rsid w:val="00B011D2"/>
    <w:rsid w:val="00B0141C"/>
    <w:rsid w:val="00B01470"/>
    <w:rsid w:val="00B01D13"/>
    <w:rsid w:val="00B01F26"/>
    <w:rsid w:val="00B0235E"/>
    <w:rsid w:val="00B02426"/>
    <w:rsid w:val="00B03220"/>
    <w:rsid w:val="00B03735"/>
    <w:rsid w:val="00B03E01"/>
    <w:rsid w:val="00B042DE"/>
    <w:rsid w:val="00B04CE0"/>
    <w:rsid w:val="00B04E60"/>
    <w:rsid w:val="00B04EFF"/>
    <w:rsid w:val="00B05451"/>
    <w:rsid w:val="00B05766"/>
    <w:rsid w:val="00B058DB"/>
    <w:rsid w:val="00B059B4"/>
    <w:rsid w:val="00B05E6B"/>
    <w:rsid w:val="00B062B6"/>
    <w:rsid w:val="00B068B2"/>
    <w:rsid w:val="00B06CF6"/>
    <w:rsid w:val="00B07384"/>
    <w:rsid w:val="00B074C1"/>
    <w:rsid w:val="00B10091"/>
    <w:rsid w:val="00B100B5"/>
    <w:rsid w:val="00B103D0"/>
    <w:rsid w:val="00B1044E"/>
    <w:rsid w:val="00B1057D"/>
    <w:rsid w:val="00B10619"/>
    <w:rsid w:val="00B1062F"/>
    <w:rsid w:val="00B106B9"/>
    <w:rsid w:val="00B11578"/>
    <w:rsid w:val="00B11AB3"/>
    <w:rsid w:val="00B11CC1"/>
    <w:rsid w:val="00B11FB2"/>
    <w:rsid w:val="00B12769"/>
    <w:rsid w:val="00B13077"/>
    <w:rsid w:val="00B140EC"/>
    <w:rsid w:val="00B1446B"/>
    <w:rsid w:val="00B14784"/>
    <w:rsid w:val="00B14C93"/>
    <w:rsid w:val="00B1533B"/>
    <w:rsid w:val="00B154A5"/>
    <w:rsid w:val="00B154EC"/>
    <w:rsid w:val="00B158E1"/>
    <w:rsid w:val="00B15E10"/>
    <w:rsid w:val="00B16A3D"/>
    <w:rsid w:val="00B16CF1"/>
    <w:rsid w:val="00B1713A"/>
    <w:rsid w:val="00B17350"/>
    <w:rsid w:val="00B17AAF"/>
    <w:rsid w:val="00B17D87"/>
    <w:rsid w:val="00B17E51"/>
    <w:rsid w:val="00B203E6"/>
    <w:rsid w:val="00B20F88"/>
    <w:rsid w:val="00B21998"/>
    <w:rsid w:val="00B21E29"/>
    <w:rsid w:val="00B22256"/>
    <w:rsid w:val="00B22C8C"/>
    <w:rsid w:val="00B22FF6"/>
    <w:rsid w:val="00B2324E"/>
    <w:rsid w:val="00B23284"/>
    <w:rsid w:val="00B24CD1"/>
    <w:rsid w:val="00B24EC7"/>
    <w:rsid w:val="00B24F8F"/>
    <w:rsid w:val="00B259A9"/>
    <w:rsid w:val="00B263B0"/>
    <w:rsid w:val="00B267A1"/>
    <w:rsid w:val="00B26A46"/>
    <w:rsid w:val="00B27885"/>
    <w:rsid w:val="00B27A33"/>
    <w:rsid w:val="00B30304"/>
    <w:rsid w:val="00B30A36"/>
    <w:rsid w:val="00B30BAD"/>
    <w:rsid w:val="00B310C7"/>
    <w:rsid w:val="00B3132E"/>
    <w:rsid w:val="00B3139A"/>
    <w:rsid w:val="00B313E1"/>
    <w:rsid w:val="00B314C4"/>
    <w:rsid w:val="00B31537"/>
    <w:rsid w:val="00B31A1F"/>
    <w:rsid w:val="00B31FFF"/>
    <w:rsid w:val="00B32795"/>
    <w:rsid w:val="00B332A7"/>
    <w:rsid w:val="00B335EF"/>
    <w:rsid w:val="00B338CA"/>
    <w:rsid w:val="00B3395F"/>
    <w:rsid w:val="00B33AB7"/>
    <w:rsid w:val="00B33D04"/>
    <w:rsid w:val="00B34587"/>
    <w:rsid w:val="00B3469E"/>
    <w:rsid w:val="00B34CE6"/>
    <w:rsid w:val="00B35064"/>
    <w:rsid w:val="00B35112"/>
    <w:rsid w:val="00B3529B"/>
    <w:rsid w:val="00B35612"/>
    <w:rsid w:val="00B35E9B"/>
    <w:rsid w:val="00B35F92"/>
    <w:rsid w:val="00B3601A"/>
    <w:rsid w:val="00B364B8"/>
    <w:rsid w:val="00B3661F"/>
    <w:rsid w:val="00B36C77"/>
    <w:rsid w:val="00B3739B"/>
    <w:rsid w:val="00B3773F"/>
    <w:rsid w:val="00B37EB0"/>
    <w:rsid w:val="00B37F64"/>
    <w:rsid w:val="00B40133"/>
    <w:rsid w:val="00B40739"/>
    <w:rsid w:val="00B4095A"/>
    <w:rsid w:val="00B40B3D"/>
    <w:rsid w:val="00B410AD"/>
    <w:rsid w:val="00B41AAD"/>
    <w:rsid w:val="00B421FD"/>
    <w:rsid w:val="00B42447"/>
    <w:rsid w:val="00B426AD"/>
    <w:rsid w:val="00B42B12"/>
    <w:rsid w:val="00B42C17"/>
    <w:rsid w:val="00B43247"/>
    <w:rsid w:val="00B433FA"/>
    <w:rsid w:val="00B445E1"/>
    <w:rsid w:val="00B45574"/>
    <w:rsid w:val="00B4571D"/>
    <w:rsid w:val="00B45AF4"/>
    <w:rsid w:val="00B45C30"/>
    <w:rsid w:val="00B461B3"/>
    <w:rsid w:val="00B461C2"/>
    <w:rsid w:val="00B46C8C"/>
    <w:rsid w:val="00B476CC"/>
    <w:rsid w:val="00B47B35"/>
    <w:rsid w:val="00B506C6"/>
    <w:rsid w:val="00B50915"/>
    <w:rsid w:val="00B50CDF"/>
    <w:rsid w:val="00B50D97"/>
    <w:rsid w:val="00B5141A"/>
    <w:rsid w:val="00B51982"/>
    <w:rsid w:val="00B51AFE"/>
    <w:rsid w:val="00B51D52"/>
    <w:rsid w:val="00B51FA9"/>
    <w:rsid w:val="00B51FB7"/>
    <w:rsid w:val="00B5289D"/>
    <w:rsid w:val="00B52921"/>
    <w:rsid w:val="00B52CA3"/>
    <w:rsid w:val="00B52D4B"/>
    <w:rsid w:val="00B52F3B"/>
    <w:rsid w:val="00B5339E"/>
    <w:rsid w:val="00B535DE"/>
    <w:rsid w:val="00B539B1"/>
    <w:rsid w:val="00B53B47"/>
    <w:rsid w:val="00B54595"/>
    <w:rsid w:val="00B54619"/>
    <w:rsid w:val="00B5499B"/>
    <w:rsid w:val="00B54AA7"/>
    <w:rsid w:val="00B54ACE"/>
    <w:rsid w:val="00B54DE8"/>
    <w:rsid w:val="00B54F9D"/>
    <w:rsid w:val="00B5509B"/>
    <w:rsid w:val="00B5514C"/>
    <w:rsid w:val="00B553D9"/>
    <w:rsid w:val="00B55867"/>
    <w:rsid w:val="00B55A3D"/>
    <w:rsid w:val="00B55CC5"/>
    <w:rsid w:val="00B5604F"/>
    <w:rsid w:val="00B564A6"/>
    <w:rsid w:val="00B574E3"/>
    <w:rsid w:val="00B57869"/>
    <w:rsid w:val="00B578E2"/>
    <w:rsid w:val="00B60396"/>
    <w:rsid w:val="00B604B6"/>
    <w:rsid w:val="00B605DB"/>
    <w:rsid w:val="00B60D69"/>
    <w:rsid w:val="00B61394"/>
    <w:rsid w:val="00B61A37"/>
    <w:rsid w:val="00B61BEE"/>
    <w:rsid w:val="00B62082"/>
    <w:rsid w:val="00B620A3"/>
    <w:rsid w:val="00B62F92"/>
    <w:rsid w:val="00B63197"/>
    <w:rsid w:val="00B632CA"/>
    <w:rsid w:val="00B63431"/>
    <w:rsid w:val="00B6387B"/>
    <w:rsid w:val="00B640FB"/>
    <w:rsid w:val="00B64205"/>
    <w:rsid w:val="00B643D2"/>
    <w:rsid w:val="00B64902"/>
    <w:rsid w:val="00B649B7"/>
    <w:rsid w:val="00B64C90"/>
    <w:rsid w:val="00B6518A"/>
    <w:rsid w:val="00B652EF"/>
    <w:rsid w:val="00B653EA"/>
    <w:rsid w:val="00B65450"/>
    <w:rsid w:val="00B6550A"/>
    <w:rsid w:val="00B6589D"/>
    <w:rsid w:val="00B6648C"/>
    <w:rsid w:val="00B6659E"/>
    <w:rsid w:val="00B66C01"/>
    <w:rsid w:val="00B66CCF"/>
    <w:rsid w:val="00B66EDE"/>
    <w:rsid w:val="00B66F7E"/>
    <w:rsid w:val="00B67C9B"/>
    <w:rsid w:val="00B700D1"/>
    <w:rsid w:val="00B707A9"/>
    <w:rsid w:val="00B70C3E"/>
    <w:rsid w:val="00B7102D"/>
    <w:rsid w:val="00B7110A"/>
    <w:rsid w:val="00B711E6"/>
    <w:rsid w:val="00B712B1"/>
    <w:rsid w:val="00B71772"/>
    <w:rsid w:val="00B717EA"/>
    <w:rsid w:val="00B7191A"/>
    <w:rsid w:val="00B71A45"/>
    <w:rsid w:val="00B71E0B"/>
    <w:rsid w:val="00B72739"/>
    <w:rsid w:val="00B73053"/>
    <w:rsid w:val="00B731BD"/>
    <w:rsid w:val="00B73234"/>
    <w:rsid w:val="00B7329A"/>
    <w:rsid w:val="00B7350D"/>
    <w:rsid w:val="00B7360B"/>
    <w:rsid w:val="00B73899"/>
    <w:rsid w:val="00B7407B"/>
    <w:rsid w:val="00B7421F"/>
    <w:rsid w:val="00B742B5"/>
    <w:rsid w:val="00B74310"/>
    <w:rsid w:val="00B74356"/>
    <w:rsid w:val="00B7472E"/>
    <w:rsid w:val="00B74C94"/>
    <w:rsid w:val="00B755E3"/>
    <w:rsid w:val="00B7569A"/>
    <w:rsid w:val="00B756E5"/>
    <w:rsid w:val="00B7608D"/>
    <w:rsid w:val="00B76E1D"/>
    <w:rsid w:val="00B76FDC"/>
    <w:rsid w:val="00B8070C"/>
    <w:rsid w:val="00B80B33"/>
    <w:rsid w:val="00B80B7B"/>
    <w:rsid w:val="00B80CC7"/>
    <w:rsid w:val="00B80CE2"/>
    <w:rsid w:val="00B80E90"/>
    <w:rsid w:val="00B8138F"/>
    <w:rsid w:val="00B814CA"/>
    <w:rsid w:val="00B819D3"/>
    <w:rsid w:val="00B81A8A"/>
    <w:rsid w:val="00B81C0F"/>
    <w:rsid w:val="00B81D7A"/>
    <w:rsid w:val="00B81E19"/>
    <w:rsid w:val="00B82383"/>
    <w:rsid w:val="00B823D8"/>
    <w:rsid w:val="00B83529"/>
    <w:rsid w:val="00B83667"/>
    <w:rsid w:val="00B83B9E"/>
    <w:rsid w:val="00B83C27"/>
    <w:rsid w:val="00B84890"/>
    <w:rsid w:val="00B8517A"/>
    <w:rsid w:val="00B8524B"/>
    <w:rsid w:val="00B85718"/>
    <w:rsid w:val="00B8675F"/>
    <w:rsid w:val="00B86762"/>
    <w:rsid w:val="00B86817"/>
    <w:rsid w:val="00B869C4"/>
    <w:rsid w:val="00B86B83"/>
    <w:rsid w:val="00B86E39"/>
    <w:rsid w:val="00B8721D"/>
    <w:rsid w:val="00B872A9"/>
    <w:rsid w:val="00B876AB"/>
    <w:rsid w:val="00B87B64"/>
    <w:rsid w:val="00B87D3A"/>
    <w:rsid w:val="00B90072"/>
    <w:rsid w:val="00B9095E"/>
    <w:rsid w:val="00B90C07"/>
    <w:rsid w:val="00B90C67"/>
    <w:rsid w:val="00B90FA8"/>
    <w:rsid w:val="00B91297"/>
    <w:rsid w:val="00B91998"/>
    <w:rsid w:val="00B91A11"/>
    <w:rsid w:val="00B91BF8"/>
    <w:rsid w:val="00B91E8B"/>
    <w:rsid w:val="00B92124"/>
    <w:rsid w:val="00B9216C"/>
    <w:rsid w:val="00B9293D"/>
    <w:rsid w:val="00B92A95"/>
    <w:rsid w:val="00B92DB2"/>
    <w:rsid w:val="00B92FD6"/>
    <w:rsid w:val="00B92FEE"/>
    <w:rsid w:val="00B93210"/>
    <w:rsid w:val="00B935D6"/>
    <w:rsid w:val="00B93DE2"/>
    <w:rsid w:val="00B94286"/>
    <w:rsid w:val="00B94A21"/>
    <w:rsid w:val="00B94C3C"/>
    <w:rsid w:val="00B95565"/>
    <w:rsid w:val="00B95849"/>
    <w:rsid w:val="00B95928"/>
    <w:rsid w:val="00B95938"/>
    <w:rsid w:val="00B962A9"/>
    <w:rsid w:val="00B96B83"/>
    <w:rsid w:val="00B96E53"/>
    <w:rsid w:val="00B96F4A"/>
    <w:rsid w:val="00B970E7"/>
    <w:rsid w:val="00B97559"/>
    <w:rsid w:val="00BA018A"/>
    <w:rsid w:val="00BA094A"/>
    <w:rsid w:val="00BA0C1C"/>
    <w:rsid w:val="00BA0D4B"/>
    <w:rsid w:val="00BA0F2E"/>
    <w:rsid w:val="00BA11CD"/>
    <w:rsid w:val="00BA142B"/>
    <w:rsid w:val="00BA155E"/>
    <w:rsid w:val="00BA1586"/>
    <w:rsid w:val="00BA28CE"/>
    <w:rsid w:val="00BA2B42"/>
    <w:rsid w:val="00BA2BEE"/>
    <w:rsid w:val="00BA2C19"/>
    <w:rsid w:val="00BA32FD"/>
    <w:rsid w:val="00BA3336"/>
    <w:rsid w:val="00BA345B"/>
    <w:rsid w:val="00BA3F12"/>
    <w:rsid w:val="00BA417F"/>
    <w:rsid w:val="00BA4236"/>
    <w:rsid w:val="00BA483C"/>
    <w:rsid w:val="00BA4919"/>
    <w:rsid w:val="00BA4A1F"/>
    <w:rsid w:val="00BA4E99"/>
    <w:rsid w:val="00BA513B"/>
    <w:rsid w:val="00BA5312"/>
    <w:rsid w:val="00BA53A5"/>
    <w:rsid w:val="00BA55F2"/>
    <w:rsid w:val="00BA5A10"/>
    <w:rsid w:val="00BA6238"/>
    <w:rsid w:val="00BA649B"/>
    <w:rsid w:val="00BA65E9"/>
    <w:rsid w:val="00BA68B4"/>
    <w:rsid w:val="00BA6D93"/>
    <w:rsid w:val="00BA7121"/>
    <w:rsid w:val="00BA742B"/>
    <w:rsid w:val="00BA7463"/>
    <w:rsid w:val="00BA758F"/>
    <w:rsid w:val="00BA7974"/>
    <w:rsid w:val="00BA7A41"/>
    <w:rsid w:val="00BA7CEF"/>
    <w:rsid w:val="00BA7E5C"/>
    <w:rsid w:val="00BB0835"/>
    <w:rsid w:val="00BB0FFF"/>
    <w:rsid w:val="00BB121A"/>
    <w:rsid w:val="00BB1A3E"/>
    <w:rsid w:val="00BB2EA6"/>
    <w:rsid w:val="00BB2EDF"/>
    <w:rsid w:val="00BB3086"/>
    <w:rsid w:val="00BB35D2"/>
    <w:rsid w:val="00BB370F"/>
    <w:rsid w:val="00BB379F"/>
    <w:rsid w:val="00BB3CB4"/>
    <w:rsid w:val="00BB3CDE"/>
    <w:rsid w:val="00BB4155"/>
    <w:rsid w:val="00BB455E"/>
    <w:rsid w:val="00BB4794"/>
    <w:rsid w:val="00BB598E"/>
    <w:rsid w:val="00BB5BE7"/>
    <w:rsid w:val="00BB5C3D"/>
    <w:rsid w:val="00BB5C6F"/>
    <w:rsid w:val="00BB5D42"/>
    <w:rsid w:val="00BB5EEA"/>
    <w:rsid w:val="00BB60AB"/>
    <w:rsid w:val="00BB66BE"/>
    <w:rsid w:val="00BB66E7"/>
    <w:rsid w:val="00BB6A29"/>
    <w:rsid w:val="00BB764B"/>
    <w:rsid w:val="00BB7ADE"/>
    <w:rsid w:val="00BC0047"/>
    <w:rsid w:val="00BC00ED"/>
    <w:rsid w:val="00BC02B0"/>
    <w:rsid w:val="00BC0377"/>
    <w:rsid w:val="00BC0437"/>
    <w:rsid w:val="00BC0726"/>
    <w:rsid w:val="00BC0D28"/>
    <w:rsid w:val="00BC149B"/>
    <w:rsid w:val="00BC15F6"/>
    <w:rsid w:val="00BC18E9"/>
    <w:rsid w:val="00BC1C7D"/>
    <w:rsid w:val="00BC1CD6"/>
    <w:rsid w:val="00BC1FFE"/>
    <w:rsid w:val="00BC277F"/>
    <w:rsid w:val="00BC2D2D"/>
    <w:rsid w:val="00BC3031"/>
    <w:rsid w:val="00BC3416"/>
    <w:rsid w:val="00BC3418"/>
    <w:rsid w:val="00BC36D0"/>
    <w:rsid w:val="00BC38D1"/>
    <w:rsid w:val="00BC39B5"/>
    <w:rsid w:val="00BC3BA3"/>
    <w:rsid w:val="00BC3BCF"/>
    <w:rsid w:val="00BC46A7"/>
    <w:rsid w:val="00BC46DF"/>
    <w:rsid w:val="00BC4CDB"/>
    <w:rsid w:val="00BC554D"/>
    <w:rsid w:val="00BC55C8"/>
    <w:rsid w:val="00BC5B2C"/>
    <w:rsid w:val="00BC6278"/>
    <w:rsid w:val="00BC629E"/>
    <w:rsid w:val="00BC6F75"/>
    <w:rsid w:val="00BC71A8"/>
    <w:rsid w:val="00BC723C"/>
    <w:rsid w:val="00BC754D"/>
    <w:rsid w:val="00BC75C2"/>
    <w:rsid w:val="00BC7815"/>
    <w:rsid w:val="00BC7856"/>
    <w:rsid w:val="00BC7D10"/>
    <w:rsid w:val="00BC7FE4"/>
    <w:rsid w:val="00BD0835"/>
    <w:rsid w:val="00BD0AA2"/>
    <w:rsid w:val="00BD0AC5"/>
    <w:rsid w:val="00BD0B1E"/>
    <w:rsid w:val="00BD0CB4"/>
    <w:rsid w:val="00BD0E2F"/>
    <w:rsid w:val="00BD13A4"/>
    <w:rsid w:val="00BD1419"/>
    <w:rsid w:val="00BD1451"/>
    <w:rsid w:val="00BD1BC3"/>
    <w:rsid w:val="00BD1D8F"/>
    <w:rsid w:val="00BD1E1E"/>
    <w:rsid w:val="00BD24FA"/>
    <w:rsid w:val="00BD2945"/>
    <w:rsid w:val="00BD2BB6"/>
    <w:rsid w:val="00BD2CD8"/>
    <w:rsid w:val="00BD3196"/>
    <w:rsid w:val="00BD3242"/>
    <w:rsid w:val="00BD32FC"/>
    <w:rsid w:val="00BD333C"/>
    <w:rsid w:val="00BD3604"/>
    <w:rsid w:val="00BD3C03"/>
    <w:rsid w:val="00BD3C8C"/>
    <w:rsid w:val="00BD3D50"/>
    <w:rsid w:val="00BD3D7F"/>
    <w:rsid w:val="00BD3F2F"/>
    <w:rsid w:val="00BD42A6"/>
    <w:rsid w:val="00BD486D"/>
    <w:rsid w:val="00BD4C0A"/>
    <w:rsid w:val="00BD4FB2"/>
    <w:rsid w:val="00BD55CA"/>
    <w:rsid w:val="00BD57AF"/>
    <w:rsid w:val="00BD5FF9"/>
    <w:rsid w:val="00BD629B"/>
    <w:rsid w:val="00BD62DB"/>
    <w:rsid w:val="00BD6BE0"/>
    <w:rsid w:val="00BD6D57"/>
    <w:rsid w:val="00BD7126"/>
    <w:rsid w:val="00BD7277"/>
    <w:rsid w:val="00BD7826"/>
    <w:rsid w:val="00BE0355"/>
    <w:rsid w:val="00BE0A39"/>
    <w:rsid w:val="00BE0C0A"/>
    <w:rsid w:val="00BE1520"/>
    <w:rsid w:val="00BE1EEC"/>
    <w:rsid w:val="00BE2976"/>
    <w:rsid w:val="00BE2A0A"/>
    <w:rsid w:val="00BE3C26"/>
    <w:rsid w:val="00BE3EC8"/>
    <w:rsid w:val="00BE3ED0"/>
    <w:rsid w:val="00BE438D"/>
    <w:rsid w:val="00BE4BE9"/>
    <w:rsid w:val="00BE4C68"/>
    <w:rsid w:val="00BE4D3F"/>
    <w:rsid w:val="00BE556B"/>
    <w:rsid w:val="00BE575C"/>
    <w:rsid w:val="00BE5E90"/>
    <w:rsid w:val="00BE7031"/>
    <w:rsid w:val="00BE70BB"/>
    <w:rsid w:val="00BE789A"/>
    <w:rsid w:val="00BE7CFA"/>
    <w:rsid w:val="00BE7E42"/>
    <w:rsid w:val="00BF032C"/>
    <w:rsid w:val="00BF071E"/>
    <w:rsid w:val="00BF0757"/>
    <w:rsid w:val="00BF07F3"/>
    <w:rsid w:val="00BF09CF"/>
    <w:rsid w:val="00BF0A3F"/>
    <w:rsid w:val="00BF0DA5"/>
    <w:rsid w:val="00BF12EE"/>
    <w:rsid w:val="00BF1397"/>
    <w:rsid w:val="00BF1E33"/>
    <w:rsid w:val="00BF1E37"/>
    <w:rsid w:val="00BF1F61"/>
    <w:rsid w:val="00BF1FB9"/>
    <w:rsid w:val="00BF2080"/>
    <w:rsid w:val="00BF276D"/>
    <w:rsid w:val="00BF2A49"/>
    <w:rsid w:val="00BF3252"/>
    <w:rsid w:val="00BF37AE"/>
    <w:rsid w:val="00BF3929"/>
    <w:rsid w:val="00BF3D44"/>
    <w:rsid w:val="00BF3EF7"/>
    <w:rsid w:val="00BF4092"/>
    <w:rsid w:val="00BF412A"/>
    <w:rsid w:val="00BF413E"/>
    <w:rsid w:val="00BF4717"/>
    <w:rsid w:val="00BF47D8"/>
    <w:rsid w:val="00BF4A19"/>
    <w:rsid w:val="00BF5409"/>
    <w:rsid w:val="00BF5428"/>
    <w:rsid w:val="00BF5753"/>
    <w:rsid w:val="00BF59B1"/>
    <w:rsid w:val="00BF5A87"/>
    <w:rsid w:val="00BF5DAB"/>
    <w:rsid w:val="00BF624C"/>
    <w:rsid w:val="00BF66CE"/>
    <w:rsid w:val="00BF694C"/>
    <w:rsid w:val="00BF69F1"/>
    <w:rsid w:val="00BF6E96"/>
    <w:rsid w:val="00BF76B5"/>
    <w:rsid w:val="00BF7A84"/>
    <w:rsid w:val="00BF7AD9"/>
    <w:rsid w:val="00BF7B2C"/>
    <w:rsid w:val="00BF7B58"/>
    <w:rsid w:val="00BF7E37"/>
    <w:rsid w:val="00BF7E4E"/>
    <w:rsid w:val="00C0039F"/>
    <w:rsid w:val="00C003B5"/>
    <w:rsid w:val="00C009AB"/>
    <w:rsid w:val="00C00A17"/>
    <w:rsid w:val="00C00C36"/>
    <w:rsid w:val="00C012A7"/>
    <w:rsid w:val="00C0132F"/>
    <w:rsid w:val="00C018F0"/>
    <w:rsid w:val="00C01C2D"/>
    <w:rsid w:val="00C01C68"/>
    <w:rsid w:val="00C01EE5"/>
    <w:rsid w:val="00C02305"/>
    <w:rsid w:val="00C02893"/>
    <w:rsid w:val="00C02CE6"/>
    <w:rsid w:val="00C02FD1"/>
    <w:rsid w:val="00C0306E"/>
    <w:rsid w:val="00C03197"/>
    <w:rsid w:val="00C032AC"/>
    <w:rsid w:val="00C032C5"/>
    <w:rsid w:val="00C03578"/>
    <w:rsid w:val="00C0378F"/>
    <w:rsid w:val="00C03A67"/>
    <w:rsid w:val="00C03BC5"/>
    <w:rsid w:val="00C03BE6"/>
    <w:rsid w:val="00C040C5"/>
    <w:rsid w:val="00C04346"/>
    <w:rsid w:val="00C04787"/>
    <w:rsid w:val="00C0479C"/>
    <w:rsid w:val="00C04A14"/>
    <w:rsid w:val="00C0530D"/>
    <w:rsid w:val="00C054BC"/>
    <w:rsid w:val="00C05872"/>
    <w:rsid w:val="00C05BD1"/>
    <w:rsid w:val="00C07287"/>
    <w:rsid w:val="00C079F7"/>
    <w:rsid w:val="00C1008F"/>
    <w:rsid w:val="00C10B76"/>
    <w:rsid w:val="00C10BF7"/>
    <w:rsid w:val="00C10C94"/>
    <w:rsid w:val="00C110DB"/>
    <w:rsid w:val="00C11626"/>
    <w:rsid w:val="00C11A50"/>
    <w:rsid w:val="00C11A95"/>
    <w:rsid w:val="00C1226B"/>
    <w:rsid w:val="00C12926"/>
    <w:rsid w:val="00C13175"/>
    <w:rsid w:val="00C13799"/>
    <w:rsid w:val="00C1433A"/>
    <w:rsid w:val="00C14373"/>
    <w:rsid w:val="00C14912"/>
    <w:rsid w:val="00C14AAA"/>
    <w:rsid w:val="00C14AC8"/>
    <w:rsid w:val="00C15983"/>
    <w:rsid w:val="00C160D1"/>
    <w:rsid w:val="00C165D5"/>
    <w:rsid w:val="00C16713"/>
    <w:rsid w:val="00C169D2"/>
    <w:rsid w:val="00C16ADE"/>
    <w:rsid w:val="00C16B0E"/>
    <w:rsid w:val="00C16BB3"/>
    <w:rsid w:val="00C17099"/>
    <w:rsid w:val="00C1716D"/>
    <w:rsid w:val="00C172A4"/>
    <w:rsid w:val="00C176F2"/>
    <w:rsid w:val="00C17716"/>
    <w:rsid w:val="00C17D1A"/>
    <w:rsid w:val="00C17F3A"/>
    <w:rsid w:val="00C209BB"/>
    <w:rsid w:val="00C21506"/>
    <w:rsid w:val="00C21DFF"/>
    <w:rsid w:val="00C22BC5"/>
    <w:rsid w:val="00C23201"/>
    <w:rsid w:val="00C234E7"/>
    <w:rsid w:val="00C236E4"/>
    <w:rsid w:val="00C23730"/>
    <w:rsid w:val="00C23C11"/>
    <w:rsid w:val="00C23CF9"/>
    <w:rsid w:val="00C23F2C"/>
    <w:rsid w:val="00C24030"/>
    <w:rsid w:val="00C24089"/>
    <w:rsid w:val="00C24191"/>
    <w:rsid w:val="00C246CC"/>
    <w:rsid w:val="00C2478B"/>
    <w:rsid w:val="00C24BDF"/>
    <w:rsid w:val="00C24E4B"/>
    <w:rsid w:val="00C250DC"/>
    <w:rsid w:val="00C25208"/>
    <w:rsid w:val="00C25A8B"/>
    <w:rsid w:val="00C25EB2"/>
    <w:rsid w:val="00C25EEE"/>
    <w:rsid w:val="00C2663C"/>
    <w:rsid w:val="00C26A33"/>
    <w:rsid w:val="00C26FC3"/>
    <w:rsid w:val="00C27349"/>
    <w:rsid w:val="00C27900"/>
    <w:rsid w:val="00C27C97"/>
    <w:rsid w:val="00C27F53"/>
    <w:rsid w:val="00C3097A"/>
    <w:rsid w:val="00C30EDA"/>
    <w:rsid w:val="00C3100A"/>
    <w:rsid w:val="00C31035"/>
    <w:rsid w:val="00C3117D"/>
    <w:rsid w:val="00C31466"/>
    <w:rsid w:val="00C316A1"/>
    <w:rsid w:val="00C31891"/>
    <w:rsid w:val="00C318A0"/>
    <w:rsid w:val="00C31A07"/>
    <w:rsid w:val="00C31A1B"/>
    <w:rsid w:val="00C31F02"/>
    <w:rsid w:val="00C31F37"/>
    <w:rsid w:val="00C3224E"/>
    <w:rsid w:val="00C32293"/>
    <w:rsid w:val="00C325CF"/>
    <w:rsid w:val="00C33CD5"/>
    <w:rsid w:val="00C34161"/>
    <w:rsid w:val="00C3445A"/>
    <w:rsid w:val="00C3453D"/>
    <w:rsid w:val="00C3494E"/>
    <w:rsid w:val="00C34B6F"/>
    <w:rsid w:val="00C35774"/>
    <w:rsid w:val="00C359A8"/>
    <w:rsid w:val="00C35B8A"/>
    <w:rsid w:val="00C35BEA"/>
    <w:rsid w:val="00C35F37"/>
    <w:rsid w:val="00C35F84"/>
    <w:rsid w:val="00C35FB7"/>
    <w:rsid w:val="00C36198"/>
    <w:rsid w:val="00C3620B"/>
    <w:rsid w:val="00C36431"/>
    <w:rsid w:val="00C364BA"/>
    <w:rsid w:val="00C36638"/>
    <w:rsid w:val="00C36BD1"/>
    <w:rsid w:val="00C36C54"/>
    <w:rsid w:val="00C376ED"/>
    <w:rsid w:val="00C37AD2"/>
    <w:rsid w:val="00C37F5F"/>
    <w:rsid w:val="00C37F92"/>
    <w:rsid w:val="00C40AAD"/>
    <w:rsid w:val="00C40B83"/>
    <w:rsid w:val="00C40D3E"/>
    <w:rsid w:val="00C40FAB"/>
    <w:rsid w:val="00C41231"/>
    <w:rsid w:val="00C41333"/>
    <w:rsid w:val="00C41485"/>
    <w:rsid w:val="00C414E6"/>
    <w:rsid w:val="00C41DB1"/>
    <w:rsid w:val="00C41F01"/>
    <w:rsid w:val="00C41F5E"/>
    <w:rsid w:val="00C42633"/>
    <w:rsid w:val="00C42858"/>
    <w:rsid w:val="00C42CD7"/>
    <w:rsid w:val="00C433DB"/>
    <w:rsid w:val="00C4375A"/>
    <w:rsid w:val="00C4392E"/>
    <w:rsid w:val="00C439D6"/>
    <w:rsid w:val="00C43A52"/>
    <w:rsid w:val="00C43ECC"/>
    <w:rsid w:val="00C43F43"/>
    <w:rsid w:val="00C440ED"/>
    <w:rsid w:val="00C444AE"/>
    <w:rsid w:val="00C44744"/>
    <w:rsid w:val="00C44823"/>
    <w:rsid w:val="00C44E7E"/>
    <w:rsid w:val="00C44FC0"/>
    <w:rsid w:val="00C4574D"/>
    <w:rsid w:val="00C45C3B"/>
    <w:rsid w:val="00C45DAB"/>
    <w:rsid w:val="00C45EB7"/>
    <w:rsid w:val="00C46514"/>
    <w:rsid w:val="00C4680F"/>
    <w:rsid w:val="00C46878"/>
    <w:rsid w:val="00C4752B"/>
    <w:rsid w:val="00C475AA"/>
    <w:rsid w:val="00C47761"/>
    <w:rsid w:val="00C47772"/>
    <w:rsid w:val="00C47944"/>
    <w:rsid w:val="00C47A3A"/>
    <w:rsid w:val="00C50308"/>
    <w:rsid w:val="00C5073D"/>
    <w:rsid w:val="00C50C71"/>
    <w:rsid w:val="00C50EAB"/>
    <w:rsid w:val="00C51296"/>
    <w:rsid w:val="00C513D8"/>
    <w:rsid w:val="00C523D8"/>
    <w:rsid w:val="00C52D18"/>
    <w:rsid w:val="00C53373"/>
    <w:rsid w:val="00C53439"/>
    <w:rsid w:val="00C5360B"/>
    <w:rsid w:val="00C53B98"/>
    <w:rsid w:val="00C53DFD"/>
    <w:rsid w:val="00C53E2A"/>
    <w:rsid w:val="00C541DC"/>
    <w:rsid w:val="00C54D83"/>
    <w:rsid w:val="00C54E20"/>
    <w:rsid w:val="00C556A3"/>
    <w:rsid w:val="00C55738"/>
    <w:rsid w:val="00C55CC2"/>
    <w:rsid w:val="00C56A15"/>
    <w:rsid w:val="00C56E74"/>
    <w:rsid w:val="00C571CF"/>
    <w:rsid w:val="00C572C9"/>
    <w:rsid w:val="00C6007D"/>
    <w:rsid w:val="00C608FC"/>
    <w:rsid w:val="00C60D1C"/>
    <w:rsid w:val="00C61151"/>
    <w:rsid w:val="00C612E8"/>
    <w:rsid w:val="00C6149F"/>
    <w:rsid w:val="00C61559"/>
    <w:rsid w:val="00C615B3"/>
    <w:rsid w:val="00C618D7"/>
    <w:rsid w:val="00C61A00"/>
    <w:rsid w:val="00C61D9B"/>
    <w:rsid w:val="00C61E54"/>
    <w:rsid w:val="00C61EAE"/>
    <w:rsid w:val="00C62AFF"/>
    <w:rsid w:val="00C63611"/>
    <w:rsid w:val="00C636A0"/>
    <w:rsid w:val="00C63AF4"/>
    <w:rsid w:val="00C63C48"/>
    <w:rsid w:val="00C63E3B"/>
    <w:rsid w:val="00C63E8D"/>
    <w:rsid w:val="00C64217"/>
    <w:rsid w:val="00C64534"/>
    <w:rsid w:val="00C6459D"/>
    <w:rsid w:val="00C64734"/>
    <w:rsid w:val="00C64AB8"/>
    <w:rsid w:val="00C64CA4"/>
    <w:rsid w:val="00C64FBC"/>
    <w:rsid w:val="00C65133"/>
    <w:rsid w:val="00C651CD"/>
    <w:rsid w:val="00C65238"/>
    <w:rsid w:val="00C65290"/>
    <w:rsid w:val="00C65578"/>
    <w:rsid w:val="00C65D07"/>
    <w:rsid w:val="00C65EF4"/>
    <w:rsid w:val="00C66574"/>
    <w:rsid w:val="00C665F7"/>
    <w:rsid w:val="00C66759"/>
    <w:rsid w:val="00C670A3"/>
    <w:rsid w:val="00C673C4"/>
    <w:rsid w:val="00C6767F"/>
    <w:rsid w:val="00C67C28"/>
    <w:rsid w:val="00C7026C"/>
    <w:rsid w:val="00C705FF"/>
    <w:rsid w:val="00C70784"/>
    <w:rsid w:val="00C70833"/>
    <w:rsid w:val="00C708A7"/>
    <w:rsid w:val="00C709B3"/>
    <w:rsid w:val="00C7184B"/>
    <w:rsid w:val="00C7199F"/>
    <w:rsid w:val="00C71FAB"/>
    <w:rsid w:val="00C72515"/>
    <w:rsid w:val="00C72D63"/>
    <w:rsid w:val="00C72E7C"/>
    <w:rsid w:val="00C73198"/>
    <w:rsid w:val="00C7340E"/>
    <w:rsid w:val="00C7343F"/>
    <w:rsid w:val="00C73451"/>
    <w:rsid w:val="00C73651"/>
    <w:rsid w:val="00C73986"/>
    <w:rsid w:val="00C73EEA"/>
    <w:rsid w:val="00C73F26"/>
    <w:rsid w:val="00C74326"/>
    <w:rsid w:val="00C74991"/>
    <w:rsid w:val="00C74ACB"/>
    <w:rsid w:val="00C74B77"/>
    <w:rsid w:val="00C74CE5"/>
    <w:rsid w:val="00C75525"/>
    <w:rsid w:val="00C75948"/>
    <w:rsid w:val="00C75A4F"/>
    <w:rsid w:val="00C75A61"/>
    <w:rsid w:val="00C75C52"/>
    <w:rsid w:val="00C75DC9"/>
    <w:rsid w:val="00C762A3"/>
    <w:rsid w:val="00C76486"/>
    <w:rsid w:val="00C76636"/>
    <w:rsid w:val="00C76A54"/>
    <w:rsid w:val="00C77984"/>
    <w:rsid w:val="00C77FBD"/>
    <w:rsid w:val="00C8009F"/>
    <w:rsid w:val="00C807D6"/>
    <w:rsid w:val="00C80A54"/>
    <w:rsid w:val="00C8144C"/>
    <w:rsid w:val="00C81696"/>
    <w:rsid w:val="00C81780"/>
    <w:rsid w:val="00C81991"/>
    <w:rsid w:val="00C81A09"/>
    <w:rsid w:val="00C81AD0"/>
    <w:rsid w:val="00C81E89"/>
    <w:rsid w:val="00C8357D"/>
    <w:rsid w:val="00C837CA"/>
    <w:rsid w:val="00C838DF"/>
    <w:rsid w:val="00C83902"/>
    <w:rsid w:val="00C83954"/>
    <w:rsid w:val="00C83AB4"/>
    <w:rsid w:val="00C841B2"/>
    <w:rsid w:val="00C8465F"/>
    <w:rsid w:val="00C85117"/>
    <w:rsid w:val="00C8536D"/>
    <w:rsid w:val="00C856A8"/>
    <w:rsid w:val="00C856F9"/>
    <w:rsid w:val="00C85706"/>
    <w:rsid w:val="00C86087"/>
    <w:rsid w:val="00C86318"/>
    <w:rsid w:val="00C864CB"/>
    <w:rsid w:val="00C86635"/>
    <w:rsid w:val="00C86642"/>
    <w:rsid w:val="00C866F9"/>
    <w:rsid w:val="00C867FF"/>
    <w:rsid w:val="00C86CB2"/>
    <w:rsid w:val="00C86FC6"/>
    <w:rsid w:val="00C87127"/>
    <w:rsid w:val="00C87630"/>
    <w:rsid w:val="00C878F8"/>
    <w:rsid w:val="00C87C94"/>
    <w:rsid w:val="00C87E39"/>
    <w:rsid w:val="00C87EE8"/>
    <w:rsid w:val="00C87F39"/>
    <w:rsid w:val="00C90551"/>
    <w:rsid w:val="00C90BE4"/>
    <w:rsid w:val="00C91133"/>
    <w:rsid w:val="00C9114F"/>
    <w:rsid w:val="00C91219"/>
    <w:rsid w:val="00C916FE"/>
    <w:rsid w:val="00C9187C"/>
    <w:rsid w:val="00C91A5F"/>
    <w:rsid w:val="00C92371"/>
    <w:rsid w:val="00C92666"/>
    <w:rsid w:val="00C92F50"/>
    <w:rsid w:val="00C93750"/>
    <w:rsid w:val="00C943DA"/>
    <w:rsid w:val="00C94539"/>
    <w:rsid w:val="00C945DF"/>
    <w:rsid w:val="00C94861"/>
    <w:rsid w:val="00C94FEF"/>
    <w:rsid w:val="00C95152"/>
    <w:rsid w:val="00C9549E"/>
    <w:rsid w:val="00C9597D"/>
    <w:rsid w:val="00C95AF7"/>
    <w:rsid w:val="00C96007"/>
    <w:rsid w:val="00C9646A"/>
    <w:rsid w:val="00C96FD2"/>
    <w:rsid w:val="00C977D1"/>
    <w:rsid w:val="00C97B8C"/>
    <w:rsid w:val="00C97C96"/>
    <w:rsid w:val="00C97D05"/>
    <w:rsid w:val="00C97D67"/>
    <w:rsid w:val="00C97FDD"/>
    <w:rsid w:val="00CA0085"/>
    <w:rsid w:val="00CA0B1C"/>
    <w:rsid w:val="00CA0B3B"/>
    <w:rsid w:val="00CA0F80"/>
    <w:rsid w:val="00CA0FB4"/>
    <w:rsid w:val="00CA127F"/>
    <w:rsid w:val="00CA14C9"/>
    <w:rsid w:val="00CA16D2"/>
    <w:rsid w:val="00CA1BD4"/>
    <w:rsid w:val="00CA1DFB"/>
    <w:rsid w:val="00CA205B"/>
    <w:rsid w:val="00CA22B6"/>
    <w:rsid w:val="00CA231E"/>
    <w:rsid w:val="00CA2A1C"/>
    <w:rsid w:val="00CA2CA7"/>
    <w:rsid w:val="00CA326A"/>
    <w:rsid w:val="00CA3275"/>
    <w:rsid w:val="00CA32A9"/>
    <w:rsid w:val="00CA34A7"/>
    <w:rsid w:val="00CA34E4"/>
    <w:rsid w:val="00CA371E"/>
    <w:rsid w:val="00CA37B2"/>
    <w:rsid w:val="00CA3B6A"/>
    <w:rsid w:val="00CA3D7C"/>
    <w:rsid w:val="00CA3F77"/>
    <w:rsid w:val="00CA43FA"/>
    <w:rsid w:val="00CA4CBD"/>
    <w:rsid w:val="00CA5A12"/>
    <w:rsid w:val="00CA5E3A"/>
    <w:rsid w:val="00CA5FB6"/>
    <w:rsid w:val="00CA6CE3"/>
    <w:rsid w:val="00CA6F37"/>
    <w:rsid w:val="00CA713A"/>
    <w:rsid w:val="00CA7374"/>
    <w:rsid w:val="00CA7635"/>
    <w:rsid w:val="00CA7694"/>
    <w:rsid w:val="00CA7775"/>
    <w:rsid w:val="00CA785D"/>
    <w:rsid w:val="00CA79AD"/>
    <w:rsid w:val="00CA7D07"/>
    <w:rsid w:val="00CA7DAE"/>
    <w:rsid w:val="00CA7FA9"/>
    <w:rsid w:val="00CB019F"/>
    <w:rsid w:val="00CB01DA"/>
    <w:rsid w:val="00CB04C9"/>
    <w:rsid w:val="00CB072E"/>
    <w:rsid w:val="00CB0961"/>
    <w:rsid w:val="00CB1288"/>
    <w:rsid w:val="00CB1A44"/>
    <w:rsid w:val="00CB1ACA"/>
    <w:rsid w:val="00CB1D2A"/>
    <w:rsid w:val="00CB1EED"/>
    <w:rsid w:val="00CB2164"/>
    <w:rsid w:val="00CB237F"/>
    <w:rsid w:val="00CB254B"/>
    <w:rsid w:val="00CB260C"/>
    <w:rsid w:val="00CB2747"/>
    <w:rsid w:val="00CB2862"/>
    <w:rsid w:val="00CB3A0D"/>
    <w:rsid w:val="00CB3AD7"/>
    <w:rsid w:val="00CB3C89"/>
    <w:rsid w:val="00CB3F65"/>
    <w:rsid w:val="00CB42BD"/>
    <w:rsid w:val="00CB4446"/>
    <w:rsid w:val="00CB4471"/>
    <w:rsid w:val="00CB4B2F"/>
    <w:rsid w:val="00CB4EBF"/>
    <w:rsid w:val="00CB5015"/>
    <w:rsid w:val="00CB6982"/>
    <w:rsid w:val="00CB6B72"/>
    <w:rsid w:val="00CB7A73"/>
    <w:rsid w:val="00CC11F9"/>
    <w:rsid w:val="00CC1379"/>
    <w:rsid w:val="00CC19AF"/>
    <w:rsid w:val="00CC1FA6"/>
    <w:rsid w:val="00CC2493"/>
    <w:rsid w:val="00CC24FA"/>
    <w:rsid w:val="00CC2609"/>
    <w:rsid w:val="00CC2989"/>
    <w:rsid w:val="00CC2FD5"/>
    <w:rsid w:val="00CC30D6"/>
    <w:rsid w:val="00CC3352"/>
    <w:rsid w:val="00CC33B8"/>
    <w:rsid w:val="00CC3BB5"/>
    <w:rsid w:val="00CC3CF1"/>
    <w:rsid w:val="00CC3D78"/>
    <w:rsid w:val="00CC42E1"/>
    <w:rsid w:val="00CC468A"/>
    <w:rsid w:val="00CC4CBB"/>
    <w:rsid w:val="00CC4E2B"/>
    <w:rsid w:val="00CC5048"/>
    <w:rsid w:val="00CC50ED"/>
    <w:rsid w:val="00CC51D6"/>
    <w:rsid w:val="00CC51F3"/>
    <w:rsid w:val="00CC530E"/>
    <w:rsid w:val="00CC554C"/>
    <w:rsid w:val="00CC571E"/>
    <w:rsid w:val="00CC5897"/>
    <w:rsid w:val="00CC5AC2"/>
    <w:rsid w:val="00CC5DE1"/>
    <w:rsid w:val="00CC66B5"/>
    <w:rsid w:val="00CC747D"/>
    <w:rsid w:val="00CC7A96"/>
    <w:rsid w:val="00CC7CCD"/>
    <w:rsid w:val="00CC7E1C"/>
    <w:rsid w:val="00CC7F57"/>
    <w:rsid w:val="00CD0029"/>
    <w:rsid w:val="00CD06E1"/>
    <w:rsid w:val="00CD074C"/>
    <w:rsid w:val="00CD07E9"/>
    <w:rsid w:val="00CD0B07"/>
    <w:rsid w:val="00CD0E15"/>
    <w:rsid w:val="00CD1270"/>
    <w:rsid w:val="00CD199E"/>
    <w:rsid w:val="00CD1A9B"/>
    <w:rsid w:val="00CD1B59"/>
    <w:rsid w:val="00CD1CF0"/>
    <w:rsid w:val="00CD21DD"/>
    <w:rsid w:val="00CD2353"/>
    <w:rsid w:val="00CD27A1"/>
    <w:rsid w:val="00CD299F"/>
    <w:rsid w:val="00CD2DF6"/>
    <w:rsid w:val="00CD3016"/>
    <w:rsid w:val="00CD3128"/>
    <w:rsid w:val="00CD317F"/>
    <w:rsid w:val="00CD376B"/>
    <w:rsid w:val="00CD3BB6"/>
    <w:rsid w:val="00CD3C0D"/>
    <w:rsid w:val="00CD3F2B"/>
    <w:rsid w:val="00CD4A97"/>
    <w:rsid w:val="00CD4AC3"/>
    <w:rsid w:val="00CD517B"/>
    <w:rsid w:val="00CD55E7"/>
    <w:rsid w:val="00CD5895"/>
    <w:rsid w:val="00CD59E1"/>
    <w:rsid w:val="00CD5AFF"/>
    <w:rsid w:val="00CD5B3A"/>
    <w:rsid w:val="00CD5E5E"/>
    <w:rsid w:val="00CD61C5"/>
    <w:rsid w:val="00CD6574"/>
    <w:rsid w:val="00CD6833"/>
    <w:rsid w:val="00CD75CE"/>
    <w:rsid w:val="00CE0076"/>
    <w:rsid w:val="00CE03DE"/>
    <w:rsid w:val="00CE0813"/>
    <w:rsid w:val="00CE0894"/>
    <w:rsid w:val="00CE0C8F"/>
    <w:rsid w:val="00CE0F6B"/>
    <w:rsid w:val="00CE103E"/>
    <w:rsid w:val="00CE1040"/>
    <w:rsid w:val="00CE1166"/>
    <w:rsid w:val="00CE11FA"/>
    <w:rsid w:val="00CE14A6"/>
    <w:rsid w:val="00CE152D"/>
    <w:rsid w:val="00CE16F6"/>
    <w:rsid w:val="00CE22AE"/>
    <w:rsid w:val="00CE2531"/>
    <w:rsid w:val="00CE34A3"/>
    <w:rsid w:val="00CE3708"/>
    <w:rsid w:val="00CE38E5"/>
    <w:rsid w:val="00CE39F8"/>
    <w:rsid w:val="00CE3B55"/>
    <w:rsid w:val="00CE427D"/>
    <w:rsid w:val="00CE4DF1"/>
    <w:rsid w:val="00CE4E1E"/>
    <w:rsid w:val="00CE533C"/>
    <w:rsid w:val="00CE5F3A"/>
    <w:rsid w:val="00CE633C"/>
    <w:rsid w:val="00CE65B9"/>
    <w:rsid w:val="00CE663F"/>
    <w:rsid w:val="00CE697B"/>
    <w:rsid w:val="00CE6AD1"/>
    <w:rsid w:val="00CE6B48"/>
    <w:rsid w:val="00CE6DE6"/>
    <w:rsid w:val="00CE723C"/>
    <w:rsid w:val="00CE7366"/>
    <w:rsid w:val="00CE7B23"/>
    <w:rsid w:val="00CF0027"/>
    <w:rsid w:val="00CF075C"/>
    <w:rsid w:val="00CF0C20"/>
    <w:rsid w:val="00CF0D7B"/>
    <w:rsid w:val="00CF1C0D"/>
    <w:rsid w:val="00CF2380"/>
    <w:rsid w:val="00CF2383"/>
    <w:rsid w:val="00CF2B66"/>
    <w:rsid w:val="00CF3024"/>
    <w:rsid w:val="00CF33CC"/>
    <w:rsid w:val="00CF3740"/>
    <w:rsid w:val="00CF40DA"/>
    <w:rsid w:val="00CF444A"/>
    <w:rsid w:val="00CF44FF"/>
    <w:rsid w:val="00CF4F4A"/>
    <w:rsid w:val="00CF51E0"/>
    <w:rsid w:val="00CF5572"/>
    <w:rsid w:val="00CF56BB"/>
    <w:rsid w:val="00CF576C"/>
    <w:rsid w:val="00CF577B"/>
    <w:rsid w:val="00CF5D23"/>
    <w:rsid w:val="00CF5EED"/>
    <w:rsid w:val="00CF608E"/>
    <w:rsid w:val="00CF643D"/>
    <w:rsid w:val="00CF6514"/>
    <w:rsid w:val="00CF6703"/>
    <w:rsid w:val="00CF6C09"/>
    <w:rsid w:val="00CF6E4A"/>
    <w:rsid w:val="00CF707C"/>
    <w:rsid w:val="00CF7092"/>
    <w:rsid w:val="00CF735E"/>
    <w:rsid w:val="00CF738E"/>
    <w:rsid w:val="00CF739A"/>
    <w:rsid w:val="00CF7518"/>
    <w:rsid w:val="00CF79FB"/>
    <w:rsid w:val="00CF7D27"/>
    <w:rsid w:val="00CF7D91"/>
    <w:rsid w:val="00D00306"/>
    <w:rsid w:val="00D0046C"/>
    <w:rsid w:val="00D00872"/>
    <w:rsid w:val="00D00880"/>
    <w:rsid w:val="00D0096B"/>
    <w:rsid w:val="00D00B29"/>
    <w:rsid w:val="00D00C6B"/>
    <w:rsid w:val="00D00CE5"/>
    <w:rsid w:val="00D00DCE"/>
    <w:rsid w:val="00D01181"/>
    <w:rsid w:val="00D012C8"/>
    <w:rsid w:val="00D01656"/>
    <w:rsid w:val="00D01819"/>
    <w:rsid w:val="00D0196C"/>
    <w:rsid w:val="00D02596"/>
    <w:rsid w:val="00D02881"/>
    <w:rsid w:val="00D03026"/>
    <w:rsid w:val="00D036D4"/>
    <w:rsid w:val="00D0376F"/>
    <w:rsid w:val="00D03827"/>
    <w:rsid w:val="00D03965"/>
    <w:rsid w:val="00D043C9"/>
    <w:rsid w:val="00D04A26"/>
    <w:rsid w:val="00D04C35"/>
    <w:rsid w:val="00D04CD1"/>
    <w:rsid w:val="00D04F2F"/>
    <w:rsid w:val="00D04FCB"/>
    <w:rsid w:val="00D05473"/>
    <w:rsid w:val="00D05670"/>
    <w:rsid w:val="00D05BFD"/>
    <w:rsid w:val="00D06DAC"/>
    <w:rsid w:val="00D06FCC"/>
    <w:rsid w:val="00D07EBE"/>
    <w:rsid w:val="00D07FFE"/>
    <w:rsid w:val="00D1049B"/>
    <w:rsid w:val="00D10D76"/>
    <w:rsid w:val="00D11C87"/>
    <w:rsid w:val="00D11F22"/>
    <w:rsid w:val="00D12157"/>
    <w:rsid w:val="00D1241A"/>
    <w:rsid w:val="00D12950"/>
    <w:rsid w:val="00D129A2"/>
    <w:rsid w:val="00D12B96"/>
    <w:rsid w:val="00D12C82"/>
    <w:rsid w:val="00D12EDA"/>
    <w:rsid w:val="00D13145"/>
    <w:rsid w:val="00D137ED"/>
    <w:rsid w:val="00D13A3E"/>
    <w:rsid w:val="00D13D8C"/>
    <w:rsid w:val="00D14076"/>
    <w:rsid w:val="00D1426D"/>
    <w:rsid w:val="00D14448"/>
    <w:rsid w:val="00D147B6"/>
    <w:rsid w:val="00D149C6"/>
    <w:rsid w:val="00D14FF6"/>
    <w:rsid w:val="00D1555E"/>
    <w:rsid w:val="00D15977"/>
    <w:rsid w:val="00D15B78"/>
    <w:rsid w:val="00D15E80"/>
    <w:rsid w:val="00D1611E"/>
    <w:rsid w:val="00D16367"/>
    <w:rsid w:val="00D16875"/>
    <w:rsid w:val="00D1780B"/>
    <w:rsid w:val="00D17FE8"/>
    <w:rsid w:val="00D2202C"/>
    <w:rsid w:val="00D22387"/>
    <w:rsid w:val="00D224CF"/>
    <w:rsid w:val="00D232F0"/>
    <w:rsid w:val="00D2392A"/>
    <w:rsid w:val="00D23A9B"/>
    <w:rsid w:val="00D23CB6"/>
    <w:rsid w:val="00D23FF1"/>
    <w:rsid w:val="00D24054"/>
    <w:rsid w:val="00D2410B"/>
    <w:rsid w:val="00D241CD"/>
    <w:rsid w:val="00D24B9F"/>
    <w:rsid w:val="00D24F3C"/>
    <w:rsid w:val="00D25113"/>
    <w:rsid w:val="00D25171"/>
    <w:rsid w:val="00D251B9"/>
    <w:rsid w:val="00D2551D"/>
    <w:rsid w:val="00D256AF"/>
    <w:rsid w:val="00D25CDE"/>
    <w:rsid w:val="00D25E72"/>
    <w:rsid w:val="00D26360"/>
    <w:rsid w:val="00D2658F"/>
    <w:rsid w:val="00D26731"/>
    <w:rsid w:val="00D26D3E"/>
    <w:rsid w:val="00D26D74"/>
    <w:rsid w:val="00D27236"/>
    <w:rsid w:val="00D2749B"/>
    <w:rsid w:val="00D2751E"/>
    <w:rsid w:val="00D27577"/>
    <w:rsid w:val="00D27720"/>
    <w:rsid w:val="00D27C0C"/>
    <w:rsid w:val="00D27C5C"/>
    <w:rsid w:val="00D27CD7"/>
    <w:rsid w:val="00D31001"/>
    <w:rsid w:val="00D31076"/>
    <w:rsid w:val="00D310A6"/>
    <w:rsid w:val="00D311C5"/>
    <w:rsid w:val="00D313D7"/>
    <w:rsid w:val="00D315A3"/>
    <w:rsid w:val="00D316AB"/>
    <w:rsid w:val="00D318D0"/>
    <w:rsid w:val="00D31C8F"/>
    <w:rsid w:val="00D31D63"/>
    <w:rsid w:val="00D31EF4"/>
    <w:rsid w:val="00D31F00"/>
    <w:rsid w:val="00D3225B"/>
    <w:rsid w:val="00D3245D"/>
    <w:rsid w:val="00D32A0F"/>
    <w:rsid w:val="00D336B6"/>
    <w:rsid w:val="00D33C4B"/>
    <w:rsid w:val="00D33DAB"/>
    <w:rsid w:val="00D33F0B"/>
    <w:rsid w:val="00D34194"/>
    <w:rsid w:val="00D34383"/>
    <w:rsid w:val="00D344AD"/>
    <w:rsid w:val="00D345E0"/>
    <w:rsid w:val="00D347F4"/>
    <w:rsid w:val="00D34AD5"/>
    <w:rsid w:val="00D350A5"/>
    <w:rsid w:val="00D3583D"/>
    <w:rsid w:val="00D35B35"/>
    <w:rsid w:val="00D35FB9"/>
    <w:rsid w:val="00D360A0"/>
    <w:rsid w:val="00D36283"/>
    <w:rsid w:val="00D362D5"/>
    <w:rsid w:val="00D365DF"/>
    <w:rsid w:val="00D367FC"/>
    <w:rsid w:val="00D36949"/>
    <w:rsid w:val="00D37022"/>
    <w:rsid w:val="00D379CA"/>
    <w:rsid w:val="00D37CFA"/>
    <w:rsid w:val="00D37FA4"/>
    <w:rsid w:val="00D40709"/>
    <w:rsid w:val="00D40C0C"/>
    <w:rsid w:val="00D40C2B"/>
    <w:rsid w:val="00D40EFB"/>
    <w:rsid w:val="00D411F9"/>
    <w:rsid w:val="00D41B35"/>
    <w:rsid w:val="00D41EA8"/>
    <w:rsid w:val="00D42250"/>
    <w:rsid w:val="00D423C5"/>
    <w:rsid w:val="00D424CF"/>
    <w:rsid w:val="00D428DC"/>
    <w:rsid w:val="00D4377D"/>
    <w:rsid w:val="00D4394F"/>
    <w:rsid w:val="00D4395C"/>
    <w:rsid w:val="00D439B5"/>
    <w:rsid w:val="00D43F90"/>
    <w:rsid w:val="00D443BC"/>
    <w:rsid w:val="00D44502"/>
    <w:rsid w:val="00D445FD"/>
    <w:rsid w:val="00D44E66"/>
    <w:rsid w:val="00D45345"/>
    <w:rsid w:val="00D45CAB"/>
    <w:rsid w:val="00D45CC7"/>
    <w:rsid w:val="00D45FDE"/>
    <w:rsid w:val="00D460CE"/>
    <w:rsid w:val="00D46717"/>
    <w:rsid w:val="00D46D52"/>
    <w:rsid w:val="00D4712E"/>
    <w:rsid w:val="00D47662"/>
    <w:rsid w:val="00D47F64"/>
    <w:rsid w:val="00D50112"/>
    <w:rsid w:val="00D504C3"/>
    <w:rsid w:val="00D505F7"/>
    <w:rsid w:val="00D50D44"/>
    <w:rsid w:val="00D50E45"/>
    <w:rsid w:val="00D512F8"/>
    <w:rsid w:val="00D522C7"/>
    <w:rsid w:val="00D52648"/>
    <w:rsid w:val="00D52EB4"/>
    <w:rsid w:val="00D53294"/>
    <w:rsid w:val="00D53338"/>
    <w:rsid w:val="00D53C1A"/>
    <w:rsid w:val="00D53C72"/>
    <w:rsid w:val="00D53DBC"/>
    <w:rsid w:val="00D53E9A"/>
    <w:rsid w:val="00D540EC"/>
    <w:rsid w:val="00D541A4"/>
    <w:rsid w:val="00D542E8"/>
    <w:rsid w:val="00D544C0"/>
    <w:rsid w:val="00D54732"/>
    <w:rsid w:val="00D54920"/>
    <w:rsid w:val="00D54BD6"/>
    <w:rsid w:val="00D54E1C"/>
    <w:rsid w:val="00D55057"/>
    <w:rsid w:val="00D55A1B"/>
    <w:rsid w:val="00D55B5C"/>
    <w:rsid w:val="00D55BAA"/>
    <w:rsid w:val="00D55D9E"/>
    <w:rsid w:val="00D5642E"/>
    <w:rsid w:val="00D5664C"/>
    <w:rsid w:val="00D56A91"/>
    <w:rsid w:val="00D56CBF"/>
    <w:rsid w:val="00D5768D"/>
    <w:rsid w:val="00D579AB"/>
    <w:rsid w:val="00D579CC"/>
    <w:rsid w:val="00D60332"/>
    <w:rsid w:val="00D604CD"/>
    <w:rsid w:val="00D604ED"/>
    <w:rsid w:val="00D60C10"/>
    <w:rsid w:val="00D610ED"/>
    <w:rsid w:val="00D61CD6"/>
    <w:rsid w:val="00D622DD"/>
    <w:rsid w:val="00D62614"/>
    <w:rsid w:val="00D62764"/>
    <w:rsid w:val="00D62C9E"/>
    <w:rsid w:val="00D6308E"/>
    <w:rsid w:val="00D632B0"/>
    <w:rsid w:val="00D6384A"/>
    <w:rsid w:val="00D638F1"/>
    <w:rsid w:val="00D64007"/>
    <w:rsid w:val="00D64203"/>
    <w:rsid w:val="00D64EC1"/>
    <w:rsid w:val="00D650F1"/>
    <w:rsid w:val="00D655A2"/>
    <w:rsid w:val="00D65B63"/>
    <w:rsid w:val="00D65F1F"/>
    <w:rsid w:val="00D666B1"/>
    <w:rsid w:val="00D668A9"/>
    <w:rsid w:val="00D6693A"/>
    <w:rsid w:val="00D670C1"/>
    <w:rsid w:val="00D673C2"/>
    <w:rsid w:val="00D67626"/>
    <w:rsid w:val="00D678E5"/>
    <w:rsid w:val="00D67C2D"/>
    <w:rsid w:val="00D70ACA"/>
    <w:rsid w:val="00D71159"/>
    <w:rsid w:val="00D711B3"/>
    <w:rsid w:val="00D71206"/>
    <w:rsid w:val="00D715BB"/>
    <w:rsid w:val="00D7190C"/>
    <w:rsid w:val="00D7197F"/>
    <w:rsid w:val="00D71BD4"/>
    <w:rsid w:val="00D71F62"/>
    <w:rsid w:val="00D72443"/>
    <w:rsid w:val="00D72723"/>
    <w:rsid w:val="00D72C01"/>
    <w:rsid w:val="00D730AA"/>
    <w:rsid w:val="00D73F8E"/>
    <w:rsid w:val="00D7400C"/>
    <w:rsid w:val="00D741C3"/>
    <w:rsid w:val="00D74578"/>
    <w:rsid w:val="00D74A19"/>
    <w:rsid w:val="00D74D56"/>
    <w:rsid w:val="00D74D7B"/>
    <w:rsid w:val="00D74F08"/>
    <w:rsid w:val="00D75073"/>
    <w:rsid w:val="00D757F9"/>
    <w:rsid w:val="00D75853"/>
    <w:rsid w:val="00D75C95"/>
    <w:rsid w:val="00D763C5"/>
    <w:rsid w:val="00D76ACF"/>
    <w:rsid w:val="00D807FA"/>
    <w:rsid w:val="00D808DE"/>
    <w:rsid w:val="00D80B72"/>
    <w:rsid w:val="00D8129D"/>
    <w:rsid w:val="00D8179E"/>
    <w:rsid w:val="00D8195B"/>
    <w:rsid w:val="00D81AA4"/>
    <w:rsid w:val="00D81E28"/>
    <w:rsid w:val="00D824AA"/>
    <w:rsid w:val="00D82575"/>
    <w:rsid w:val="00D830D9"/>
    <w:rsid w:val="00D83455"/>
    <w:rsid w:val="00D83A81"/>
    <w:rsid w:val="00D83AE5"/>
    <w:rsid w:val="00D83D9D"/>
    <w:rsid w:val="00D8489E"/>
    <w:rsid w:val="00D84B36"/>
    <w:rsid w:val="00D85281"/>
    <w:rsid w:val="00D857C4"/>
    <w:rsid w:val="00D8585B"/>
    <w:rsid w:val="00D858F2"/>
    <w:rsid w:val="00D85E87"/>
    <w:rsid w:val="00D85F01"/>
    <w:rsid w:val="00D85FF0"/>
    <w:rsid w:val="00D8614E"/>
    <w:rsid w:val="00D8625F"/>
    <w:rsid w:val="00D8669E"/>
    <w:rsid w:val="00D86A89"/>
    <w:rsid w:val="00D8709D"/>
    <w:rsid w:val="00D87378"/>
    <w:rsid w:val="00D87BF7"/>
    <w:rsid w:val="00D87C2C"/>
    <w:rsid w:val="00D90316"/>
    <w:rsid w:val="00D909C9"/>
    <w:rsid w:val="00D9141C"/>
    <w:rsid w:val="00D916E7"/>
    <w:rsid w:val="00D91BDA"/>
    <w:rsid w:val="00D91E52"/>
    <w:rsid w:val="00D92283"/>
    <w:rsid w:val="00D92388"/>
    <w:rsid w:val="00D9298D"/>
    <w:rsid w:val="00D92ACB"/>
    <w:rsid w:val="00D93525"/>
    <w:rsid w:val="00D9353A"/>
    <w:rsid w:val="00D937B1"/>
    <w:rsid w:val="00D94061"/>
    <w:rsid w:val="00D943FA"/>
    <w:rsid w:val="00D948A9"/>
    <w:rsid w:val="00D94921"/>
    <w:rsid w:val="00D95264"/>
    <w:rsid w:val="00D959EA"/>
    <w:rsid w:val="00D95C63"/>
    <w:rsid w:val="00D95D0B"/>
    <w:rsid w:val="00D95EA5"/>
    <w:rsid w:val="00D95F12"/>
    <w:rsid w:val="00D9682F"/>
    <w:rsid w:val="00D96FFA"/>
    <w:rsid w:val="00D972BD"/>
    <w:rsid w:val="00D975B2"/>
    <w:rsid w:val="00D97942"/>
    <w:rsid w:val="00DA0078"/>
    <w:rsid w:val="00DA043D"/>
    <w:rsid w:val="00DA05E0"/>
    <w:rsid w:val="00DA0A81"/>
    <w:rsid w:val="00DA0BC7"/>
    <w:rsid w:val="00DA0F40"/>
    <w:rsid w:val="00DA10C8"/>
    <w:rsid w:val="00DA1632"/>
    <w:rsid w:val="00DA19A8"/>
    <w:rsid w:val="00DA233F"/>
    <w:rsid w:val="00DA2D63"/>
    <w:rsid w:val="00DA2E02"/>
    <w:rsid w:val="00DA2FD8"/>
    <w:rsid w:val="00DA336F"/>
    <w:rsid w:val="00DA3461"/>
    <w:rsid w:val="00DA3B04"/>
    <w:rsid w:val="00DA3C0B"/>
    <w:rsid w:val="00DA3E07"/>
    <w:rsid w:val="00DA4290"/>
    <w:rsid w:val="00DA4361"/>
    <w:rsid w:val="00DA43C9"/>
    <w:rsid w:val="00DA458E"/>
    <w:rsid w:val="00DA4D5D"/>
    <w:rsid w:val="00DA5113"/>
    <w:rsid w:val="00DA5202"/>
    <w:rsid w:val="00DA5209"/>
    <w:rsid w:val="00DA5557"/>
    <w:rsid w:val="00DA5AD5"/>
    <w:rsid w:val="00DA5D3A"/>
    <w:rsid w:val="00DA5DEA"/>
    <w:rsid w:val="00DA5F00"/>
    <w:rsid w:val="00DA62C6"/>
    <w:rsid w:val="00DA62DB"/>
    <w:rsid w:val="00DA6473"/>
    <w:rsid w:val="00DA6954"/>
    <w:rsid w:val="00DA6A40"/>
    <w:rsid w:val="00DA6E2C"/>
    <w:rsid w:val="00DA713C"/>
    <w:rsid w:val="00DA7230"/>
    <w:rsid w:val="00DA72FD"/>
    <w:rsid w:val="00DA7546"/>
    <w:rsid w:val="00DA7D09"/>
    <w:rsid w:val="00DA7FE8"/>
    <w:rsid w:val="00DB011D"/>
    <w:rsid w:val="00DB01C3"/>
    <w:rsid w:val="00DB0576"/>
    <w:rsid w:val="00DB0B33"/>
    <w:rsid w:val="00DB0DBA"/>
    <w:rsid w:val="00DB1069"/>
    <w:rsid w:val="00DB11C0"/>
    <w:rsid w:val="00DB32DF"/>
    <w:rsid w:val="00DB3512"/>
    <w:rsid w:val="00DB3789"/>
    <w:rsid w:val="00DB3E4C"/>
    <w:rsid w:val="00DB40A7"/>
    <w:rsid w:val="00DB40CF"/>
    <w:rsid w:val="00DB42CD"/>
    <w:rsid w:val="00DB4C6F"/>
    <w:rsid w:val="00DB5246"/>
    <w:rsid w:val="00DB57A1"/>
    <w:rsid w:val="00DB5A04"/>
    <w:rsid w:val="00DB5B32"/>
    <w:rsid w:val="00DB5FB7"/>
    <w:rsid w:val="00DB6081"/>
    <w:rsid w:val="00DB61DB"/>
    <w:rsid w:val="00DB632C"/>
    <w:rsid w:val="00DB65E5"/>
    <w:rsid w:val="00DB6B0D"/>
    <w:rsid w:val="00DB73E0"/>
    <w:rsid w:val="00DB7481"/>
    <w:rsid w:val="00DB76F3"/>
    <w:rsid w:val="00DB7811"/>
    <w:rsid w:val="00DB7B19"/>
    <w:rsid w:val="00DB7C7D"/>
    <w:rsid w:val="00DC0122"/>
    <w:rsid w:val="00DC031E"/>
    <w:rsid w:val="00DC03E5"/>
    <w:rsid w:val="00DC046B"/>
    <w:rsid w:val="00DC0605"/>
    <w:rsid w:val="00DC06BE"/>
    <w:rsid w:val="00DC07A6"/>
    <w:rsid w:val="00DC0AAA"/>
    <w:rsid w:val="00DC0B1A"/>
    <w:rsid w:val="00DC0D19"/>
    <w:rsid w:val="00DC0FD3"/>
    <w:rsid w:val="00DC152E"/>
    <w:rsid w:val="00DC15FC"/>
    <w:rsid w:val="00DC1729"/>
    <w:rsid w:val="00DC1A5F"/>
    <w:rsid w:val="00DC1CA9"/>
    <w:rsid w:val="00DC20C8"/>
    <w:rsid w:val="00DC2474"/>
    <w:rsid w:val="00DC279F"/>
    <w:rsid w:val="00DC285E"/>
    <w:rsid w:val="00DC2911"/>
    <w:rsid w:val="00DC29C3"/>
    <w:rsid w:val="00DC2BDD"/>
    <w:rsid w:val="00DC2C7D"/>
    <w:rsid w:val="00DC2E84"/>
    <w:rsid w:val="00DC3115"/>
    <w:rsid w:val="00DC317E"/>
    <w:rsid w:val="00DC3679"/>
    <w:rsid w:val="00DC3BA0"/>
    <w:rsid w:val="00DC3C52"/>
    <w:rsid w:val="00DC40BC"/>
    <w:rsid w:val="00DC41D1"/>
    <w:rsid w:val="00DC43E4"/>
    <w:rsid w:val="00DC4584"/>
    <w:rsid w:val="00DC4944"/>
    <w:rsid w:val="00DC4D16"/>
    <w:rsid w:val="00DC5539"/>
    <w:rsid w:val="00DC5776"/>
    <w:rsid w:val="00DC6185"/>
    <w:rsid w:val="00DC6230"/>
    <w:rsid w:val="00DC6724"/>
    <w:rsid w:val="00DC6B15"/>
    <w:rsid w:val="00DC6F35"/>
    <w:rsid w:val="00DC7A91"/>
    <w:rsid w:val="00DD074D"/>
    <w:rsid w:val="00DD0D81"/>
    <w:rsid w:val="00DD0E7D"/>
    <w:rsid w:val="00DD0F33"/>
    <w:rsid w:val="00DD10E8"/>
    <w:rsid w:val="00DD1607"/>
    <w:rsid w:val="00DD1D25"/>
    <w:rsid w:val="00DD1E7D"/>
    <w:rsid w:val="00DD1F16"/>
    <w:rsid w:val="00DD31BD"/>
    <w:rsid w:val="00DD31FD"/>
    <w:rsid w:val="00DD3A3E"/>
    <w:rsid w:val="00DD443E"/>
    <w:rsid w:val="00DD4803"/>
    <w:rsid w:val="00DD49E9"/>
    <w:rsid w:val="00DD529D"/>
    <w:rsid w:val="00DD536B"/>
    <w:rsid w:val="00DD5E82"/>
    <w:rsid w:val="00DD646D"/>
    <w:rsid w:val="00DD6866"/>
    <w:rsid w:val="00DD7721"/>
    <w:rsid w:val="00DD79E3"/>
    <w:rsid w:val="00DD7A31"/>
    <w:rsid w:val="00DD7AB1"/>
    <w:rsid w:val="00DD7B88"/>
    <w:rsid w:val="00DD7CC1"/>
    <w:rsid w:val="00DD7CFD"/>
    <w:rsid w:val="00DD7DE1"/>
    <w:rsid w:val="00DE01DB"/>
    <w:rsid w:val="00DE02EF"/>
    <w:rsid w:val="00DE0794"/>
    <w:rsid w:val="00DE0FF9"/>
    <w:rsid w:val="00DE2B66"/>
    <w:rsid w:val="00DE2DD5"/>
    <w:rsid w:val="00DE317D"/>
    <w:rsid w:val="00DE39F7"/>
    <w:rsid w:val="00DE4B2F"/>
    <w:rsid w:val="00DE4DDE"/>
    <w:rsid w:val="00DE4F26"/>
    <w:rsid w:val="00DE4F73"/>
    <w:rsid w:val="00DE5061"/>
    <w:rsid w:val="00DE525E"/>
    <w:rsid w:val="00DE554C"/>
    <w:rsid w:val="00DE5B2F"/>
    <w:rsid w:val="00DE5E44"/>
    <w:rsid w:val="00DE685C"/>
    <w:rsid w:val="00DE6A55"/>
    <w:rsid w:val="00DE71D2"/>
    <w:rsid w:val="00DE758B"/>
    <w:rsid w:val="00DE77CF"/>
    <w:rsid w:val="00DE7E8A"/>
    <w:rsid w:val="00DF019A"/>
    <w:rsid w:val="00DF04E9"/>
    <w:rsid w:val="00DF05DC"/>
    <w:rsid w:val="00DF07A2"/>
    <w:rsid w:val="00DF08F1"/>
    <w:rsid w:val="00DF13A8"/>
    <w:rsid w:val="00DF13E4"/>
    <w:rsid w:val="00DF1598"/>
    <w:rsid w:val="00DF163E"/>
    <w:rsid w:val="00DF23BA"/>
    <w:rsid w:val="00DF2525"/>
    <w:rsid w:val="00DF27B3"/>
    <w:rsid w:val="00DF2CB7"/>
    <w:rsid w:val="00DF2CCB"/>
    <w:rsid w:val="00DF2DFF"/>
    <w:rsid w:val="00DF34E6"/>
    <w:rsid w:val="00DF3A67"/>
    <w:rsid w:val="00DF3A97"/>
    <w:rsid w:val="00DF3CB4"/>
    <w:rsid w:val="00DF3F89"/>
    <w:rsid w:val="00DF4487"/>
    <w:rsid w:val="00DF50C0"/>
    <w:rsid w:val="00DF541D"/>
    <w:rsid w:val="00DF5661"/>
    <w:rsid w:val="00DF56BE"/>
    <w:rsid w:val="00DF5BFD"/>
    <w:rsid w:val="00DF6071"/>
    <w:rsid w:val="00DF69C3"/>
    <w:rsid w:val="00DF6B49"/>
    <w:rsid w:val="00DF723F"/>
    <w:rsid w:val="00E00383"/>
    <w:rsid w:val="00E0041C"/>
    <w:rsid w:val="00E00CF7"/>
    <w:rsid w:val="00E017DB"/>
    <w:rsid w:val="00E02612"/>
    <w:rsid w:val="00E02722"/>
    <w:rsid w:val="00E02C27"/>
    <w:rsid w:val="00E02C44"/>
    <w:rsid w:val="00E02FD4"/>
    <w:rsid w:val="00E03B58"/>
    <w:rsid w:val="00E04B3A"/>
    <w:rsid w:val="00E04F2C"/>
    <w:rsid w:val="00E056D0"/>
    <w:rsid w:val="00E0571F"/>
    <w:rsid w:val="00E05910"/>
    <w:rsid w:val="00E05AD5"/>
    <w:rsid w:val="00E05AEE"/>
    <w:rsid w:val="00E05DCE"/>
    <w:rsid w:val="00E067E7"/>
    <w:rsid w:val="00E06F71"/>
    <w:rsid w:val="00E07AA8"/>
    <w:rsid w:val="00E07E30"/>
    <w:rsid w:val="00E07E38"/>
    <w:rsid w:val="00E10264"/>
    <w:rsid w:val="00E105C3"/>
    <w:rsid w:val="00E10AEC"/>
    <w:rsid w:val="00E10B24"/>
    <w:rsid w:val="00E10B7D"/>
    <w:rsid w:val="00E10D9C"/>
    <w:rsid w:val="00E1116F"/>
    <w:rsid w:val="00E117D6"/>
    <w:rsid w:val="00E11D8E"/>
    <w:rsid w:val="00E12184"/>
    <w:rsid w:val="00E12460"/>
    <w:rsid w:val="00E12859"/>
    <w:rsid w:val="00E12957"/>
    <w:rsid w:val="00E12C70"/>
    <w:rsid w:val="00E12D10"/>
    <w:rsid w:val="00E13063"/>
    <w:rsid w:val="00E13519"/>
    <w:rsid w:val="00E13653"/>
    <w:rsid w:val="00E13C0D"/>
    <w:rsid w:val="00E14027"/>
    <w:rsid w:val="00E14178"/>
    <w:rsid w:val="00E14BBA"/>
    <w:rsid w:val="00E15C18"/>
    <w:rsid w:val="00E165EB"/>
    <w:rsid w:val="00E169D8"/>
    <w:rsid w:val="00E16A19"/>
    <w:rsid w:val="00E16B82"/>
    <w:rsid w:val="00E17103"/>
    <w:rsid w:val="00E17111"/>
    <w:rsid w:val="00E171E0"/>
    <w:rsid w:val="00E17BBF"/>
    <w:rsid w:val="00E17BEC"/>
    <w:rsid w:val="00E20063"/>
    <w:rsid w:val="00E20587"/>
    <w:rsid w:val="00E20A94"/>
    <w:rsid w:val="00E20D89"/>
    <w:rsid w:val="00E2100F"/>
    <w:rsid w:val="00E2127D"/>
    <w:rsid w:val="00E21393"/>
    <w:rsid w:val="00E21599"/>
    <w:rsid w:val="00E21B37"/>
    <w:rsid w:val="00E21B4A"/>
    <w:rsid w:val="00E21CC1"/>
    <w:rsid w:val="00E21D79"/>
    <w:rsid w:val="00E220FD"/>
    <w:rsid w:val="00E2231A"/>
    <w:rsid w:val="00E2234C"/>
    <w:rsid w:val="00E227ED"/>
    <w:rsid w:val="00E227FF"/>
    <w:rsid w:val="00E22851"/>
    <w:rsid w:val="00E2319F"/>
    <w:rsid w:val="00E232B8"/>
    <w:rsid w:val="00E23378"/>
    <w:rsid w:val="00E23A72"/>
    <w:rsid w:val="00E23EE3"/>
    <w:rsid w:val="00E24242"/>
    <w:rsid w:val="00E2442F"/>
    <w:rsid w:val="00E248DC"/>
    <w:rsid w:val="00E24B11"/>
    <w:rsid w:val="00E24E72"/>
    <w:rsid w:val="00E250E8"/>
    <w:rsid w:val="00E251B8"/>
    <w:rsid w:val="00E253E6"/>
    <w:rsid w:val="00E254A5"/>
    <w:rsid w:val="00E25952"/>
    <w:rsid w:val="00E25E19"/>
    <w:rsid w:val="00E262AE"/>
    <w:rsid w:val="00E262DD"/>
    <w:rsid w:val="00E26B3C"/>
    <w:rsid w:val="00E26F8B"/>
    <w:rsid w:val="00E272AB"/>
    <w:rsid w:val="00E272C8"/>
    <w:rsid w:val="00E27579"/>
    <w:rsid w:val="00E277E3"/>
    <w:rsid w:val="00E27F3C"/>
    <w:rsid w:val="00E30023"/>
    <w:rsid w:val="00E30BAB"/>
    <w:rsid w:val="00E30C80"/>
    <w:rsid w:val="00E30F11"/>
    <w:rsid w:val="00E314ED"/>
    <w:rsid w:val="00E31B8E"/>
    <w:rsid w:val="00E32061"/>
    <w:rsid w:val="00E320D8"/>
    <w:rsid w:val="00E329C0"/>
    <w:rsid w:val="00E33419"/>
    <w:rsid w:val="00E33A3C"/>
    <w:rsid w:val="00E33DFF"/>
    <w:rsid w:val="00E33F06"/>
    <w:rsid w:val="00E33FBB"/>
    <w:rsid w:val="00E3444E"/>
    <w:rsid w:val="00E3450B"/>
    <w:rsid w:val="00E34596"/>
    <w:rsid w:val="00E346C0"/>
    <w:rsid w:val="00E348C7"/>
    <w:rsid w:val="00E34C05"/>
    <w:rsid w:val="00E34DF5"/>
    <w:rsid w:val="00E34F45"/>
    <w:rsid w:val="00E3543A"/>
    <w:rsid w:val="00E35CCC"/>
    <w:rsid w:val="00E36428"/>
    <w:rsid w:val="00E36BF8"/>
    <w:rsid w:val="00E373FC"/>
    <w:rsid w:val="00E374B5"/>
    <w:rsid w:val="00E37C3F"/>
    <w:rsid w:val="00E400BE"/>
    <w:rsid w:val="00E40640"/>
    <w:rsid w:val="00E40BB4"/>
    <w:rsid w:val="00E41408"/>
    <w:rsid w:val="00E415EA"/>
    <w:rsid w:val="00E4183A"/>
    <w:rsid w:val="00E41A3F"/>
    <w:rsid w:val="00E41F66"/>
    <w:rsid w:val="00E42128"/>
    <w:rsid w:val="00E422AB"/>
    <w:rsid w:val="00E429D6"/>
    <w:rsid w:val="00E42C08"/>
    <w:rsid w:val="00E42DD3"/>
    <w:rsid w:val="00E43288"/>
    <w:rsid w:val="00E432C1"/>
    <w:rsid w:val="00E43EBC"/>
    <w:rsid w:val="00E4407B"/>
    <w:rsid w:val="00E44788"/>
    <w:rsid w:val="00E451B6"/>
    <w:rsid w:val="00E4542B"/>
    <w:rsid w:val="00E4557E"/>
    <w:rsid w:val="00E45632"/>
    <w:rsid w:val="00E45759"/>
    <w:rsid w:val="00E45855"/>
    <w:rsid w:val="00E45909"/>
    <w:rsid w:val="00E46D07"/>
    <w:rsid w:val="00E46DF2"/>
    <w:rsid w:val="00E470D6"/>
    <w:rsid w:val="00E47400"/>
    <w:rsid w:val="00E47641"/>
    <w:rsid w:val="00E476EE"/>
    <w:rsid w:val="00E479BF"/>
    <w:rsid w:val="00E47F41"/>
    <w:rsid w:val="00E503BD"/>
    <w:rsid w:val="00E51664"/>
    <w:rsid w:val="00E519AA"/>
    <w:rsid w:val="00E523AD"/>
    <w:rsid w:val="00E526FA"/>
    <w:rsid w:val="00E528C5"/>
    <w:rsid w:val="00E52E55"/>
    <w:rsid w:val="00E52EFC"/>
    <w:rsid w:val="00E5380E"/>
    <w:rsid w:val="00E53A4E"/>
    <w:rsid w:val="00E53BBB"/>
    <w:rsid w:val="00E5458B"/>
    <w:rsid w:val="00E545AE"/>
    <w:rsid w:val="00E54E40"/>
    <w:rsid w:val="00E5571C"/>
    <w:rsid w:val="00E55A98"/>
    <w:rsid w:val="00E55DF0"/>
    <w:rsid w:val="00E56601"/>
    <w:rsid w:val="00E56670"/>
    <w:rsid w:val="00E56723"/>
    <w:rsid w:val="00E5672C"/>
    <w:rsid w:val="00E56D7D"/>
    <w:rsid w:val="00E5715B"/>
    <w:rsid w:val="00E57169"/>
    <w:rsid w:val="00E5749B"/>
    <w:rsid w:val="00E57C8E"/>
    <w:rsid w:val="00E57DF1"/>
    <w:rsid w:val="00E60093"/>
    <w:rsid w:val="00E60758"/>
    <w:rsid w:val="00E60823"/>
    <w:rsid w:val="00E60C6B"/>
    <w:rsid w:val="00E61535"/>
    <w:rsid w:val="00E61A3A"/>
    <w:rsid w:val="00E61D9A"/>
    <w:rsid w:val="00E62337"/>
    <w:rsid w:val="00E62606"/>
    <w:rsid w:val="00E62771"/>
    <w:rsid w:val="00E62C4A"/>
    <w:rsid w:val="00E632D0"/>
    <w:rsid w:val="00E63718"/>
    <w:rsid w:val="00E63A56"/>
    <w:rsid w:val="00E63DE1"/>
    <w:rsid w:val="00E63DF9"/>
    <w:rsid w:val="00E6418A"/>
    <w:rsid w:val="00E641A2"/>
    <w:rsid w:val="00E6426B"/>
    <w:rsid w:val="00E64609"/>
    <w:rsid w:val="00E64880"/>
    <w:rsid w:val="00E64A78"/>
    <w:rsid w:val="00E6500C"/>
    <w:rsid w:val="00E65570"/>
    <w:rsid w:val="00E65A4C"/>
    <w:rsid w:val="00E65BED"/>
    <w:rsid w:val="00E6649B"/>
    <w:rsid w:val="00E66931"/>
    <w:rsid w:val="00E66C3C"/>
    <w:rsid w:val="00E67837"/>
    <w:rsid w:val="00E67881"/>
    <w:rsid w:val="00E679BF"/>
    <w:rsid w:val="00E7082E"/>
    <w:rsid w:val="00E70988"/>
    <w:rsid w:val="00E70B25"/>
    <w:rsid w:val="00E70D58"/>
    <w:rsid w:val="00E70EE0"/>
    <w:rsid w:val="00E71032"/>
    <w:rsid w:val="00E7158A"/>
    <w:rsid w:val="00E71910"/>
    <w:rsid w:val="00E71DE1"/>
    <w:rsid w:val="00E71E5B"/>
    <w:rsid w:val="00E7215A"/>
    <w:rsid w:val="00E723F8"/>
    <w:rsid w:val="00E72689"/>
    <w:rsid w:val="00E72F07"/>
    <w:rsid w:val="00E72F92"/>
    <w:rsid w:val="00E732D1"/>
    <w:rsid w:val="00E73636"/>
    <w:rsid w:val="00E73931"/>
    <w:rsid w:val="00E73BA0"/>
    <w:rsid w:val="00E73C95"/>
    <w:rsid w:val="00E73D48"/>
    <w:rsid w:val="00E745E2"/>
    <w:rsid w:val="00E74722"/>
    <w:rsid w:val="00E74AF6"/>
    <w:rsid w:val="00E74C4C"/>
    <w:rsid w:val="00E75647"/>
    <w:rsid w:val="00E757A6"/>
    <w:rsid w:val="00E75903"/>
    <w:rsid w:val="00E75CE6"/>
    <w:rsid w:val="00E75D12"/>
    <w:rsid w:val="00E760D6"/>
    <w:rsid w:val="00E76117"/>
    <w:rsid w:val="00E764F7"/>
    <w:rsid w:val="00E76669"/>
    <w:rsid w:val="00E766A7"/>
    <w:rsid w:val="00E769DF"/>
    <w:rsid w:val="00E76A16"/>
    <w:rsid w:val="00E76BEB"/>
    <w:rsid w:val="00E76DE3"/>
    <w:rsid w:val="00E76E61"/>
    <w:rsid w:val="00E77202"/>
    <w:rsid w:val="00E7723F"/>
    <w:rsid w:val="00E81201"/>
    <w:rsid w:val="00E81614"/>
    <w:rsid w:val="00E81619"/>
    <w:rsid w:val="00E8166B"/>
    <w:rsid w:val="00E816C8"/>
    <w:rsid w:val="00E82207"/>
    <w:rsid w:val="00E82BB0"/>
    <w:rsid w:val="00E830E0"/>
    <w:rsid w:val="00E83192"/>
    <w:rsid w:val="00E8394F"/>
    <w:rsid w:val="00E83AE9"/>
    <w:rsid w:val="00E84395"/>
    <w:rsid w:val="00E844A5"/>
    <w:rsid w:val="00E84B8F"/>
    <w:rsid w:val="00E84EE6"/>
    <w:rsid w:val="00E84F03"/>
    <w:rsid w:val="00E85300"/>
    <w:rsid w:val="00E8545A"/>
    <w:rsid w:val="00E857F4"/>
    <w:rsid w:val="00E858F4"/>
    <w:rsid w:val="00E85AAD"/>
    <w:rsid w:val="00E85B6C"/>
    <w:rsid w:val="00E85E53"/>
    <w:rsid w:val="00E85EC4"/>
    <w:rsid w:val="00E85FF4"/>
    <w:rsid w:val="00E86108"/>
    <w:rsid w:val="00E86625"/>
    <w:rsid w:val="00E86659"/>
    <w:rsid w:val="00E871B2"/>
    <w:rsid w:val="00E873DD"/>
    <w:rsid w:val="00E8756E"/>
    <w:rsid w:val="00E87BB2"/>
    <w:rsid w:val="00E87D0A"/>
    <w:rsid w:val="00E87F76"/>
    <w:rsid w:val="00E90732"/>
    <w:rsid w:val="00E90A64"/>
    <w:rsid w:val="00E90DF8"/>
    <w:rsid w:val="00E91699"/>
    <w:rsid w:val="00E91D1F"/>
    <w:rsid w:val="00E9201A"/>
    <w:rsid w:val="00E92157"/>
    <w:rsid w:val="00E924BA"/>
    <w:rsid w:val="00E92BC2"/>
    <w:rsid w:val="00E92D4C"/>
    <w:rsid w:val="00E92F54"/>
    <w:rsid w:val="00E92FAC"/>
    <w:rsid w:val="00E931EC"/>
    <w:rsid w:val="00E932C0"/>
    <w:rsid w:val="00E93529"/>
    <w:rsid w:val="00E93A10"/>
    <w:rsid w:val="00E93F0D"/>
    <w:rsid w:val="00E94230"/>
    <w:rsid w:val="00E94250"/>
    <w:rsid w:val="00E94278"/>
    <w:rsid w:val="00E94343"/>
    <w:rsid w:val="00E94732"/>
    <w:rsid w:val="00E94971"/>
    <w:rsid w:val="00E950CF"/>
    <w:rsid w:val="00E95159"/>
    <w:rsid w:val="00E9524C"/>
    <w:rsid w:val="00E955CD"/>
    <w:rsid w:val="00E955DD"/>
    <w:rsid w:val="00E95732"/>
    <w:rsid w:val="00E95957"/>
    <w:rsid w:val="00E959BF"/>
    <w:rsid w:val="00E95E16"/>
    <w:rsid w:val="00E95E76"/>
    <w:rsid w:val="00E9659D"/>
    <w:rsid w:val="00E9670E"/>
    <w:rsid w:val="00E96F2B"/>
    <w:rsid w:val="00E9720B"/>
    <w:rsid w:val="00E9733C"/>
    <w:rsid w:val="00E97563"/>
    <w:rsid w:val="00E9799E"/>
    <w:rsid w:val="00E97B95"/>
    <w:rsid w:val="00E97D2C"/>
    <w:rsid w:val="00EA0384"/>
    <w:rsid w:val="00EA049C"/>
    <w:rsid w:val="00EA0F72"/>
    <w:rsid w:val="00EA130B"/>
    <w:rsid w:val="00EA172F"/>
    <w:rsid w:val="00EA1ACD"/>
    <w:rsid w:val="00EA1E7E"/>
    <w:rsid w:val="00EA202A"/>
    <w:rsid w:val="00EA330D"/>
    <w:rsid w:val="00EA3655"/>
    <w:rsid w:val="00EA3663"/>
    <w:rsid w:val="00EA3760"/>
    <w:rsid w:val="00EA389A"/>
    <w:rsid w:val="00EA38BF"/>
    <w:rsid w:val="00EA449F"/>
    <w:rsid w:val="00EA469E"/>
    <w:rsid w:val="00EA4F41"/>
    <w:rsid w:val="00EA51F3"/>
    <w:rsid w:val="00EA53AE"/>
    <w:rsid w:val="00EA579C"/>
    <w:rsid w:val="00EA584E"/>
    <w:rsid w:val="00EA63FB"/>
    <w:rsid w:val="00EA65B7"/>
    <w:rsid w:val="00EA66AB"/>
    <w:rsid w:val="00EA6923"/>
    <w:rsid w:val="00EA6D84"/>
    <w:rsid w:val="00EA6E83"/>
    <w:rsid w:val="00EA6ED0"/>
    <w:rsid w:val="00EB0051"/>
    <w:rsid w:val="00EB007B"/>
    <w:rsid w:val="00EB0966"/>
    <w:rsid w:val="00EB0CF0"/>
    <w:rsid w:val="00EB0DA4"/>
    <w:rsid w:val="00EB136F"/>
    <w:rsid w:val="00EB151B"/>
    <w:rsid w:val="00EB173C"/>
    <w:rsid w:val="00EB191A"/>
    <w:rsid w:val="00EB2514"/>
    <w:rsid w:val="00EB278B"/>
    <w:rsid w:val="00EB2B38"/>
    <w:rsid w:val="00EB2D2B"/>
    <w:rsid w:val="00EB2E72"/>
    <w:rsid w:val="00EB305A"/>
    <w:rsid w:val="00EB35FC"/>
    <w:rsid w:val="00EB35FE"/>
    <w:rsid w:val="00EB3825"/>
    <w:rsid w:val="00EB3E7A"/>
    <w:rsid w:val="00EB429C"/>
    <w:rsid w:val="00EB42C6"/>
    <w:rsid w:val="00EB477F"/>
    <w:rsid w:val="00EB4E16"/>
    <w:rsid w:val="00EB579A"/>
    <w:rsid w:val="00EB59D3"/>
    <w:rsid w:val="00EB5ABC"/>
    <w:rsid w:val="00EB5EE8"/>
    <w:rsid w:val="00EB62E4"/>
    <w:rsid w:val="00EB637D"/>
    <w:rsid w:val="00EB640C"/>
    <w:rsid w:val="00EB6701"/>
    <w:rsid w:val="00EB6771"/>
    <w:rsid w:val="00EB69E8"/>
    <w:rsid w:val="00EB6A9B"/>
    <w:rsid w:val="00EB6A9C"/>
    <w:rsid w:val="00EB6CD4"/>
    <w:rsid w:val="00EB7237"/>
    <w:rsid w:val="00EB78E7"/>
    <w:rsid w:val="00EB7950"/>
    <w:rsid w:val="00EB79C0"/>
    <w:rsid w:val="00EB7B6D"/>
    <w:rsid w:val="00EB7F2C"/>
    <w:rsid w:val="00EC0408"/>
    <w:rsid w:val="00EC052F"/>
    <w:rsid w:val="00EC099F"/>
    <w:rsid w:val="00EC0B00"/>
    <w:rsid w:val="00EC0C17"/>
    <w:rsid w:val="00EC11EC"/>
    <w:rsid w:val="00EC1431"/>
    <w:rsid w:val="00EC146E"/>
    <w:rsid w:val="00EC1574"/>
    <w:rsid w:val="00EC16D3"/>
    <w:rsid w:val="00EC1F96"/>
    <w:rsid w:val="00EC28E5"/>
    <w:rsid w:val="00EC36D0"/>
    <w:rsid w:val="00EC37A1"/>
    <w:rsid w:val="00EC39E1"/>
    <w:rsid w:val="00EC3E1D"/>
    <w:rsid w:val="00EC41F5"/>
    <w:rsid w:val="00EC48CC"/>
    <w:rsid w:val="00EC4B8B"/>
    <w:rsid w:val="00EC5075"/>
    <w:rsid w:val="00EC51C3"/>
    <w:rsid w:val="00EC55D9"/>
    <w:rsid w:val="00EC5E8A"/>
    <w:rsid w:val="00EC625C"/>
    <w:rsid w:val="00EC6609"/>
    <w:rsid w:val="00EC6FE6"/>
    <w:rsid w:val="00EC7329"/>
    <w:rsid w:val="00EC7336"/>
    <w:rsid w:val="00ED0168"/>
    <w:rsid w:val="00ED05BC"/>
    <w:rsid w:val="00ED067F"/>
    <w:rsid w:val="00ED06B2"/>
    <w:rsid w:val="00ED06B7"/>
    <w:rsid w:val="00ED1024"/>
    <w:rsid w:val="00ED121F"/>
    <w:rsid w:val="00ED1516"/>
    <w:rsid w:val="00ED16DC"/>
    <w:rsid w:val="00ED1845"/>
    <w:rsid w:val="00ED1BE0"/>
    <w:rsid w:val="00ED22EE"/>
    <w:rsid w:val="00ED271E"/>
    <w:rsid w:val="00ED3891"/>
    <w:rsid w:val="00ED3A7B"/>
    <w:rsid w:val="00ED3C0F"/>
    <w:rsid w:val="00ED3C27"/>
    <w:rsid w:val="00ED422D"/>
    <w:rsid w:val="00ED4AC0"/>
    <w:rsid w:val="00ED4AD0"/>
    <w:rsid w:val="00ED4C1E"/>
    <w:rsid w:val="00ED4F51"/>
    <w:rsid w:val="00ED4FF0"/>
    <w:rsid w:val="00ED5069"/>
    <w:rsid w:val="00ED5148"/>
    <w:rsid w:val="00ED52A9"/>
    <w:rsid w:val="00ED52C9"/>
    <w:rsid w:val="00ED5336"/>
    <w:rsid w:val="00ED54EA"/>
    <w:rsid w:val="00ED5A52"/>
    <w:rsid w:val="00ED632F"/>
    <w:rsid w:val="00ED643C"/>
    <w:rsid w:val="00ED6448"/>
    <w:rsid w:val="00ED654D"/>
    <w:rsid w:val="00ED658F"/>
    <w:rsid w:val="00ED6E4B"/>
    <w:rsid w:val="00EE01B7"/>
    <w:rsid w:val="00EE0EA3"/>
    <w:rsid w:val="00EE0F07"/>
    <w:rsid w:val="00EE1039"/>
    <w:rsid w:val="00EE1EE0"/>
    <w:rsid w:val="00EE1F5C"/>
    <w:rsid w:val="00EE1F8B"/>
    <w:rsid w:val="00EE2224"/>
    <w:rsid w:val="00EE2654"/>
    <w:rsid w:val="00EE275B"/>
    <w:rsid w:val="00EE2B68"/>
    <w:rsid w:val="00EE2BF8"/>
    <w:rsid w:val="00EE2F62"/>
    <w:rsid w:val="00EE353C"/>
    <w:rsid w:val="00EE37B3"/>
    <w:rsid w:val="00EE3819"/>
    <w:rsid w:val="00EE388D"/>
    <w:rsid w:val="00EE38C4"/>
    <w:rsid w:val="00EE3EF9"/>
    <w:rsid w:val="00EE4265"/>
    <w:rsid w:val="00EE427F"/>
    <w:rsid w:val="00EE494D"/>
    <w:rsid w:val="00EE53AC"/>
    <w:rsid w:val="00EE55C2"/>
    <w:rsid w:val="00EE56D7"/>
    <w:rsid w:val="00EE589E"/>
    <w:rsid w:val="00EE60B0"/>
    <w:rsid w:val="00EE64FE"/>
    <w:rsid w:val="00EE6B34"/>
    <w:rsid w:val="00EE6C5E"/>
    <w:rsid w:val="00EE6E37"/>
    <w:rsid w:val="00EE7082"/>
    <w:rsid w:val="00EE70B7"/>
    <w:rsid w:val="00EE7BE0"/>
    <w:rsid w:val="00EF01D6"/>
    <w:rsid w:val="00EF091A"/>
    <w:rsid w:val="00EF1072"/>
    <w:rsid w:val="00EF14BB"/>
    <w:rsid w:val="00EF168A"/>
    <w:rsid w:val="00EF1CBD"/>
    <w:rsid w:val="00EF21D7"/>
    <w:rsid w:val="00EF2546"/>
    <w:rsid w:val="00EF2941"/>
    <w:rsid w:val="00EF29C8"/>
    <w:rsid w:val="00EF2D25"/>
    <w:rsid w:val="00EF3176"/>
    <w:rsid w:val="00EF3299"/>
    <w:rsid w:val="00EF351C"/>
    <w:rsid w:val="00EF40B0"/>
    <w:rsid w:val="00EF465A"/>
    <w:rsid w:val="00EF509F"/>
    <w:rsid w:val="00EF523F"/>
    <w:rsid w:val="00EF53C7"/>
    <w:rsid w:val="00EF5432"/>
    <w:rsid w:val="00EF5959"/>
    <w:rsid w:val="00EF5AAE"/>
    <w:rsid w:val="00EF5B30"/>
    <w:rsid w:val="00EF5EF9"/>
    <w:rsid w:val="00EF60AC"/>
    <w:rsid w:val="00EF60BF"/>
    <w:rsid w:val="00EF629D"/>
    <w:rsid w:val="00EF651A"/>
    <w:rsid w:val="00EF70FF"/>
    <w:rsid w:val="00EF7643"/>
    <w:rsid w:val="00EF796A"/>
    <w:rsid w:val="00EF7ADE"/>
    <w:rsid w:val="00EF7B31"/>
    <w:rsid w:val="00EF7CC5"/>
    <w:rsid w:val="00EF7CDE"/>
    <w:rsid w:val="00EF7F0D"/>
    <w:rsid w:val="00EF7FC0"/>
    <w:rsid w:val="00F001A5"/>
    <w:rsid w:val="00F00C6E"/>
    <w:rsid w:val="00F00CC1"/>
    <w:rsid w:val="00F010BA"/>
    <w:rsid w:val="00F0110B"/>
    <w:rsid w:val="00F013A0"/>
    <w:rsid w:val="00F0169F"/>
    <w:rsid w:val="00F0187B"/>
    <w:rsid w:val="00F019C5"/>
    <w:rsid w:val="00F01BEC"/>
    <w:rsid w:val="00F01F7E"/>
    <w:rsid w:val="00F02236"/>
    <w:rsid w:val="00F022CD"/>
    <w:rsid w:val="00F028CF"/>
    <w:rsid w:val="00F02D42"/>
    <w:rsid w:val="00F02D98"/>
    <w:rsid w:val="00F03142"/>
    <w:rsid w:val="00F034D7"/>
    <w:rsid w:val="00F03533"/>
    <w:rsid w:val="00F0371B"/>
    <w:rsid w:val="00F03D1E"/>
    <w:rsid w:val="00F041E0"/>
    <w:rsid w:val="00F045F9"/>
    <w:rsid w:val="00F04A0B"/>
    <w:rsid w:val="00F0539C"/>
    <w:rsid w:val="00F058A1"/>
    <w:rsid w:val="00F05B5A"/>
    <w:rsid w:val="00F05D0C"/>
    <w:rsid w:val="00F05E12"/>
    <w:rsid w:val="00F06092"/>
    <w:rsid w:val="00F06180"/>
    <w:rsid w:val="00F06353"/>
    <w:rsid w:val="00F06532"/>
    <w:rsid w:val="00F066F6"/>
    <w:rsid w:val="00F067F1"/>
    <w:rsid w:val="00F06AFE"/>
    <w:rsid w:val="00F06CFF"/>
    <w:rsid w:val="00F06E59"/>
    <w:rsid w:val="00F0719E"/>
    <w:rsid w:val="00F0789B"/>
    <w:rsid w:val="00F07DB8"/>
    <w:rsid w:val="00F1033D"/>
    <w:rsid w:val="00F1043E"/>
    <w:rsid w:val="00F105E8"/>
    <w:rsid w:val="00F1069F"/>
    <w:rsid w:val="00F10CD4"/>
    <w:rsid w:val="00F11010"/>
    <w:rsid w:val="00F11090"/>
    <w:rsid w:val="00F11C0C"/>
    <w:rsid w:val="00F1200C"/>
    <w:rsid w:val="00F12534"/>
    <w:rsid w:val="00F1271F"/>
    <w:rsid w:val="00F12A2B"/>
    <w:rsid w:val="00F134EF"/>
    <w:rsid w:val="00F1365B"/>
    <w:rsid w:val="00F13C23"/>
    <w:rsid w:val="00F13DA5"/>
    <w:rsid w:val="00F13E37"/>
    <w:rsid w:val="00F13F9C"/>
    <w:rsid w:val="00F1448C"/>
    <w:rsid w:val="00F149BF"/>
    <w:rsid w:val="00F15092"/>
    <w:rsid w:val="00F15306"/>
    <w:rsid w:val="00F153D1"/>
    <w:rsid w:val="00F15441"/>
    <w:rsid w:val="00F15622"/>
    <w:rsid w:val="00F1599D"/>
    <w:rsid w:val="00F15C05"/>
    <w:rsid w:val="00F15E98"/>
    <w:rsid w:val="00F15FCE"/>
    <w:rsid w:val="00F165EB"/>
    <w:rsid w:val="00F168EF"/>
    <w:rsid w:val="00F16949"/>
    <w:rsid w:val="00F16B0B"/>
    <w:rsid w:val="00F16C88"/>
    <w:rsid w:val="00F1727C"/>
    <w:rsid w:val="00F172C3"/>
    <w:rsid w:val="00F17793"/>
    <w:rsid w:val="00F1789E"/>
    <w:rsid w:val="00F17AF2"/>
    <w:rsid w:val="00F17BBB"/>
    <w:rsid w:val="00F17F81"/>
    <w:rsid w:val="00F20086"/>
    <w:rsid w:val="00F2018E"/>
    <w:rsid w:val="00F204C9"/>
    <w:rsid w:val="00F204CB"/>
    <w:rsid w:val="00F204DB"/>
    <w:rsid w:val="00F20617"/>
    <w:rsid w:val="00F2075C"/>
    <w:rsid w:val="00F20862"/>
    <w:rsid w:val="00F2107F"/>
    <w:rsid w:val="00F218E2"/>
    <w:rsid w:val="00F22031"/>
    <w:rsid w:val="00F2256A"/>
    <w:rsid w:val="00F228F3"/>
    <w:rsid w:val="00F22D60"/>
    <w:rsid w:val="00F22FCB"/>
    <w:rsid w:val="00F22FCE"/>
    <w:rsid w:val="00F2383F"/>
    <w:rsid w:val="00F23902"/>
    <w:rsid w:val="00F23C81"/>
    <w:rsid w:val="00F23CD3"/>
    <w:rsid w:val="00F23E43"/>
    <w:rsid w:val="00F24106"/>
    <w:rsid w:val="00F2413B"/>
    <w:rsid w:val="00F243D0"/>
    <w:rsid w:val="00F24F3A"/>
    <w:rsid w:val="00F24F6D"/>
    <w:rsid w:val="00F24F8C"/>
    <w:rsid w:val="00F2577A"/>
    <w:rsid w:val="00F25923"/>
    <w:rsid w:val="00F26457"/>
    <w:rsid w:val="00F26A11"/>
    <w:rsid w:val="00F26B8F"/>
    <w:rsid w:val="00F270BF"/>
    <w:rsid w:val="00F27522"/>
    <w:rsid w:val="00F27A4D"/>
    <w:rsid w:val="00F27B0A"/>
    <w:rsid w:val="00F27D99"/>
    <w:rsid w:val="00F27DD8"/>
    <w:rsid w:val="00F27F4C"/>
    <w:rsid w:val="00F30313"/>
    <w:rsid w:val="00F304C4"/>
    <w:rsid w:val="00F304CA"/>
    <w:rsid w:val="00F31180"/>
    <w:rsid w:val="00F31374"/>
    <w:rsid w:val="00F31532"/>
    <w:rsid w:val="00F31581"/>
    <w:rsid w:val="00F316EB"/>
    <w:rsid w:val="00F3181D"/>
    <w:rsid w:val="00F31AA2"/>
    <w:rsid w:val="00F321C8"/>
    <w:rsid w:val="00F32B95"/>
    <w:rsid w:val="00F33123"/>
    <w:rsid w:val="00F335D1"/>
    <w:rsid w:val="00F337D1"/>
    <w:rsid w:val="00F33811"/>
    <w:rsid w:val="00F3393A"/>
    <w:rsid w:val="00F33E33"/>
    <w:rsid w:val="00F34128"/>
    <w:rsid w:val="00F346A2"/>
    <w:rsid w:val="00F347DE"/>
    <w:rsid w:val="00F34803"/>
    <w:rsid w:val="00F34915"/>
    <w:rsid w:val="00F34B9D"/>
    <w:rsid w:val="00F34CAE"/>
    <w:rsid w:val="00F35784"/>
    <w:rsid w:val="00F3584D"/>
    <w:rsid w:val="00F3595E"/>
    <w:rsid w:val="00F35DC0"/>
    <w:rsid w:val="00F36B5F"/>
    <w:rsid w:val="00F3702D"/>
    <w:rsid w:val="00F37F23"/>
    <w:rsid w:val="00F4036A"/>
    <w:rsid w:val="00F408B0"/>
    <w:rsid w:val="00F41004"/>
    <w:rsid w:val="00F417C8"/>
    <w:rsid w:val="00F41A05"/>
    <w:rsid w:val="00F41E3E"/>
    <w:rsid w:val="00F42D31"/>
    <w:rsid w:val="00F43444"/>
    <w:rsid w:val="00F43ADF"/>
    <w:rsid w:val="00F43B88"/>
    <w:rsid w:val="00F43D91"/>
    <w:rsid w:val="00F4432F"/>
    <w:rsid w:val="00F446A4"/>
    <w:rsid w:val="00F44991"/>
    <w:rsid w:val="00F463BD"/>
    <w:rsid w:val="00F46518"/>
    <w:rsid w:val="00F46C92"/>
    <w:rsid w:val="00F4740B"/>
    <w:rsid w:val="00F47D91"/>
    <w:rsid w:val="00F47FE8"/>
    <w:rsid w:val="00F504CC"/>
    <w:rsid w:val="00F504EA"/>
    <w:rsid w:val="00F50AF2"/>
    <w:rsid w:val="00F50B85"/>
    <w:rsid w:val="00F50C12"/>
    <w:rsid w:val="00F50C70"/>
    <w:rsid w:val="00F51378"/>
    <w:rsid w:val="00F518E4"/>
    <w:rsid w:val="00F5196B"/>
    <w:rsid w:val="00F51B2E"/>
    <w:rsid w:val="00F525B8"/>
    <w:rsid w:val="00F52F7E"/>
    <w:rsid w:val="00F53565"/>
    <w:rsid w:val="00F5385E"/>
    <w:rsid w:val="00F53A76"/>
    <w:rsid w:val="00F53B34"/>
    <w:rsid w:val="00F54057"/>
    <w:rsid w:val="00F541BF"/>
    <w:rsid w:val="00F5461F"/>
    <w:rsid w:val="00F547DE"/>
    <w:rsid w:val="00F54DCA"/>
    <w:rsid w:val="00F55171"/>
    <w:rsid w:val="00F5568E"/>
    <w:rsid w:val="00F557AB"/>
    <w:rsid w:val="00F559BE"/>
    <w:rsid w:val="00F55B5D"/>
    <w:rsid w:val="00F55CF7"/>
    <w:rsid w:val="00F56320"/>
    <w:rsid w:val="00F564E2"/>
    <w:rsid w:val="00F56F4E"/>
    <w:rsid w:val="00F573D0"/>
    <w:rsid w:val="00F57470"/>
    <w:rsid w:val="00F57896"/>
    <w:rsid w:val="00F57C32"/>
    <w:rsid w:val="00F60787"/>
    <w:rsid w:val="00F60857"/>
    <w:rsid w:val="00F60A55"/>
    <w:rsid w:val="00F610F3"/>
    <w:rsid w:val="00F61168"/>
    <w:rsid w:val="00F6243A"/>
    <w:rsid w:val="00F624DC"/>
    <w:rsid w:val="00F62776"/>
    <w:rsid w:val="00F62E12"/>
    <w:rsid w:val="00F62EE3"/>
    <w:rsid w:val="00F62F7E"/>
    <w:rsid w:val="00F6369B"/>
    <w:rsid w:val="00F63AE5"/>
    <w:rsid w:val="00F63DA9"/>
    <w:rsid w:val="00F63F88"/>
    <w:rsid w:val="00F6467C"/>
    <w:rsid w:val="00F64859"/>
    <w:rsid w:val="00F64BF9"/>
    <w:rsid w:val="00F64C0F"/>
    <w:rsid w:val="00F654F5"/>
    <w:rsid w:val="00F656E1"/>
    <w:rsid w:val="00F66065"/>
    <w:rsid w:val="00F66B49"/>
    <w:rsid w:val="00F6705C"/>
    <w:rsid w:val="00F676C0"/>
    <w:rsid w:val="00F67E15"/>
    <w:rsid w:val="00F67FBA"/>
    <w:rsid w:val="00F706A0"/>
    <w:rsid w:val="00F706BD"/>
    <w:rsid w:val="00F70B4D"/>
    <w:rsid w:val="00F70BE0"/>
    <w:rsid w:val="00F70E14"/>
    <w:rsid w:val="00F711F2"/>
    <w:rsid w:val="00F71201"/>
    <w:rsid w:val="00F7122B"/>
    <w:rsid w:val="00F71422"/>
    <w:rsid w:val="00F723D7"/>
    <w:rsid w:val="00F72DCA"/>
    <w:rsid w:val="00F73332"/>
    <w:rsid w:val="00F738E3"/>
    <w:rsid w:val="00F73E14"/>
    <w:rsid w:val="00F7437B"/>
    <w:rsid w:val="00F74A89"/>
    <w:rsid w:val="00F74C05"/>
    <w:rsid w:val="00F74D44"/>
    <w:rsid w:val="00F74E93"/>
    <w:rsid w:val="00F75D52"/>
    <w:rsid w:val="00F75DBA"/>
    <w:rsid w:val="00F76058"/>
    <w:rsid w:val="00F76805"/>
    <w:rsid w:val="00F768D0"/>
    <w:rsid w:val="00F76B5E"/>
    <w:rsid w:val="00F76B9C"/>
    <w:rsid w:val="00F76BC9"/>
    <w:rsid w:val="00F771D3"/>
    <w:rsid w:val="00F7741D"/>
    <w:rsid w:val="00F7747C"/>
    <w:rsid w:val="00F7759C"/>
    <w:rsid w:val="00F777B3"/>
    <w:rsid w:val="00F77F06"/>
    <w:rsid w:val="00F80491"/>
    <w:rsid w:val="00F805D4"/>
    <w:rsid w:val="00F80FD4"/>
    <w:rsid w:val="00F811B6"/>
    <w:rsid w:val="00F81399"/>
    <w:rsid w:val="00F81AF8"/>
    <w:rsid w:val="00F81EA9"/>
    <w:rsid w:val="00F8224B"/>
    <w:rsid w:val="00F823BC"/>
    <w:rsid w:val="00F8276A"/>
    <w:rsid w:val="00F82A64"/>
    <w:rsid w:val="00F82B2B"/>
    <w:rsid w:val="00F82DA7"/>
    <w:rsid w:val="00F83734"/>
    <w:rsid w:val="00F83B8D"/>
    <w:rsid w:val="00F83C6F"/>
    <w:rsid w:val="00F83D34"/>
    <w:rsid w:val="00F83F82"/>
    <w:rsid w:val="00F8425F"/>
    <w:rsid w:val="00F84409"/>
    <w:rsid w:val="00F847DB"/>
    <w:rsid w:val="00F84819"/>
    <w:rsid w:val="00F848D7"/>
    <w:rsid w:val="00F84926"/>
    <w:rsid w:val="00F84E03"/>
    <w:rsid w:val="00F85332"/>
    <w:rsid w:val="00F853F8"/>
    <w:rsid w:val="00F85930"/>
    <w:rsid w:val="00F859B0"/>
    <w:rsid w:val="00F864DC"/>
    <w:rsid w:val="00F869E6"/>
    <w:rsid w:val="00F86A86"/>
    <w:rsid w:val="00F87523"/>
    <w:rsid w:val="00F87FFD"/>
    <w:rsid w:val="00F90EB5"/>
    <w:rsid w:val="00F9179A"/>
    <w:rsid w:val="00F91935"/>
    <w:rsid w:val="00F91A29"/>
    <w:rsid w:val="00F91A70"/>
    <w:rsid w:val="00F9241A"/>
    <w:rsid w:val="00F92925"/>
    <w:rsid w:val="00F92C94"/>
    <w:rsid w:val="00F930A0"/>
    <w:rsid w:val="00F93457"/>
    <w:rsid w:val="00F934AC"/>
    <w:rsid w:val="00F93645"/>
    <w:rsid w:val="00F936E2"/>
    <w:rsid w:val="00F9389D"/>
    <w:rsid w:val="00F93A7E"/>
    <w:rsid w:val="00F93BC3"/>
    <w:rsid w:val="00F94050"/>
    <w:rsid w:val="00F94E5D"/>
    <w:rsid w:val="00F94FA0"/>
    <w:rsid w:val="00F95741"/>
    <w:rsid w:val="00F9583B"/>
    <w:rsid w:val="00F95845"/>
    <w:rsid w:val="00F95E61"/>
    <w:rsid w:val="00F96106"/>
    <w:rsid w:val="00F963A5"/>
    <w:rsid w:val="00F9640A"/>
    <w:rsid w:val="00F96573"/>
    <w:rsid w:val="00F96ED2"/>
    <w:rsid w:val="00F972D9"/>
    <w:rsid w:val="00F97BA6"/>
    <w:rsid w:val="00FA0018"/>
    <w:rsid w:val="00FA0334"/>
    <w:rsid w:val="00FA0433"/>
    <w:rsid w:val="00FA073B"/>
    <w:rsid w:val="00FA0994"/>
    <w:rsid w:val="00FA09BC"/>
    <w:rsid w:val="00FA0B7F"/>
    <w:rsid w:val="00FA0FE2"/>
    <w:rsid w:val="00FA115A"/>
    <w:rsid w:val="00FA14E6"/>
    <w:rsid w:val="00FA1586"/>
    <w:rsid w:val="00FA16F9"/>
    <w:rsid w:val="00FA1747"/>
    <w:rsid w:val="00FA178F"/>
    <w:rsid w:val="00FA1797"/>
    <w:rsid w:val="00FA223A"/>
    <w:rsid w:val="00FA2C0D"/>
    <w:rsid w:val="00FA2C73"/>
    <w:rsid w:val="00FA3025"/>
    <w:rsid w:val="00FA3093"/>
    <w:rsid w:val="00FA345A"/>
    <w:rsid w:val="00FA34C6"/>
    <w:rsid w:val="00FA3C87"/>
    <w:rsid w:val="00FA3ECA"/>
    <w:rsid w:val="00FA3EE7"/>
    <w:rsid w:val="00FA3F42"/>
    <w:rsid w:val="00FA45E5"/>
    <w:rsid w:val="00FA4744"/>
    <w:rsid w:val="00FA4EA6"/>
    <w:rsid w:val="00FA5827"/>
    <w:rsid w:val="00FA6320"/>
    <w:rsid w:val="00FA6E91"/>
    <w:rsid w:val="00FA706B"/>
    <w:rsid w:val="00FA7AD4"/>
    <w:rsid w:val="00FA7F01"/>
    <w:rsid w:val="00FA7FE2"/>
    <w:rsid w:val="00FB03D0"/>
    <w:rsid w:val="00FB0B70"/>
    <w:rsid w:val="00FB15BC"/>
    <w:rsid w:val="00FB16D2"/>
    <w:rsid w:val="00FB1C70"/>
    <w:rsid w:val="00FB1DE6"/>
    <w:rsid w:val="00FB1DF4"/>
    <w:rsid w:val="00FB269A"/>
    <w:rsid w:val="00FB2795"/>
    <w:rsid w:val="00FB283E"/>
    <w:rsid w:val="00FB3077"/>
    <w:rsid w:val="00FB30AE"/>
    <w:rsid w:val="00FB3132"/>
    <w:rsid w:val="00FB32E1"/>
    <w:rsid w:val="00FB335D"/>
    <w:rsid w:val="00FB3566"/>
    <w:rsid w:val="00FB35E1"/>
    <w:rsid w:val="00FB3A6F"/>
    <w:rsid w:val="00FB3E7D"/>
    <w:rsid w:val="00FB4BB8"/>
    <w:rsid w:val="00FB4DFE"/>
    <w:rsid w:val="00FB587E"/>
    <w:rsid w:val="00FB6263"/>
    <w:rsid w:val="00FB6A9B"/>
    <w:rsid w:val="00FB6BDF"/>
    <w:rsid w:val="00FB6C8C"/>
    <w:rsid w:val="00FB6D2E"/>
    <w:rsid w:val="00FB7191"/>
    <w:rsid w:val="00FB7527"/>
    <w:rsid w:val="00FB767C"/>
    <w:rsid w:val="00FB7A72"/>
    <w:rsid w:val="00FB7C7E"/>
    <w:rsid w:val="00FB7F03"/>
    <w:rsid w:val="00FC067E"/>
    <w:rsid w:val="00FC06A7"/>
    <w:rsid w:val="00FC0EC5"/>
    <w:rsid w:val="00FC14A9"/>
    <w:rsid w:val="00FC20A9"/>
    <w:rsid w:val="00FC224A"/>
    <w:rsid w:val="00FC2914"/>
    <w:rsid w:val="00FC2AED"/>
    <w:rsid w:val="00FC3015"/>
    <w:rsid w:val="00FC365A"/>
    <w:rsid w:val="00FC3BDD"/>
    <w:rsid w:val="00FC420E"/>
    <w:rsid w:val="00FC4470"/>
    <w:rsid w:val="00FC4493"/>
    <w:rsid w:val="00FC455D"/>
    <w:rsid w:val="00FC4983"/>
    <w:rsid w:val="00FC4A67"/>
    <w:rsid w:val="00FC504A"/>
    <w:rsid w:val="00FC5580"/>
    <w:rsid w:val="00FC5A21"/>
    <w:rsid w:val="00FC5AFE"/>
    <w:rsid w:val="00FC5B5F"/>
    <w:rsid w:val="00FC6393"/>
    <w:rsid w:val="00FC6CFC"/>
    <w:rsid w:val="00FC71AF"/>
    <w:rsid w:val="00FC73A9"/>
    <w:rsid w:val="00FC7567"/>
    <w:rsid w:val="00FD01E2"/>
    <w:rsid w:val="00FD04CA"/>
    <w:rsid w:val="00FD04CD"/>
    <w:rsid w:val="00FD06A8"/>
    <w:rsid w:val="00FD0860"/>
    <w:rsid w:val="00FD0B7B"/>
    <w:rsid w:val="00FD1B3D"/>
    <w:rsid w:val="00FD1C8B"/>
    <w:rsid w:val="00FD1CC2"/>
    <w:rsid w:val="00FD22EF"/>
    <w:rsid w:val="00FD251B"/>
    <w:rsid w:val="00FD25C9"/>
    <w:rsid w:val="00FD260D"/>
    <w:rsid w:val="00FD2869"/>
    <w:rsid w:val="00FD2ACB"/>
    <w:rsid w:val="00FD382C"/>
    <w:rsid w:val="00FD3BE5"/>
    <w:rsid w:val="00FD5176"/>
    <w:rsid w:val="00FD51BE"/>
    <w:rsid w:val="00FD5648"/>
    <w:rsid w:val="00FD5DD2"/>
    <w:rsid w:val="00FD6143"/>
    <w:rsid w:val="00FD648D"/>
    <w:rsid w:val="00FD66FD"/>
    <w:rsid w:val="00FD6995"/>
    <w:rsid w:val="00FD7083"/>
    <w:rsid w:val="00FE0357"/>
    <w:rsid w:val="00FE0565"/>
    <w:rsid w:val="00FE0956"/>
    <w:rsid w:val="00FE15C8"/>
    <w:rsid w:val="00FE15E7"/>
    <w:rsid w:val="00FE16DA"/>
    <w:rsid w:val="00FE1BC5"/>
    <w:rsid w:val="00FE1DF5"/>
    <w:rsid w:val="00FE1ECD"/>
    <w:rsid w:val="00FE20CC"/>
    <w:rsid w:val="00FE2766"/>
    <w:rsid w:val="00FE2960"/>
    <w:rsid w:val="00FE299E"/>
    <w:rsid w:val="00FE2B47"/>
    <w:rsid w:val="00FE32A0"/>
    <w:rsid w:val="00FE33F4"/>
    <w:rsid w:val="00FE345C"/>
    <w:rsid w:val="00FE35DD"/>
    <w:rsid w:val="00FE365C"/>
    <w:rsid w:val="00FE3A0E"/>
    <w:rsid w:val="00FE3AD2"/>
    <w:rsid w:val="00FE3C3C"/>
    <w:rsid w:val="00FE3EC0"/>
    <w:rsid w:val="00FE4776"/>
    <w:rsid w:val="00FE4BFF"/>
    <w:rsid w:val="00FE4EA0"/>
    <w:rsid w:val="00FE657C"/>
    <w:rsid w:val="00FE6D94"/>
    <w:rsid w:val="00FE714D"/>
    <w:rsid w:val="00FE71A6"/>
    <w:rsid w:val="00FE71C7"/>
    <w:rsid w:val="00FE7265"/>
    <w:rsid w:val="00FE7467"/>
    <w:rsid w:val="00FE7946"/>
    <w:rsid w:val="00FF07D1"/>
    <w:rsid w:val="00FF08AE"/>
    <w:rsid w:val="00FF08E1"/>
    <w:rsid w:val="00FF09ED"/>
    <w:rsid w:val="00FF0B19"/>
    <w:rsid w:val="00FF1825"/>
    <w:rsid w:val="00FF1C61"/>
    <w:rsid w:val="00FF1CC0"/>
    <w:rsid w:val="00FF2317"/>
    <w:rsid w:val="00FF264A"/>
    <w:rsid w:val="00FF2AAE"/>
    <w:rsid w:val="00FF2CE0"/>
    <w:rsid w:val="00FF3427"/>
    <w:rsid w:val="00FF38A2"/>
    <w:rsid w:val="00FF3917"/>
    <w:rsid w:val="00FF39BA"/>
    <w:rsid w:val="00FF3AD5"/>
    <w:rsid w:val="00FF3C9E"/>
    <w:rsid w:val="00FF463E"/>
    <w:rsid w:val="00FF4B08"/>
    <w:rsid w:val="00FF512C"/>
    <w:rsid w:val="00FF543D"/>
    <w:rsid w:val="00FF565D"/>
    <w:rsid w:val="00FF5922"/>
    <w:rsid w:val="00FF5E06"/>
    <w:rsid w:val="00FF6300"/>
    <w:rsid w:val="00FF63FA"/>
    <w:rsid w:val="00FF65EF"/>
    <w:rsid w:val="00FF6E6B"/>
    <w:rsid w:val="00FF706E"/>
    <w:rsid w:val="00FF70DB"/>
    <w:rsid w:val="00FF722C"/>
    <w:rsid w:val="00FF7307"/>
    <w:rsid w:val="00FF7474"/>
    <w:rsid w:val="00FF77AE"/>
    <w:rsid w:val="00FF77EA"/>
    <w:rsid w:val="00FF7FA0"/>
    <w:rsid w:val="011E7247"/>
    <w:rsid w:val="011F17A0"/>
    <w:rsid w:val="01282A7B"/>
    <w:rsid w:val="0129072D"/>
    <w:rsid w:val="01323CE1"/>
    <w:rsid w:val="013356CF"/>
    <w:rsid w:val="013905C3"/>
    <w:rsid w:val="01401F5A"/>
    <w:rsid w:val="01431E08"/>
    <w:rsid w:val="014925F1"/>
    <w:rsid w:val="014F1C4F"/>
    <w:rsid w:val="01630769"/>
    <w:rsid w:val="01657C13"/>
    <w:rsid w:val="016829D9"/>
    <w:rsid w:val="016E6F85"/>
    <w:rsid w:val="01757986"/>
    <w:rsid w:val="017B429C"/>
    <w:rsid w:val="01912623"/>
    <w:rsid w:val="0199206D"/>
    <w:rsid w:val="01993D60"/>
    <w:rsid w:val="01B11439"/>
    <w:rsid w:val="01B25807"/>
    <w:rsid w:val="01BF1BFF"/>
    <w:rsid w:val="01C2043A"/>
    <w:rsid w:val="01CD1923"/>
    <w:rsid w:val="01CE5576"/>
    <w:rsid w:val="01D45911"/>
    <w:rsid w:val="01D600A1"/>
    <w:rsid w:val="01DB3568"/>
    <w:rsid w:val="01DB6127"/>
    <w:rsid w:val="01ED27E8"/>
    <w:rsid w:val="01EF6DF1"/>
    <w:rsid w:val="01F11CD4"/>
    <w:rsid w:val="01F246B9"/>
    <w:rsid w:val="01F908C6"/>
    <w:rsid w:val="02081B34"/>
    <w:rsid w:val="02093B73"/>
    <w:rsid w:val="02192047"/>
    <w:rsid w:val="02260047"/>
    <w:rsid w:val="022C2421"/>
    <w:rsid w:val="023B6BC5"/>
    <w:rsid w:val="023E0BA2"/>
    <w:rsid w:val="024120CC"/>
    <w:rsid w:val="02435631"/>
    <w:rsid w:val="02446D79"/>
    <w:rsid w:val="02462DCC"/>
    <w:rsid w:val="0248551D"/>
    <w:rsid w:val="02600C86"/>
    <w:rsid w:val="026174CD"/>
    <w:rsid w:val="026646EF"/>
    <w:rsid w:val="027149FB"/>
    <w:rsid w:val="02796CBD"/>
    <w:rsid w:val="027D71DE"/>
    <w:rsid w:val="02923D60"/>
    <w:rsid w:val="029441A0"/>
    <w:rsid w:val="02A33EF4"/>
    <w:rsid w:val="02A82A26"/>
    <w:rsid w:val="02B844D5"/>
    <w:rsid w:val="02BE6079"/>
    <w:rsid w:val="02C820A5"/>
    <w:rsid w:val="02D46367"/>
    <w:rsid w:val="02D9252C"/>
    <w:rsid w:val="02D958E4"/>
    <w:rsid w:val="02E5634F"/>
    <w:rsid w:val="02E641BE"/>
    <w:rsid w:val="02FC26DE"/>
    <w:rsid w:val="02FD0E1C"/>
    <w:rsid w:val="02FD10E8"/>
    <w:rsid w:val="02FF786D"/>
    <w:rsid w:val="03022507"/>
    <w:rsid w:val="03142067"/>
    <w:rsid w:val="031D1992"/>
    <w:rsid w:val="03271C74"/>
    <w:rsid w:val="03292F98"/>
    <w:rsid w:val="032A5106"/>
    <w:rsid w:val="0330356A"/>
    <w:rsid w:val="033B10B2"/>
    <w:rsid w:val="034D4E02"/>
    <w:rsid w:val="03516D38"/>
    <w:rsid w:val="036427F7"/>
    <w:rsid w:val="03667C72"/>
    <w:rsid w:val="036B1A54"/>
    <w:rsid w:val="036C60E1"/>
    <w:rsid w:val="036E4FEA"/>
    <w:rsid w:val="036F1EDC"/>
    <w:rsid w:val="0373343A"/>
    <w:rsid w:val="03750BED"/>
    <w:rsid w:val="038E4AB2"/>
    <w:rsid w:val="03942A31"/>
    <w:rsid w:val="039D7B38"/>
    <w:rsid w:val="03B26ABC"/>
    <w:rsid w:val="03D90E46"/>
    <w:rsid w:val="03DB0660"/>
    <w:rsid w:val="03DE1755"/>
    <w:rsid w:val="03DE5A5A"/>
    <w:rsid w:val="03F85470"/>
    <w:rsid w:val="03F93276"/>
    <w:rsid w:val="03FE714F"/>
    <w:rsid w:val="04082A32"/>
    <w:rsid w:val="041358F2"/>
    <w:rsid w:val="04196AFA"/>
    <w:rsid w:val="042207A6"/>
    <w:rsid w:val="042C7CED"/>
    <w:rsid w:val="043B0BD8"/>
    <w:rsid w:val="04521850"/>
    <w:rsid w:val="045B5A55"/>
    <w:rsid w:val="04672FF0"/>
    <w:rsid w:val="04686CE8"/>
    <w:rsid w:val="04701B7F"/>
    <w:rsid w:val="04822B66"/>
    <w:rsid w:val="04833AB0"/>
    <w:rsid w:val="0490487C"/>
    <w:rsid w:val="04982542"/>
    <w:rsid w:val="049A0007"/>
    <w:rsid w:val="04A92FEC"/>
    <w:rsid w:val="04AB5495"/>
    <w:rsid w:val="04AD7043"/>
    <w:rsid w:val="04D7403C"/>
    <w:rsid w:val="04D95358"/>
    <w:rsid w:val="04DD6650"/>
    <w:rsid w:val="04E03CE9"/>
    <w:rsid w:val="04E17520"/>
    <w:rsid w:val="05137986"/>
    <w:rsid w:val="05152A51"/>
    <w:rsid w:val="051817B8"/>
    <w:rsid w:val="051C29EB"/>
    <w:rsid w:val="052B5A70"/>
    <w:rsid w:val="053107C9"/>
    <w:rsid w:val="05334388"/>
    <w:rsid w:val="05393008"/>
    <w:rsid w:val="0549505B"/>
    <w:rsid w:val="054C4CD2"/>
    <w:rsid w:val="055156BB"/>
    <w:rsid w:val="055462E8"/>
    <w:rsid w:val="0564182F"/>
    <w:rsid w:val="057C4401"/>
    <w:rsid w:val="057E4667"/>
    <w:rsid w:val="05940AC6"/>
    <w:rsid w:val="05963303"/>
    <w:rsid w:val="05A1004A"/>
    <w:rsid w:val="05AF4553"/>
    <w:rsid w:val="05B13426"/>
    <w:rsid w:val="05B969C8"/>
    <w:rsid w:val="05C10962"/>
    <w:rsid w:val="05C15894"/>
    <w:rsid w:val="05C97003"/>
    <w:rsid w:val="05DC5A20"/>
    <w:rsid w:val="05DF6E61"/>
    <w:rsid w:val="05F90261"/>
    <w:rsid w:val="05FA4E9C"/>
    <w:rsid w:val="0616772D"/>
    <w:rsid w:val="06240A9D"/>
    <w:rsid w:val="06380871"/>
    <w:rsid w:val="06456265"/>
    <w:rsid w:val="064D0FF8"/>
    <w:rsid w:val="065062E0"/>
    <w:rsid w:val="06654211"/>
    <w:rsid w:val="06830DD3"/>
    <w:rsid w:val="068354C1"/>
    <w:rsid w:val="068B2DEF"/>
    <w:rsid w:val="068C658C"/>
    <w:rsid w:val="069C1EBD"/>
    <w:rsid w:val="069E37A0"/>
    <w:rsid w:val="06A42F8B"/>
    <w:rsid w:val="06A503E6"/>
    <w:rsid w:val="06A938AC"/>
    <w:rsid w:val="06AB1DCD"/>
    <w:rsid w:val="06B75E22"/>
    <w:rsid w:val="06B77447"/>
    <w:rsid w:val="06C04B42"/>
    <w:rsid w:val="06CB0960"/>
    <w:rsid w:val="06CE3431"/>
    <w:rsid w:val="06DA7ACC"/>
    <w:rsid w:val="06E96BA0"/>
    <w:rsid w:val="06EC053C"/>
    <w:rsid w:val="06F5180B"/>
    <w:rsid w:val="07140111"/>
    <w:rsid w:val="07165FDA"/>
    <w:rsid w:val="071719AF"/>
    <w:rsid w:val="071D3A97"/>
    <w:rsid w:val="07332372"/>
    <w:rsid w:val="073776AA"/>
    <w:rsid w:val="073F537A"/>
    <w:rsid w:val="074D71C6"/>
    <w:rsid w:val="075A31AA"/>
    <w:rsid w:val="0761034E"/>
    <w:rsid w:val="07653A64"/>
    <w:rsid w:val="07666493"/>
    <w:rsid w:val="07716F4D"/>
    <w:rsid w:val="077F656F"/>
    <w:rsid w:val="07881678"/>
    <w:rsid w:val="07891203"/>
    <w:rsid w:val="079B25E0"/>
    <w:rsid w:val="07A91BF7"/>
    <w:rsid w:val="07BB0012"/>
    <w:rsid w:val="07BD7ECE"/>
    <w:rsid w:val="07C6609E"/>
    <w:rsid w:val="07CA18F8"/>
    <w:rsid w:val="07CA7B51"/>
    <w:rsid w:val="07CF26C6"/>
    <w:rsid w:val="07D21D7A"/>
    <w:rsid w:val="07D96C64"/>
    <w:rsid w:val="07DA60F9"/>
    <w:rsid w:val="07DC7440"/>
    <w:rsid w:val="07DD046E"/>
    <w:rsid w:val="07E4170B"/>
    <w:rsid w:val="07E86D22"/>
    <w:rsid w:val="07EC2E3C"/>
    <w:rsid w:val="07F25598"/>
    <w:rsid w:val="07F57639"/>
    <w:rsid w:val="07FD184F"/>
    <w:rsid w:val="080C3BA3"/>
    <w:rsid w:val="0815083D"/>
    <w:rsid w:val="081952B3"/>
    <w:rsid w:val="08282128"/>
    <w:rsid w:val="0829048A"/>
    <w:rsid w:val="082A74C0"/>
    <w:rsid w:val="082F484F"/>
    <w:rsid w:val="08455F81"/>
    <w:rsid w:val="08471C58"/>
    <w:rsid w:val="084F4760"/>
    <w:rsid w:val="08661AAC"/>
    <w:rsid w:val="08713E2E"/>
    <w:rsid w:val="087374EA"/>
    <w:rsid w:val="087A1F0C"/>
    <w:rsid w:val="087A324E"/>
    <w:rsid w:val="08883E9B"/>
    <w:rsid w:val="0894403F"/>
    <w:rsid w:val="08974F78"/>
    <w:rsid w:val="089F47AA"/>
    <w:rsid w:val="08A14209"/>
    <w:rsid w:val="08B25F1C"/>
    <w:rsid w:val="08BB17B7"/>
    <w:rsid w:val="08BF140D"/>
    <w:rsid w:val="08C01BD2"/>
    <w:rsid w:val="08D06355"/>
    <w:rsid w:val="08D55065"/>
    <w:rsid w:val="08D64C13"/>
    <w:rsid w:val="08DD7D02"/>
    <w:rsid w:val="091807F6"/>
    <w:rsid w:val="091D46CF"/>
    <w:rsid w:val="091E0CD3"/>
    <w:rsid w:val="09200A2C"/>
    <w:rsid w:val="092A70D2"/>
    <w:rsid w:val="093535FE"/>
    <w:rsid w:val="093B7665"/>
    <w:rsid w:val="093F30BB"/>
    <w:rsid w:val="094000C2"/>
    <w:rsid w:val="094B6EAC"/>
    <w:rsid w:val="09540134"/>
    <w:rsid w:val="095C0D41"/>
    <w:rsid w:val="0970184A"/>
    <w:rsid w:val="09783F07"/>
    <w:rsid w:val="097F55EA"/>
    <w:rsid w:val="098145EF"/>
    <w:rsid w:val="098D1D5B"/>
    <w:rsid w:val="099E4635"/>
    <w:rsid w:val="099E4EE1"/>
    <w:rsid w:val="09AB6A03"/>
    <w:rsid w:val="09CD3038"/>
    <w:rsid w:val="09D052C8"/>
    <w:rsid w:val="09D705C5"/>
    <w:rsid w:val="09DD5835"/>
    <w:rsid w:val="09EF57B0"/>
    <w:rsid w:val="09F158A1"/>
    <w:rsid w:val="09F47D86"/>
    <w:rsid w:val="09F51C30"/>
    <w:rsid w:val="09FA2ACE"/>
    <w:rsid w:val="0A0A1BBB"/>
    <w:rsid w:val="0A115858"/>
    <w:rsid w:val="0A146F33"/>
    <w:rsid w:val="0A1C1AFB"/>
    <w:rsid w:val="0A220A71"/>
    <w:rsid w:val="0A2223A3"/>
    <w:rsid w:val="0A275576"/>
    <w:rsid w:val="0A2C5771"/>
    <w:rsid w:val="0A2E0600"/>
    <w:rsid w:val="0A300D02"/>
    <w:rsid w:val="0A3357CB"/>
    <w:rsid w:val="0A376700"/>
    <w:rsid w:val="0A3F2A8A"/>
    <w:rsid w:val="0A465819"/>
    <w:rsid w:val="0A4A5BF8"/>
    <w:rsid w:val="0A4B0665"/>
    <w:rsid w:val="0A4F740D"/>
    <w:rsid w:val="0A5709AF"/>
    <w:rsid w:val="0A58588B"/>
    <w:rsid w:val="0A6070E3"/>
    <w:rsid w:val="0A6323EE"/>
    <w:rsid w:val="0A7A4EA4"/>
    <w:rsid w:val="0A880AD3"/>
    <w:rsid w:val="0A8A2498"/>
    <w:rsid w:val="0A96708F"/>
    <w:rsid w:val="0A9C1711"/>
    <w:rsid w:val="0AA6018E"/>
    <w:rsid w:val="0AAD2F3C"/>
    <w:rsid w:val="0AAE6518"/>
    <w:rsid w:val="0AB357F8"/>
    <w:rsid w:val="0AB55EC1"/>
    <w:rsid w:val="0ABD4BA8"/>
    <w:rsid w:val="0AC72B76"/>
    <w:rsid w:val="0AC735D4"/>
    <w:rsid w:val="0AD152A3"/>
    <w:rsid w:val="0AE0659C"/>
    <w:rsid w:val="0AE14EC3"/>
    <w:rsid w:val="0AE55B8B"/>
    <w:rsid w:val="0AE7011F"/>
    <w:rsid w:val="0AF03373"/>
    <w:rsid w:val="0AF838A6"/>
    <w:rsid w:val="0B024E2D"/>
    <w:rsid w:val="0B04444C"/>
    <w:rsid w:val="0B077D21"/>
    <w:rsid w:val="0B235095"/>
    <w:rsid w:val="0B2E5519"/>
    <w:rsid w:val="0B410082"/>
    <w:rsid w:val="0B5063AC"/>
    <w:rsid w:val="0B5D195B"/>
    <w:rsid w:val="0B66607D"/>
    <w:rsid w:val="0B676090"/>
    <w:rsid w:val="0B683B84"/>
    <w:rsid w:val="0B6D4294"/>
    <w:rsid w:val="0B781D7F"/>
    <w:rsid w:val="0B7B65E4"/>
    <w:rsid w:val="0B907F82"/>
    <w:rsid w:val="0B9457E7"/>
    <w:rsid w:val="0B995C03"/>
    <w:rsid w:val="0B9D6AD4"/>
    <w:rsid w:val="0BA37CB5"/>
    <w:rsid w:val="0BAF34DD"/>
    <w:rsid w:val="0BBA65DE"/>
    <w:rsid w:val="0BBB6DAE"/>
    <w:rsid w:val="0BBB6DF8"/>
    <w:rsid w:val="0BBD604E"/>
    <w:rsid w:val="0BC1638D"/>
    <w:rsid w:val="0BC94801"/>
    <w:rsid w:val="0BCD4D32"/>
    <w:rsid w:val="0BD20A9E"/>
    <w:rsid w:val="0BD51914"/>
    <w:rsid w:val="0BDF5DFE"/>
    <w:rsid w:val="0BEB719C"/>
    <w:rsid w:val="0BEE5B01"/>
    <w:rsid w:val="0BFD0CEB"/>
    <w:rsid w:val="0BFD6B61"/>
    <w:rsid w:val="0BFF0872"/>
    <w:rsid w:val="0C0102F6"/>
    <w:rsid w:val="0C086CF3"/>
    <w:rsid w:val="0C0B585A"/>
    <w:rsid w:val="0C0F70F9"/>
    <w:rsid w:val="0C117376"/>
    <w:rsid w:val="0C234952"/>
    <w:rsid w:val="0C27477D"/>
    <w:rsid w:val="0C2A68EF"/>
    <w:rsid w:val="0C2C3BC5"/>
    <w:rsid w:val="0C2E14F9"/>
    <w:rsid w:val="0C2F56BC"/>
    <w:rsid w:val="0C462593"/>
    <w:rsid w:val="0C6E5006"/>
    <w:rsid w:val="0C737A20"/>
    <w:rsid w:val="0C804F62"/>
    <w:rsid w:val="0C81444B"/>
    <w:rsid w:val="0C963376"/>
    <w:rsid w:val="0CA61B49"/>
    <w:rsid w:val="0CA666F2"/>
    <w:rsid w:val="0CBB102F"/>
    <w:rsid w:val="0CC43924"/>
    <w:rsid w:val="0CE045F1"/>
    <w:rsid w:val="0CE560AB"/>
    <w:rsid w:val="0CFC6BA1"/>
    <w:rsid w:val="0D1129FD"/>
    <w:rsid w:val="0D136A19"/>
    <w:rsid w:val="0D144FFA"/>
    <w:rsid w:val="0D274ECB"/>
    <w:rsid w:val="0D2C6A3E"/>
    <w:rsid w:val="0D2E6F7E"/>
    <w:rsid w:val="0D3E16A4"/>
    <w:rsid w:val="0D466868"/>
    <w:rsid w:val="0D5E4965"/>
    <w:rsid w:val="0D703BC7"/>
    <w:rsid w:val="0D7654CD"/>
    <w:rsid w:val="0D7754AA"/>
    <w:rsid w:val="0D7F260F"/>
    <w:rsid w:val="0D86163D"/>
    <w:rsid w:val="0D8A10AB"/>
    <w:rsid w:val="0D8D380F"/>
    <w:rsid w:val="0D8D6C5C"/>
    <w:rsid w:val="0D9F625A"/>
    <w:rsid w:val="0DA841F9"/>
    <w:rsid w:val="0DC64C17"/>
    <w:rsid w:val="0DD71E42"/>
    <w:rsid w:val="0DDC74AE"/>
    <w:rsid w:val="0E0203EF"/>
    <w:rsid w:val="0E0F56DE"/>
    <w:rsid w:val="0E17181E"/>
    <w:rsid w:val="0E183476"/>
    <w:rsid w:val="0E212A92"/>
    <w:rsid w:val="0E233E96"/>
    <w:rsid w:val="0E2A6A97"/>
    <w:rsid w:val="0E2E3669"/>
    <w:rsid w:val="0E306788"/>
    <w:rsid w:val="0E5162F6"/>
    <w:rsid w:val="0E5663CC"/>
    <w:rsid w:val="0E5916A9"/>
    <w:rsid w:val="0E627432"/>
    <w:rsid w:val="0E657004"/>
    <w:rsid w:val="0E763FDE"/>
    <w:rsid w:val="0E8603DC"/>
    <w:rsid w:val="0E8858A6"/>
    <w:rsid w:val="0E8D096C"/>
    <w:rsid w:val="0EBA7055"/>
    <w:rsid w:val="0EC554A0"/>
    <w:rsid w:val="0EC7663D"/>
    <w:rsid w:val="0ECB13AD"/>
    <w:rsid w:val="0ECE0BAB"/>
    <w:rsid w:val="0ECE5049"/>
    <w:rsid w:val="0ED46549"/>
    <w:rsid w:val="0EE419F2"/>
    <w:rsid w:val="0EE93D5A"/>
    <w:rsid w:val="0F01766E"/>
    <w:rsid w:val="0F0245DB"/>
    <w:rsid w:val="0F0F29E5"/>
    <w:rsid w:val="0F114E23"/>
    <w:rsid w:val="0F164AE3"/>
    <w:rsid w:val="0F1974B4"/>
    <w:rsid w:val="0F32207A"/>
    <w:rsid w:val="0F38491E"/>
    <w:rsid w:val="0F491BD2"/>
    <w:rsid w:val="0F6B614E"/>
    <w:rsid w:val="0F704352"/>
    <w:rsid w:val="0F780545"/>
    <w:rsid w:val="0FA71432"/>
    <w:rsid w:val="0FAF7A07"/>
    <w:rsid w:val="0FB80B94"/>
    <w:rsid w:val="0FB90AC6"/>
    <w:rsid w:val="0FCB1088"/>
    <w:rsid w:val="0FD32067"/>
    <w:rsid w:val="0FD46AC5"/>
    <w:rsid w:val="0FDB5A6C"/>
    <w:rsid w:val="0FDF5034"/>
    <w:rsid w:val="0FE02C78"/>
    <w:rsid w:val="0FEB3A0E"/>
    <w:rsid w:val="0FEE3FCD"/>
    <w:rsid w:val="0FF55E19"/>
    <w:rsid w:val="0FFA3C1C"/>
    <w:rsid w:val="10160E45"/>
    <w:rsid w:val="10183869"/>
    <w:rsid w:val="1029443E"/>
    <w:rsid w:val="103E7CC1"/>
    <w:rsid w:val="103F5AD3"/>
    <w:rsid w:val="10437560"/>
    <w:rsid w:val="105931FD"/>
    <w:rsid w:val="105A1487"/>
    <w:rsid w:val="105A16B0"/>
    <w:rsid w:val="105D1866"/>
    <w:rsid w:val="1064240D"/>
    <w:rsid w:val="1067397B"/>
    <w:rsid w:val="10674AD8"/>
    <w:rsid w:val="106B26CE"/>
    <w:rsid w:val="106F7B32"/>
    <w:rsid w:val="107A35C3"/>
    <w:rsid w:val="108A4FA0"/>
    <w:rsid w:val="108C1EAE"/>
    <w:rsid w:val="108C39E7"/>
    <w:rsid w:val="10912CC7"/>
    <w:rsid w:val="10B463A3"/>
    <w:rsid w:val="10BD4D66"/>
    <w:rsid w:val="10BE48DA"/>
    <w:rsid w:val="10BF549C"/>
    <w:rsid w:val="10C17FB4"/>
    <w:rsid w:val="10D01B53"/>
    <w:rsid w:val="10D82589"/>
    <w:rsid w:val="10E356AB"/>
    <w:rsid w:val="10F15B16"/>
    <w:rsid w:val="11391FBD"/>
    <w:rsid w:val="113D2012"/>
    <w:rsid w:val="113E5C97"/>
    <w:rsid w:val="114354BD"/>
    <w:rsid w:val="11717A1B"/>
    <w:rsid w:val="11816AC7"/>
    <w:rsid w:val="11835B96"/>
    <w:rsid w:val="11977550"/>
    <w:rsid w:val="119A0EE4"/>
    <w:rsid w:val="119D2AF0"/>
    <w:rsid w:val="11A007F3"/>
    <w:rsid w:val="11B165DF"/>
    <w:rsid w:val="11BD6E3E"/>
    <w:rsid w:val="11C071DB"/>
    <w:rsid w:val="11C269BB"/>
    <w:rsid w:val="11D230A2"/>
    <w:rsid w:val="11E44B84"/>
    <w:rsid w:val="11F171D1"/>
    <w:rsid w:val="12020F8C"/>
    <w:rsid w:val="120745F4"/>
    <w:rsid w:val="12103B36"/>
    <w:rsid w:val="12122CD1"/>
    <w:rsid w:val="121E33CC"/>
    <w:rsid w:val="1223293F"/>
    <w:rsid w:val="1225617B"/>
    <w:rsid w:val="122829CF"/>
    <w:rsid w:val="1245221F"/>
    <w:rsid w:val="125308C6"/>
    <w:rsid w:val="12543450"/>
    <w:rsid w:val="125606F6"/>
    <w:rsid w:val="126250D1"/>
    <w:rsid w:val="1265705C"/>
    <w:rsid w:val="12730652"/>
    <w:rsid w:val="1273108A"/>
    <w:rsid w:val="127F48AC"/>
    <w:rsid w:val="12821401"/>
    <w:rsid w:val="128819B3"/>
    <w:rsid w:val="12887C05"/>
    <w:rsid w:val="128A1CDD"/>
    <w:rsid w:val="129533D5"/>
    <w:rsid w:val="12994196"/>
    <w:rsid w:val="12AF0CEE"/>
    <w:rsid w:val="12D11423"/>
    <w:rsid w:val="12D16CBD"/>
    <w:rsid w:val="12D3094F"/>
    <w:rsid w:val="12D35485"/>
    <w:rsid w:val="12D94EB7"/>
    <w:rsid w:val="12DD5EDF"/>
    <w:rsid w:val="12E50BB3"/>
    <w:rsid w:val="12ED1816"/>
    <w:rsid w:val="12F40DF6"/>
    <w:rsid w:val="12F73742"/>
    <w:rsid w:val="12F82111"/>
    <w:rsid w:val="12FE46D8"/>
    <w:rsid w:val="12FE7EC7"/>
    <w:rsid w:val="130C0BB1"/>
    <w:rsid w:val="131420DD"/>
    <w:rsid w:val="1325093E"/>
    <w:rsid w:val="13274981"/>
    <w:rsid w:val="132876B5"/>
    <w:rsid w:val="133158C0"/>
    <w:rsid w:val="1334247E"/>
    <w:rsid w:val="133C7EFE"/>
    <w:rsid w:val="134339F7"/>
    <w:rsid w:val="13451C8B"/>
    <w:rsid w:val="13467042"/>
    <w:rsid w:val="135562D0"/>
    <w:rsid w:val="13581385"/>
    <w:rsid w:val="135A1A5A"/>
    <w:rsid w:val="13654854"/>
    <w:rsid w:val="136715C8"/>
    <w:rsid w:val="13767A5D"/>
    <w:rsid w:val="137B289C"/>
    <w:rsid w:val="138360D8"/>
    <w:rsid w:val="138967DF"/>
    <w:rsid w:val="13A2245D"/>
    <w:rsid w:val="13AD128D"/>
    <w:rsid w:val="13C503CB"/>
    <w:rsid w:val="13DB410D"/>
    <w:rsid w:val="13DF0066"/>
    <w:rsid w:val="13E161B7"/>
    <w:rsid w:val="13E32E36"/>
    <w:rsid w:val="13E8257D"/>
    <w:rsid w:val="13EC7B9F"/>
    <w:rsid w:val="13F35552"/>
    <w:rsid w:val="13F65BFB"/>
    <w:rsid w:val="13FC6308"/>
    <w:rsid w:val="140137CB"/>
    <w:rsid w:val="140B2969"/>
    <w:rsid w:val="141A3A64"/>
    <w:rsid w:val="141E08F5"/>
    <w:rsid w:val="14321BD6"/>
    <w:rsid w:val="144B0CE5"/>
    <w:rsid w:val="14531B4D"/>
    <w:rsid w:val="14552171"/>
    <w:rsid w:val="145B2F33"/>
    <w:rsid w:val="1462000F"/>
    <w:rsid w:val="14693A81"/>
    <w:rsid w:val="146B50D7"/>
    <w:rsid w:val="147321EF"/>
    <w:rsid w:val="14757B67"/>
    <w:rsid w:val="14882A1E"/>
    <w:rsid w:val="148F358C"/>
    <w:rsid w:val="14AD74AF"/>
    <w:rsid w:val="14B33790"/>
    <w:rsid w:val="14B342E3"/>
    <w:rsid w:val="14BD4A16"/>
    <w:rsid w:val="14C111AC"/>
    <w:rsid w:val="14CB2187"/>
    <w:rsid w:val="14CE1A25"/>
    <w:rsid w:val="14CF3D09"/>
    <w:rsid w:val="14D64AF2"/>
    <w:rsid w:val="14D77B2F"/>
    <w:rsid w:val="14D83A13"/>
    <w:rsid w:val="14DA7E63"/>
    <w:rsid w:val="14E16BAC"/>
    <w:rsid w:val="14F25197"/>
    <w:rsid w:val="15037836"/>
    <w:rsid w:val="15094487"/>
    <w:rsid w:val="150978C9"/>
    <w:rsid w:val="150E08A7"/>
    <w:rsid w:val="15183148"/>
    <w:rsid w:val="15215FB7"/>
    <w:rsid w:val="152B2D63"/>
    <w:rsid w:val="15436065"/>
    <w:rsid w:val="15481B91"/>
    <w:rsid w:val="154F2152"/>
    <w:rsid w:val="155F37DA"/>
    <w:rsid w:val="15610299"/>
    <w:rsid w:val="15666C79"/>
    <w:rsid w:val="15977772"/>
    <w:rsid w:val="15990204"/>
    <w:rsid w:val="159B2603"/>
    <w:rsid w:val="15A656EB"/>
    <w:rsid w:val="15AD5D05"/>
    <w:rsid w:val="15CB4FC3"/>
    <w:rsid w:val="15CE4105"/>
    <w:rsid w:val="15DF03F7"/>
    <w:rsid w:val="15E909BB"/>
    <w:rsid w:val="15EE4223"/>
    <w:rsid w:val="16026AD0"/>
    <w:rsid w:val="1608735B"/>
    <w:rsid w:val="16105EDA"/>
    <w:rsid w:val="162306F1"/>
    <w:rsid w:val="16257519"/>
    <w:rsid w:val="16296F55"/>
    <w:rsid w:val="163F1189"/>
    <w:rsid w:val="164B51D1"/>
    <w:rsid w:val="1651030E"/>
    <w:rsid w:val="165247B2"/>
    <w:rsid w:val="165D4F05"/>
    <w:rsid w:val="165D6CB3"/>
    <w:rsid w:val="166E21EF"/>
    <w:rsid w:val="167B03A2"/>
    <w:rsid w:val="168C7FF2"/>
    <w:rsid w:val="16977FE6"/>
    <w:rsid w:val="169D5314"/>
    <w:rsid w:val="16A51F21"/>
    <w:rsid w:val="16A63675"/>
    <w:rsid w:val="16A7036B"/>
    <w:rsid w:val="16A82C2B"/>
    <w:rsid w:val="16B32408"/>
    <w:rsid w:val="16B62E22"/>
    <w:rsid w:val="16BA7482"/>
    <w:rsid w:val="16BC30BE"/>
    <w:rsid w:val="16C3745D"/>
    <w:rsid w:val="16CE39D7"/>
    <w:rsid w:val="16DD4959"/>
    <w:rsid w:val="16E6490E"/>
    <w:rsid w:val="16E66CA8"/>
    <w:rsid w:val="16ED4E7D"/>
    <w:rsid w:val="16F216BC"/>
    <w:rsid w:val="1700164A"/>
    <w:rsid w:val="1700372F"/>
    <w:rsid w:val="170C7476"/>
    <w:rsid w:val="17163144"/>
    <w:rsid w:val="172B0CDD"/>
    <w:rsid w:val="172D7AA2"/>
    <w:rsid w:val="17337E4D"/>
    <w:rsid w:val="17716EB9"/>
    <w:rsid w:val="177D4F01"/>
    <w:rsid w:val="178169F9"/>
    <w:rsid w:val="17825D0C"/>
    <w:rsid w:val="178E0936"/>
    <w:rsid w:val="17970914"/>
    <w:rsid w:val="17A66C16"/>
    <w:rsid w:val="17A976C3"/>
    <w:rsid w:val="17B121F0"/>
    <w:rsid w:val="17B635A4"/>
    <w:rsid w:val="17B7620F"/>
    <w:rsid w:val="17B836BC"/>
    <w:rsid w:val="17B86896"/>
    <w:rsid w:val="17BE19D3"/>
    <w:rsid w:val="17C72661"/>
    <w:rsid w:val="17DD7119"/>
    <w:rsid w:val="17F3249E"/>
    <w:rsid w:val="17F50208"/>
    <w:rsid w:val="17F906B8"/>
    <w:rsid w:val="18007FD9"/>
    <w:rsid w:val="18014953"/>
    <w:rsid w:val="1804114F"/>
    <w:rsid w:val="181365A5"/>
    <w:rsid w:val="181953BA"/>
    <w:rsid w:val="18221F62"/>
    <w:rsid w:val="182A149F"/>
    <w:rsid w:val="1839535F"/>
    <w:rsid w:val="183F1ED5"/>
    <w:rsid w:val="18581E27"/>
    <w:rsid w:val="18594EFE"/>
    <w:rsid w:val="185C041A"/>
    <w:rsid w:val="185E01CA"/>
    <w:rsid w:val="186B630D"/>
    <w:rsid w:val="186D4F87"/>
    <w:rsid w:val="1871340D"/>
    <w:rsid w:val="187622AE"/>
    <w:rsid w:val="187915BE"/>
    <w:rsid w:val="187F7C1A"/>
    <w:rsid w:val="18814EDA"/>
    <w:rsid w:val="188C0A9D"/>
    <w:rsid w:val="189162D8"/>
    <w:rsid w:val="18955CBE"/>
    <w:rsid w:val="18A000DE"/>
    <w:rsid w:val="18A26C30"/>
    <w:rsid w:val="18A312F5"/>
    <w:rsid w:val="18A706B9"/>
    <w:rsid w:val="18B96779"/>
    <w:rsid w:val="18C0464D"/>
    <w:rsid w:val="18CC7B8D"/>
    <w:rsid w:val="18D23B3F"/>
    <w:rsid w:val="18D321BC"/>
    <w:rsid w:val="18D6150E"/>
    <w:rsid w:val="18D65BC0"/>
    <w:rsid w:val="18E27EA6"/>
    <w:rsid w:val="18E31E49"/>
    <w:rsid w:val="18EB2C9C"/>
    <w:rsid w:val="18ED431E"/>
    <w:rsid w:val="18F002B2"/>
    <w:rsid w:val="18F112C0"/>
    <w:rsid w:val="18F61A36"/>
    <w:rsid w:val="19056169"/>
    <w:rsid w:val="190F282A"/>
    <w:rsid w:val="191B532F"/>
    <w:rsid w:val="1923608A"/>
    <w:rsid w:val="192414CC"/>
    <w:rsid w:val="192B2081"/>
    <w:rsid w:val="193A321C"/>
    <w:rsid w:val="193F2D2A"/>
    <w:rsid w:val="19436634"/>
    <w:rsid w:val="19475A92"/>
    <w:rsid w:val="19521389"/>
    <w:rsid w:val="19550115"/>
    <w:rsid w:val="19654F94"/>
    <w:rsid w:val="1967021C"/>
    <w:rsid w:val="196813B4"/>
    <w:rsid w:val="19683537"/>
    <w:rsid w:val="197437A9"/>
    <w:rsid w:val="199A18DC"/>
    <w:rsid w:val="19A975C4"/>
    <w:rsid w:val="19AF4CC2"/>
    <w:rsid w:val="19B2525C"/>
    <w:rsid w:val="19B927AE"/>
    <w:rsid w:val="19C709C2"/>
    <w:rsid w:val="19CA460F"/>
    <w:rsid w:val="19CD24D0"/>
    <w:rsid w:val="19CF2B18"/>
    <w:rsid w:val="19D22F5A"/>
    <w:rsid w:val="19D3655B"/>
    <w:rsid w:val="19E65BEC"/>
    <w:rsid w:val="19E849E3"/>
    <w:rsid w:val="19EE37DC"/>
    <w:rsid w:val="19F647DD"/>
    <w:rsid w:val="1A031D2E"/>
    <w:rsid w:val="1A0D279E"/>
    <w:rsid w:val="1A1A704C"/>
    <w:rsid w:val="1A361CF4"/>
    <w:rsid w:val="1A3E32B0"/>
    <w:rsid w:val="1A4E67A3"/>
    <w:rsid w:val="1A4F1D15"/>
    <w:rsid w:val="1A5B37A5"/>
    <w:rsid w:val="1A695DD5"/>
    <w:rsid w:val="1A774C9C"/>
    <w:rsid w:val="1A802CE7"/>
    <w:rsid w:val="1A8E2448"/>
    <w:rsid w:val="1A92122F"/>
    <w:rsid w:val="1A924249"/>
    <w:rsid w:val="1A951749"/>
    <w:rsid w:val="1A9B68A1"/>
    <w:rsid w:val="1A9D0666"/>
    <w:rsid w:val="1A9E554F"/>
    <w:rsid w:val="1AA12046"/>
    <w:rsid w:val="1AA55CCB"/>
    <w:rsid w:val="1AA90718"/>
    <w:rsid w:val="1AAA2979"/>
    <w:rsid w:val="1AC1797D"/>
    <w:rsid w:val="1AC54A87"/>
    <w:rsid w:val="1ACF2182"/>
    <w:rsid w:val="1AD216DB"/>
    <w:rsid w:val="1ADC43B6"/>
    <w:rsid w:val="1ADF3DA7"/>
    <w:rsid w:val="1AF15329"/>
    <w:rsid w:val="1AF51C26"/>
    <w:rsid w:val="1AFB72AE"/>
    <w:rsid w:val="1B1E4D15"/>
    <w:rsid w:val="1B3A2DE8"/>
    <w:rsid w:val="1B3B5CA9"/>
    <w:rsid w:val="1B3F1A91"/>
    <w:rsid w:val="1B43428E"/>
    <w:rsid w:val="1B477128"/>
    <w:rsid w:val="1B49282A"/>
    <w:rsid w:val="1B4B1F54"/>
    <w:rsid w:val="1B5D2083"/>
    <w:rsid w:val="1B6603B7"/>
    <w:rsid w:val="1B690B70"/>
    <w:rsid w:val="1B6B5CD4"/>
    <w:rsid w:val="1B6F3652"/>
    <w:rsid w:val="1B7067BA"/>
    <w:rsid w:val="1B784299"/>
    <w:rsid w:val="1B7D4618"/>
    <w:rsid w:val="1B7F3268"/>
    <w:rsid w:val="1B852734"/>
    <w:rsid w:val="1B8763DB"/>
    <w:rsid w:val="1B8C0F36"/>
    <w:rsid w:val="1B91148A"/>
    <w:rsid w:val="1B9C202B"/>
    <w:rsid w:val="1BA60A49"/>
    <w:rsid w:val="1BA6512B"/>
    <w:rsid w:val="1BBF27F4"/>
    <w:rsid w:val="1BC24624"/>
    <w:rsid w:val="1BCA70EF"/>
    <w:rsid w:val="1BCC15DA"/>
    <w:rsid w:val="1BF81957"/>
    <w:rsid w:val="1BF83E98"/>
    <w:rsid w:val="1C0425E7"/>
    <w:rsid w:val="1C063FC0"/>
    <w:rsid w:val="1C111A84"/>
    <w:rsid w:val="1C1F69E4"/>
    <w:rsid w:val="1C212950"/>
    <w:rsid w:val="1C246FE5"/>
    <w:rsid w:val="1C337F21"/>
    <w:rsid w:val="1C3911E3"/>
    <w:rsid w:val="1C3E1334"/>
    <w:rsid w:val="1C3E7139"/>
    <w:rsid w:val="1C404D4C"/>
    <w:rsid w:val="1C414F39"/>
    <w:rsid w:val="1C571C85"/>
    <w:rsid w:val="1C583A48"/>
    <w:rsid w:val="1C5C2AF3"/>
    <w:rsid w:val="1C6C55F7"/>
    <w:rsid w:val="1C707C2F"/>
    <w:rsid w:val="1C73472A"/>
    <w:rsid w:val="1C7F623C"/>
    <w:rsid w:val="1C8F71D5"/>
    <w:rsid w:val="1C97240B"/>
    <w:rsid w:val="1CA94436"/>
    <w:rsid w:val="1CAE291A"/>
    <w:rsid w:val="1CB44FAC"/>
    <w:rsid w:val="1CC04989"/>
    <w:rsid w:val="1CC42308"/>
    <w:rsid w:val="1CCC3B8F"/>
    <w:rsid w:val="1CCD2A1A"/>
    <w:rsid w:val="1CDF3B2A"/>
    <w:rsid w:val="1CDF5B40"/>
    <w:rsid w:val="1CE31E01"/>
    <w:rsid w:val="1CE869EC"/>
    <w:rsid w:val="1CEB326A"/>
    <w:rsid w:val="1CF01DFC"/>
    <w:rsid w:val="1CF10D25"/>
    <w:rsid w:val="1D083E1C"/>
    <w:rsid w:val="1D175962"/>
    <w:rsid w:val="1D1E01AD"/>
    <w:rsid w:val="1D242ABF"/>
    <w:rsid w:val="1D25772D"/>
    <w:rsid w:val="1D277858"/>
    <w:rsid w:val="1D3F37D9"/>
    <w:rsid w:val="1D437A23"/>
    <w:rsid w:val="1D4A1394"/>
    <w:rsid w:val="1D6738D3"/>
    <w:rsid w:val="1D6A3012"/>
    <w:rsid w:val="1D6F1F21"/>
    <w:rsid w:val="1D7274E7"/>
    <w:rsid w:val="1D7429EE"/>
    <w:rsid w:val="1D832642"/>
    <w:rsid w:val="1D962C41"/>
    <w:rsid w:val="1D9D20E8"/>
    <w:rsid w:val="1DA218F7"/>
    <w:rsid w:val="1DA312EF"/>
    <w:rsid w:val="1DAB476F"/>
    <w:rsid w:val="1DB00A99"/>
    <w:rsid w:val="1DBE44DB"/>
    <w:rsid w:val="1DC209CF"/>
    <w:rsid w:val="1DCC682C"/>
    <w:rsid w:val="1DD06D7B"/>
    <w:rsid w:val="1DEA0C37"/>
    <w:rsid w:val="1DEB5128"/>
    <w:rsid w:val="1DF04DDD"/>
    <w:rsid w:val="1E0461DD"/>
    <w:rsid w:val="1E0A7A78"/>
    <w:rsid w:val="1E0D7152"/>
    <w:rsid w:val="1E105C36"/>
    <w:rsid w:val="1E1F0B85"/>
    <w:rsid w:val="1E276524"/>
    <w:rsid w:val="1E291BA7"/>
    <w:rsid w:val="1E3864C9"/>
    <w:rsid w:val="1E405372"/>
    <w:rsid w:val="1E423424"/>
    <w:rsid w:val="1E4D7403"/>
    <w:rsid w:val="1E5B4118"/>
    <w:rsid w:val="1E5B7EB6"/>
    <w:rsid w:val="1E6F0622"/>
    <w:rsid w:val="1E74329E"/>
    <w:rsid w:val="1E756685"/>
    <w:rsid w:val="1E7E6FFA"/>
    <w:rsid w:val="1E9F7F55"/>
    <w:rsid w:val="1EA01D0F"/>
    <w:rsid w:val="1EA666E9"/>
    <w:rsid w:val="1EAD41B4"/>
    <w:rsid w:val="1EB44C7D"/>
    <w:rsid w:val="1EBF4818"/>
    <w:rsid w:val="1ECC3B29"/>
    <w:rsid w:val="1EDB440D"/>
    <w:rsid w:val="1EE3035C"/>
    <w:rsid w:val="1F07086C"/>
    <w:rsid w:val="1F1B1EAC"/>
    <w:rsid w:val="1F2376B8"/>
    <w:rsid w:val="1F2B11C5"/>
    <w:rsid w:val="1F362AED"/>
    <w:rsid w:val="1F490386"/>
    <w:rsid w:val="1F577D53"/>
    <w:rsid w:val="1F5C38A8"/>
    <w:rsid w:val="1F744E81"/>
    <w:rsid w:val="1F766F96"/>
    <w:rsid w:val="1F7B024C"/>
    <w:rsid w:val="1F866881"/>
    <w:rsid w:val="1F867F8D"/>
    <w:rsid w:val="1F9A3CF4"/>
    <w:rsid w:val="1F9C6A9E"/>
    <w:rsid w:val="1FA228EE"/>
    <w:rsid w:val="1FB133D5"/>
    <w:rsid w:val="1FC45DA7"/>
    <w:rsid w:val="1FD1579B"/>
    <w:rsid w:val="1FD44704"/>
    <w:rsid w:val="1FD62B53"/>
    <w:rsid w:val="1FDB67AB"/>
    <w:rsid w:val="1FDF3BD3"/>
    <w:rsid w:val="1FE26B1A"/>
    <w:rsid w:val="1FED3306"/>
    <w:rsid w:val="1FEF18E2"/>
    <w:rsid w:val="1FF66A02"/>
    <w:rsid w:val="1FF713BF"/>
    <w:rsid w:val="1FFB6B0B"/>
    <w:rsid w:val="20073127"/>
    <w:rsid w:val="200846B0"/>
    <w:rsid w:val="20087C8F"/>
    <w:rsid w:val="200C1F5C"/>
    <w:rsid w:val="200F101E"/>
    <w:rsid w:val="2016700C"/>
    <w:rsid w:val="20170856"/>
    <w:rsid w:val="20194B41"/>
    <w:rsid w:val="202A5E57"/>
    <w:rsid w:val="202E2AFA"/>
    <w:rsid w:val="20367DF6"/>
    <w:rsid w:val="20464E04"/>
    <w:rsid w:val="204A2079"/>
    <w:rsid w:val="20503FE2"/>
    <w:rsid w:val="20515E3E"/>
    <w:rsid w:val="205F0ADF"/>
    <w:rsid w:val="206029DA"/>
    <w:rsid w:val="20747F45"/>
    <w:rsid w:val="207935A9"/>
    <w:rsid w:val="207D242B"/>
    <w:rsid w:val="2084686B"/>
    <w:rsid w:val="208602F9"/>
    <w:rsid w:val="2088547E"/>
    <w:rsid w:val="2095050D"/>
    <w:rsid w:val="20987A3E"/>
    <w:rsid w:val="20A5052E"/>
    <w:rsid w:val="20AB0625"/>
    <w:rsid w:val="20AE23D3"/>
    <w:rsid w:val="20BC39D5"/>
    <w:rsid w:val="20C61512"/>
    <w:rsid w:val="20D9088A"/>
    <w:rsid w:val="20DA2BE3"/>
    <w:rsid w:val="20DC4440"/>
    <w:rsid w:val="20E71F9A"/>
    <w:rsid w:val="20ED548F"/>
    <w:rsid w:val="20F0702F"/>
    <w:rsid w:val="20FA1CCE"/>
    <w:rsid w:val="21051C71"/>
    <w:rsid w:val="211A7FD6"/>
    <w:rsid w:val="211D067B"/>
    <w:rsid w:val="211D680E"/>
    <w:rsid w:val="212622BF"/>
    <w:rsid w:val="21455967"/>
    <w:rsid w:val="21503045"/>
    <w:rsid w:val="215F1178"/>
    <w:rsid w:val="216726C4"/>
    <w:rsid w:val="21687FDF"/>
    <w:rsid w:val="216B665A"/>
    <w:rsid w:val="21701450"/>
    <w:rsid w:val="21786CA9"/>
    <w:rsid w:val="2181256D"/>
    <w:rsid w:val="21C6663D"/>
    <w:rsid w:val="21C668EA"/>
    <w:rsid w:val="21D20931"/>
    <w:rsid w:val="21FA1C61"/>
    <w:rsid w:val="220447EF"/>
    <w:rsid w:val="22045B1D"/>
    <w:rsid w:val="22045C6D"/>
    <w:rsid w:val="22083A2D"/>
    <w:rsid w:val="2217559A"/>
    <w:rsid w:val="221F2695"/>
    <w:rsid w:val="222F6569"/>
    <w:rsid w:val="223139D2"/>
    <w:rsid w:val="2233766F"/>
    <w:rsid w:val="224156DA"/>
    <w:rsid w:val="2246065B"/>
    <w:rsid w:val="22461C68"/>
    <w:rsid w:val="224C0B4A"/>
    <w:rsid w:val="224F7DF7"/>
    <w:rsid w:val="225166AE"/>
    <w:rsid w:val="22613267"/>
    <w:rsid w:val="22690E6D"/>
    <w:rsid w:val="226D4721"/>
    <w:rsid w:val="227A34D9"/>
    <w:rsid w:val="228F594C"/>
    <w:rsid w:val="2290339F"/>
    <w:rsid w:val="22966FBA"/>
    <w:rsid w:val="229B0344"/>
    <w:rsid w:val="229B7D58"/>
    <w:rsid w:val="229C112C"/>
    <w:rsid w:val="229E6FB1"/>
    <w:rsid w:val="22A10065"/>
    <w:rsid w:val="22A81B69"/>
    <w:rsid w:val="22AD3B60"/>
    <w:rsid w:val="22AF0271"/>
    <w:rsid w:val="22BC4E8D"/>
    <w:rsid w:val="22BE4489"/>
    <w:rsid w:val="22C5391D"/>
    <w:rsid w:val="22C56723"/>
    <w:rsid w:val="22C7695A"/>
    <w:rsid w:val="22D274BE"/>
    <w:rsid w:val="22D80C7C"/>
    <w:rsid w:val="22E14E26"/>
    <w:rsid w:val="22F4416A"/>
    <w:rsid w:val="22F46603"/>
    <w:rsid w:val="22F73929"/>
    <w:rsid w:val="22FA4207"/>
    <w:rsid w:val="23045086"/>
    <w:rsid w:val="23090FEC"/>
    <w:rsid w:val="231D26BA"/>
    <w:rsid w:val="232F46FA"/>
    <w:rsid w:val="234346C4"/>
    <w:rsid w:val="235B7021"/>
    <w:rsid w:val="235F110F"/>
    <w:rsid w:val="2375171F"/>
    <w:rsid w:val="23867849"/>
    <w:rsid w:val="23987349"/>
    <w:rsid w:val="23996F6D"/>
    <w:rsid w:val="239B4B29"/>
    <w:rsid w:val="239D4771"/>
    <w:rsid w:val="239E5F71"/>
    <w:rsid w:val="239F3036"/>
    <w:rsid w:val="23A36A7A"/>
    <w:rsid w:val="23B64698"/>
    <w:rsid w:val="23BC326A"/>
    <w:rsid w:val="23BD2AC9"/>
    <w:rsid w:val="23C15AB0"/>
    <w:rsid w:val="23C72578"/>
    <w:rsid w:val="23C77418"/>
    <w:rsid w:val="23CD52D2"/>
    <w:rsid w:val="23D50595"/>
    <w:rsid w:val="23DC7011"/>
    <w:rsid w:val="23DD0FAC"/>
    <w:rsid w:val="23E17CB3"/>
    <w:rsid w:val="23E31A42"/>
    <w:rsid w:val="23E91B49"/>
    <w:rsid w:val="23ED48F4"/>
    <w:rsid w:val="240C57DF"/>
    <w:rsid w:val="240F2690"/>
    <w:rsid w:val="242560A7"/>
    <w:rsid w:val="24362822"/>
    <w:rsid w:val="24373BAC"/>
    <w:rsid w:val="24466B43"/>
    <w:rsid w:val="244A0F81"/>
    <w:rsid w:val="244B4712"/>
    <w:rsid w:val="2451494A"/>
    <w:rsid w:val="245F009A"/>
    <w:rsid w:val="24690133"/>
    <w:rsid w:val="24754BEE"/>
    <w:rsid w:val="24761295"/>
    <w:rsid w:val="247B26C3"/>
    <w:rsid w:val="247C2918"/>
    <w:rsid w:val="247F1002"/>
    <w:rsid w:val="24825EBA"/>
    <w:rsid w:val="24847DBE"/>
    <w:rsid w:val="24A35346"/>
    <w:rsid w:val="24BE2ADF"/>
    <w:rsid w:val="24C22DD6"/>
    <w:rsid w:val="24C9140E"/>
    <w:rsid w:val="24CE174D"/>
    <w:rsid w:val="24D817CB"/>
    <w:rsid w:val="24D97A60"/>
    <w:rsid w:val="24DA65E8"/>
    <w:rsid w:val="24DF1A72"/>
    <w:rsid w:val="24E318DF"/>
    <w:rsid w:val="24F67065"/>
    <w:rsid w:val="25014D34"/>
    <w:rsid w:val="252217F3"/>
    <w:rsid w:val="252C25F8"/>
    <w:rsid w:val="252D7E20"/>
    <w:rsid w:val="25301C5F"/>
    <w:rsid w:val="253036B7"/>
    <w:rsid w:val="253B40E0"/>
    <w:rsid w:val="253D667B"/>
    <w:rsid w:val="254774AC"/>
    <w:rsid w:val="25483646"/>
    <w:rsid w:val="25483A68"/>
    <w:rsid w:val="25486088"/>
    <w:rsid w:val="254E3359"/>
    <w:rsid w:val="255120D8"/>
    <w:rsid w:val="25551BC9"/>
    <w:rsid w:val="25754057"/>
    <w:rsid w:val="25764C4B"/>
    <w:rsid w:val="257C3B4B"/>
    <w:rsid w:val="25815688"/>
    <w:rsid w:val="258839B9"/>
    <w:rsid w:val="258B55EA"/>
    <w:rsid w:val="259D3570"/>
    <w:rsid w:val="259D5707"/>
    <w:rsid w:val="25A3798D"/>
    <w:rsid w:val="25AD4BCD"/>
    <w:rsid w:val="25B8315C"/>
    <w:rsid w:val="25BA04EF"/>
    <w:rsid w:val="25DB4783"/>
    <w:rsid w:val="25EE2D75"/>
    <w:rsid w:val="25F74A2E"/>
    <w:rsid w:val="25FE19A5"/>
    <w:rsid w:val="26086E13"/>
    <w:rsid w:val="260D2C60"/>
    <w:rsid w:val="262D356E"/>
    <w:rsid w:val="265005E2"/>
    <w:rsid w:val="26537B11"/>
    <w:rsid w:val="266222EC"/>
    <w:rsid w:val="2667354C"/>
    <w:rsid w:val="26793695"/>
    <w:rsid w:val="26953776"/>
    <w:rsid w:val="269F5B71"/>
    <w:rsid w:val="26BA5EBA"/>
    <w:rsid w:val="26BC6C23"/>
    <w:rsid w:val="26CC4A3C"/>
    <w:rsid w:val="26D332F9"/>
    <w:rsid w:val="26D608D1"/>
    <w:rsid w:val="26D60AE7"/>
    <w:rsid w:val="26DC3C24"/>
    <w:rsid w:val="26E31456"/>
    <w:rsid w:val="26E74A79"/>
    <w:rsid w:val="26EE17FA"/>
    <w:rsid w:val="26F67AEF"/>
    <w:rsid w:val="26FE003E"/>
    <w:rsid w:val="270322BB"/>
    <w:rsid w:val="270F26C2"/>
    <w:rsid w:val="27383550"/>
    <w:rsid w:val="27401CFA"/>
    <w:rsid w:val="275B649E"/>
    <w:rsid w:val="27617029"/>
    <w:rsid w:val="276967F3"/>
    <w:rsid w:val="276B7224"/>
    <w:rsid w:val="27753B91"/>
    <w:rsid w:val="278A5A6A"/>
    <w:rsid w:val="278D0146"/>
    <w:rsid w:val="27B60B6C"/>
    <w:rsid w:val="27B84691"/>
    <w:rsid w:val="27BD7A15"/>
    <w:rsid w:val="27C31D41"/>
    <w:rsid w:val="27CB6F4E"/>
    <w:rsid w:val="27E62FAC"/>
    <w:rsid w:val="27E76E78"/>
    <w:rsid w:val="27EA63D2"/>
    <w:rsid w:val="27F136FF"/>
    <w:rsid w:val="27F47967"/>
    <w:rsid w:val="27F8174D"/>
    <w:rsid w:val="27FC2F0D"/>
    <w:rsid w:val="28017DE6"/>
    <w:rsid w:val="282A70DA"/>
    <w:rsid w:val="28307A69"/>
    <w:rsid w:val="28313741"/>
    <w:rsid w:val="28385963"/>
    <w:rsid w:val="283B6FCA"/>
    <w:rsid w:val="28423BE8"/>
    <w:rsid w:val="284423BC"/>
    <w:rsid w:val="284724E5"/>
    <w:rsid w:val="284A04BE"/>
    <w:rsid w:val="284A0882"/>
    <w:rsid w:val="2851672C"/>
    <w:rsid w:val="28565D13"/>
    <w:rsid w:val="285A74F6"/>
    <w:rsid w:val="285B0CCF"/>
    <w:rsid w:val="28634AB7"/>
    <w:rsid w:val="287B73C3"/>
    <w:rsid w:val="28842D0A"/>
    <w:rsid w:val="28866BF1"/>
    <w:rsid w:val="28884B08"/>
    <w:rsid w:val="2895359B"/>
    <w:rsid w:val="28A10927"/>
    <w:rsid w:val="28A459E7"/>
    <w:rsid w:val="28AD754C"/>
    <w:rsid w:val="28AF5B94"/>
    <w:rsid w:val="28C065FF"/>
    <w:rsid w:val="28C331F7"/>
    <w:rsid w:val="28CC57FF"/>
    <w:rsid w:val="28D71C00"/>
    <w:rsid w:val="28D86F1C"/>
    <w:rsid w:val="28E11370"/>
    <w:rsid w:val="28EF2F5A"/>
    <w:rsid w:val="28FC5338"/>
    <w:rsid w:val="29055D17"/>
    <w:rsid w:val="291326FE"/>
    <w:rsid w:val="291833B1"/>
    <w:rsid w:val="29196AF6"/>
    <w:rsid w:val="292364D5"/>
    <w:rsid w:val="292813A2"/>
    <w:rsid w:val="292B1FBF"/>
    <w:rsid w:val="29315B77"/>
    <w:rsid w:val="29327DE9"/>
    <w:rsid w:val="2943681F"/>
    <w:rsid w:val="294F2CEE"/>
    <w:rsid w:val="2953641F"/>
    <w:rsid w:val="295C25C7"/>
    <w:rsid w:val="295C2DFA"/>
    <w:rsid w:val="29664887"/>
    <w:rsid w:val="296E76E6"/>
    <w:rsid w:val="29756BC5"/>
    <w:rsid w:val="297C5B80"/>
    <w:rsid w:val="297D7880"/>
    <w:rsid w:val="29915199"/>
    <w:rsid w:val="2995142B"/>
    <w:rsid w:val="2996132D"/>
    <w:rsid w:val="29974C3D"/>
    <w:rsid w:val="299A04CE"/>
    <w:rsid w:val="29A13C03"/>
    <w:rsid w:val="29B171FF"/>
    <w:rsid w:val="29B279DB"/>
    <w:rsid w:val="29C54E43"/>
    <w:rsid w:val="29C95777"/>
    <w:rsid w:val="29EC0B84"/>
    <w:rsid w:val="29EC6B81"/>
    <w:rsid w:val="29F40FBA"/>
    <w:rsid w:val="29F9279F"/>
    <w:rsid w:val="29FE3A8E"/>
    <w:rsid w:val="2A073FFD"/>
    <w:rsid w:val="2A0E1A40"/>
    <w:rsid w:val="2A236931"/>
    <w:rsid w:val="2A313143"/>
    <w:rsid w:val="2A360D04"/>
    <w:rsid w:val="2A395E1F"/>
    <w:rsid w:val="2A454937"/>
    <w:rsid w:val="2A482069"/>
    <w:rsid w:val="2A570191"/>
    <w:rsid w:val="2A5835F8"/>
    <w:rsid w:val="2A6001BD"/>
    <w:rsid w:val="2A6034CD"/>
    <w:rsid w:val="2A6B2B3D"/>
    <w:rsid w:val="2A6E0B5C"/>
    <w:rsid w:val="2A6E7ED1"/>
    <w:rsid w:val="2A757CD0"/>
    <w:rsid w:val="2A90026E"/>
    <w:rsid w:val="2A9601A4"/>
    <w:rsid w:val="2A97714F"/>
    <w:rsid w:val="2A9B380F"/>
    <w:rsid w:val="2A9D36CA"/>
    <w:rsid w:val="2A9F6AE3"/>
    <w:rsid w:val="2AA17424"/>
    <w:rsid w:val="2AB6771D"/>
    <w:rsid w:val="2AC55177"/>
    <w:rsid w:val="2AD74E2E"/>
    <w:rsid w:val="2ADC2BDF"/>
    <w:rsid w:val="2ADE7E0A"/>
    <w:rsid w:val="2AF007BC"/>
    <w:rsid w:val="2AFD2479"/>
    <w:rsid w:val="2B0A27B9"/>
    <w:rsid w:val="2B1E0ABE"/>
    <w:rsid w:val="2B2038E0"/>
    <w:rsid w:val="2B274A73"/>
    <w:rsid w:val="2B2C429E"/>
    <w:rsid w:val="2B2E55AB"/>
    <w:rsid w:val="2B314D7D"/>
    <w:rsid w:val="2B4053FC"/>
    <w:rsid w:val="2B4D3342"/>
    <w:rsid w:val="2B570FA2"/>
    <w:rsid w:val="2B5A52CD"/>
    <w:rsid w:val="2B5B2F2F"/>
    <w:rsid w:val="2B5D3FF8"/>
    <w:rsid w:val="2B6355ED"/>
    <w:rsid w:val="2B6C7C6C"/>
    <w:rsid w:val="2B757007"/>
    <w:rsid w:val="2B9454DA"/>
    <w:rsid w:val="2B967656"/>
    <w:rsid w:val="2B9E289E"/>
    <w:rsid w:val="2B9F56BC"/>
    <w:rsid w:val="2BA05195"/>
    <w:rsid w:val="2BAF21A8"/>
    <w:rsid w:val="2BB15EE2"/>
    <w:rsid w:val="2BB72199"/>
    <w:rsid w:val="2BBD0DEA"/>
    <w:rsid w:val="2BD43DFB"/>
    <w:rsid w:val="2BD80A9D"/>
    <w:rsid w:val="2BDC522B"/>
    <w:rsid w:val="2BDE6F20"/>
    <w:rsid w:val="2BE32E26"/>
    <w:rsid w:val="2BE47401"/>
    <w:rsid w:val="2BEC3039"/>
    <w:rsid w:val="2BEE5AF4"/>
    <w:rsid w:val="2BF67CBF"/>
    <w:rsid w:val="2BFA7596"/>
    <w:rsid w:val="2C040291"/>
    <w:rsid w:val="2C083572"/>
    <w:rsid w:val="2C0E2AD1"/>
    <w:rsid w:val="2C16748F"/>
    <w:rsid w:val="2C1B760D"/>
    <w:rsid w:val="2C273D9E"/>
    <w:rsid w:val="2C2D7517"/>
    <w:rsid w:val="2C2F5A01"/>
    <w:rsid w:val="2C5201B4"/>
    <w:rsid w:val="2C556C0E"/>
    <w:rsid w:val="2C5A1872"/>
    <w:rsid w:val="2C617EE6"/>
    <w:rsid w:val="2C702E6E"/>
    <w:rsid w:val="2C72121D"/>
    <w:rsid w:val="2C8A344F"/>
    <w:rsid w:val="2C941EEB"/>
    <w:rsid w:val="2C983300"/>
    <w:rsid w:val="2CAA34BC"/>
    <w:rsid w:val="2CAA76AE"/>
    <w:rsid w:val="2CAD4D09"/>
    <w:rsid w:val="2CB53241"/>
    <w:rsid w:val="2CBE11D1"/>
    <w:rsid w:val="2CCA2EA1"/>
    <w:rsid w:val="2CCD0296"/>
    <w:rsid w:val="2CCE1728"/>
    <w:rsid w:val="2CD048F8"/>
    <w:rsid w:val="2CD5539D"/>
    <w:rsid w:val="2CE25C5F"/>
    <w:rsid w:val="2CF44291"/>
    <w:rsid w:val="2D002D68"/>
    <w:rsid w:val="2D003462"/>
    <w:rsid w:val="2D0051F7"/>
    <w:rsid w:val="2D037E50"/>
    <w:rsid w:val="2D0447D1"/>
    <w:rsid w:val="2D06174E"/>
    <w:rsid w:val="2D0A13DA"/>
    <w:rsid w:val="2D0B17DA"/>
    <w:rsid w:val="2D0D0FDB"/>
    <w:rsid w:val="2D256324"/>
    <w:rsid w:val="2D2B6A73"/>
    <w:rsid w:val="2D3157CA"/>
    <w:rsid w:val="2D3B78F6"/>
    <w:rsid w:val="2D407B60"/>
    <w:rsid w:val="2D446A50"/>
    <w:rsid w:val="2D521999"/>
    <w:rsid w:val="2D5269EE"/>
    <w:rsid w:val="2D611153"/>
    <w:rsid w:val="2D76027A"/>
    <w:rsid w:val="2D7A4559"/>
    <w:rsid w:val="2D7D6EC4"/>
    <w:rsid w:val="2DA57D32"/>
    <w:rsid w:val="2DB42599"/>
    <w:rsid w:val="2DB61B03"/>
    <w:rsid w:val="2DBA41EA"/>
    <w:rsid w:val="2DBA78D8"/>
    <w:rsid w:val="2DCD5952"/>
    <w:rsid w:val="2DCF35C8"/>
    <w:rsid w:val="2DD13DB6"/>
    <w:rsid w:val="2DD24556"/>
    <w:rsid w:val="2DEF248E"/>
    <w:rsid w:val="2DF11BC7"/>
    <w:rsid w:val="2DF45EAB"/>
    <w:rsid w:val="2DFE0E9E"/>
    <w:rsid w:val="2E140168"/>
    <w:rsid w:val="2E183A5F"/>
    <w:rsid w:val="2E1A1DF7"/>
    <w:rsid w:val="2E27514C"/>
    <w:rsid w:val="2E31026E"/>
    <w:rsid w:val="2E360C8C"/>
    <w:rsid w:val="2E392DF0"/>
    <w:rsid w:val="2E3B7637"/>
    <w:rsid w:val="2E436CA6"/>
    <w:rsid w:val="2E582B40"/>
    <w:rsid w:val="2E5F231E"/>
    <w:rsid w:val="2E6045A0"/>
    <w:rsid w:val="2E682EE7"/>
    <w:rsid w:val="2E837D98"/>
    <w:rsid w:val="2E864C5E"/>
    <w:rsid w:val="2E870919"/>
    <w:rsid w:val="2E87338A"/>
    <w:rsid w:val="2E886468"/>
    <w:rsid w:val="2E8959C7"/>
    <w:rsid w:val="2E911562"/>
    <w:rsid w:val="2E94545F"/>
    <w:rsid w:val="2EA414CB"/>
    <w:rsid w:val="2EA65F04"/>
    <w:rsid w:val="2EB84EF4"/>
    <w:rsid w:val="2EB95CD3"/>
    <w:rsid w:val="2EBA6090"/>
    <w:rsid w:val="2EBD1592"/>
    <w:rsid w:val="2EC56D43"/>
    <w:rsid w:val="2EC95AD7"/>
    <w:rsid w:val="2ECD7209"/>
    <w:rsid w:val="2ECF360C"/>
    <w:rsid w:val="2EE010E4"/>
    <w:rsid w:val="2EFA558F"/>
    <w:rsid w:val="2F0909D7"/>
    <w:rsid w:val="2F0D29B3"/>
    <w:rsid w:val="2F116732"/>
    <w:rsid w:val="2F1E6A73"/>
    <w:rsid w:val="2F211B9B"/>
    <w:rsid w:val="2F215762"/>
    <w:rsid w:val="2F230E87"/>
    <w:rsid w:val="2F247A6C"/>
    <w:rsid w:val="2F2B230B"/>
    <w:rsid w:val="2F316EF9"/>
    <w:rsid w:val="2F3960B7"/>
    <w:rsid w:val="2F656EAC"/>
    <w:rsid w:val="2F7E1D1C"/>
    <w:rsid w:val="2F8D7772"/>
    <w:rsid w:val="2F931E2F"/>
    <w:rsid w:val="2F9F6524"/>
    <w:rsid w:val="2FA650DF"/>
    <w:rsid w:val="2FAC5F1A"/>
    <w:rsid w:val="2FB21C05"/>
    <w:rsid w:val="2FC54D0D"/>
    <w:rsid w:val="2FC8743B"/>
    <w:rsid w:val="2FCB26C9"/>
    <w:rsid w:val="2FCD71FB"/>
    <w:rsid w:val="2FD14541"/>
    <w:rsid w:val="2FD61B58"/>
    <w:rsid w:val="2FDA166A"/>
    <w:rsid w:val="2FE222AB"/>
    <w:rsid w:val="2FF319CD"/>
    <w:rsid w:val="300B60E0"/>
    <w:rsid w:val="30167854"/>
    <w:rsid w:val="301A5EE8"/>
    <w:rsid w:val="301C3D6F"/>
    <w:rsid w:val="302803A7"/>
    <w:rsid w:val="303045A2"/>
    <w:rsid w:val="30386264"/>
    <w:rsid w:val="30403255"/>
    <w:rsid w:val="30463939"/>
    <w:rsid w:val="3047024D"/>
    <w:rsid w:val="304E26D9"/>
    <w:rsid w:val="30506E41"/>
    <w:rsid w:val="30515A9D"/>
    <w:rsid w:val="305725AF"/>
    <w:rsid w:val="305F6B65"/>
    <w:rsid w:val="30677DCA"/>
    <w:rsid w:val="306C72CB"/>
    <w:rsid w:val="308258EE"/>
    <w:rsid w:val="30913CD1"/>
    <w:rsid w:val="30947BDC"/>
    <w:rsid w:val="309824FF"/>
    <w:rsid w:val="309F3AF3"/>
    <w:rsid w:val="30AC3D8C"/>
    <w:rsid w:val="30B21407"/>
    <w:rsid w:val="30C230F5"/>
    <w:rsid w:val="30C60D99"/>
    <w:rsid w:val="30C925CF"/>
    <w:rsid w:val="30DC7FBB"/>
    <w:rsid w:val="30E465FE"/>
    <w:rsid w:val="30E87524"/>
    <w:rsid w:val="30ED7DD2"/>
    <w:rsid w:val="30F5600E"/>
    <w:rsid w:val="30F60DA4"/>
    <w:rsid w:val="30FA1876"/>
    <w:rsid w:val="31055722"/>
    <w:rsid w:val="31077AEF"/>
    <w:rsid w:val="310B70C4"/>
    <w:rsid w:val="31164853"/>
    <w:rsid w:val="311F564D"/>
    <w:rsid w:val="312645A3"/>
    <w:rsid w:val="31305298"/>
    <w:rsid w:val="314110F1"/>
    <w:rsid w:val="31490108"/>
    <w:rsid w:val="315922C0"/>
    <w:rsid w:val="315D5FCE"/>
    <w:rsid w:val="316136A3"/>
    <w:rsid w:val="31691312"/>
    <w:rsid w:val="31706188"/>
    <w:rsid w:val="31772CB5"/>
    <w:rsid w:val="317C41B6"/>
    <w:rsid w:val="317E24A7"/>
    <w:rsid w:val="31874F0A"/>
    <w:rsid w:val="3196137A"/>
    <w:rsid w:val="319F465B"/>
    <w:rsid w:val="31A1493D"/>
    <w:rsid w:val="31A60196"/>
    <w:rsid w:val="31CA00F1"/>
    <w:rsid w:val="31CB0666"/>
    <w:rsid w:val="31D90F6D"/>
    <w:rsid w:val="31F44F98"/>
    <w:rsid w:val="31F94450"/>
    <w:rsid w:val="320632F2"/>
    <w:rsid w:val="320F2496"/>
    <w:rsid w:val="321002CC"/>
    <w:rsid w:val="32101599"/>
    <w:rsid w:val="32182DAB"/>
    <w:rsid w:val="321D1044"/>
    <w:rsid w:val="321F0B5E"/>
    <w:rsid w:val="322A618B"/>
    <w:rsid w:val="32313DE1"/>
    <w:rsid w:val="32367272"/>
    <w:rsid w:val="32371124"/>
    <w:rsid w:val="323F4655"/>
    <w:rsid w:val="324479AD"/>
    <w:rsid w:val="324B06B4"/>
    <w:rsid w:val="32507437"/>
    <w:rsid w:val="32521EDA"/>
    <w:rsid w:val="32546A07"/>
    <w:rsid w:val="325951FA"/>
    <w:rsid w:val="325D030E"/>
    <w:rsid w:val="325E2E5D"/>
    <w:rsid w:val="3264344B"/>
    <w:rsid w:val="326A4C5E"/>
    <w:rsid w:val="326D6912"/>
    <w:rsid w:val="327B6E18"/>
    <w:rsid w:val="327C737B"/>
    <w:rsid w:val="327C76B4"/>
    <w:rsid w:val="327D7C91"/>
    <w:rsid w:val="32A366C1"/>
    <w:rsid w:val="32A408E5"/>
    <w:rsid w:val="32A709E9"/>
    <w:rsid w:val="32AA17E9"/>
    <w:rsid w:val="32AA30F7"/>
    <w:rsid w:val="32AC7BDB"/>
    <w:rsid w:val="32AE31D8"/>
    <w:rsid w:val="32B204DB"/>
    <w:rsid w:val="32B70773"/>
    <w:rsid w:val="32BC3CB2"/>
    <w:rsid w:val="32C20171"/>
    <w:rsid w:val="32C72F5C"/>
    <w:rsid w:val="32D103B5"/>
    <w:rsid w:val="32DF307D"/>
    <w:rsid w:val="32E60304"/>
    <w:rsid w:val="32F55173"/>
    <w:rsid w:val="3301224F"/>
    <w:rsid w:val="33134E41"/>
    <w:rsid w:val="33142830"/>
    <w:rsid w:val="33143202"/>
    <w:rsid w:val="331957EE"/>
    <w:rsid w:val="331E4E75"/>
    <w:rsid w:val="33246FDA"/>
    <w:rsid w:val="332E5DA3"/>
    <w:rsid w:val="333709EF"/>
    <w:rsid w:val="333C2B3A"/>
    <w:rsid w:val="333E29F7"/>
    <w:rsid w:val="33402FDB"/>
    <w:rsid w:val="334943EF"/>
    <w:rsid w:val="334B1D2C"/>
    <w:rsid w:val="334E77DD"/>
    <w:rsid w:val="33500496"/>
    <w:rsid w:val="33541E0D"/>
    <w:rsid w:val="33650448"/>
    <w:rsid w:val="336A595F"/>
    <w:rsid w:val="336D6182"/>
    <w:rsid w:val="3377105E"/>
    <w:rsid w:val="337A2F5E"/>
    <w:rsid w:val="337E1035"/>
    <w:rsid w:val="33843972"/>
    <w:rsid w:val="338E0DB5"/>
    <w:rsid w:val="339E1896"/>
    <w:rsid w:val="33A076B0"/>
    <w:rsid w:val="33AD497E"/>
    <w:rsid w:val="33B13135"/>
    <w:rsid w:val="33B51A84"/>
    <w:rsid w:val="33B63F0B"/>
    <w:rsid w:val="33BA6E78"/>
    <w:rsid w:val="33C47E5B"/>
    <w:rsid w:val="33D114EA"/>
    <w:rsid w:val="33D360B3"/>
    <w:rsid w:val="33D746EB"/>
    <w:rsid w:val="33ED542B"/>
    <w:rsid w:val="33F370B1"/>
    <w:rsid w:val="33F644AA"/>
    <w:rsid w:val="33FC2C21"/>
    <w:rsid w:val="34032907"/>
    <w:rsid w:val="34034821"/>
    <w:rsid w:val="34143AAC"/>
    <w:rsid w:val="3415407C"/>
    <w:rsid w:val="342063E7"/>
    <w:rsid w:val="344216E9"/>
    <w:rsid w:val="34447532"/>
    <w:rsid w:val="344E43B3"/>
    <w:rsid w:val="345513D1"/>
    <w:rsid w:val="3457234E"/>
    <w:rsid w:val="34681CD8"/>
    <w:rsid w:val="34685287"/>
    <w:rsid w:val="34706178"/>
    <w:rsid w:val="34780948"/>
    <w:rsid w:val="34780B0C"/>
    <w:rsid w:val="348F26B3"/>
    <w:rsid w:val="349633D2"/>
    <w:rsid w:val="349D718B"/>
    <w:rsid w:val="34A403BD"/>
    <w:rsid w:val="34B947D2"/>
    <w:rsid w:val="350A7554"/>
    <w:rsid w:val="351500F8"/>
    <w:rsid w:val="35201C3E"/>
    <w:rsid w:val="352D77B8"/>
    <w:rsid w:val="353E1229"/>
    <w:rsid w:val="353F2EFD"/>
    <w:rsid w:val="354C3821"/>
    <w:rsid w:val="354E4FD3"/>
    <w:rsid w:val="35510733"/>
    <w:rsid w:val="35575F89"/>
    <w:rsid w:val="355911FB"/>
    <w:rsid w:val="355A7AAA"/>
    <w:rsid w:val="355E1A72"/>
    <w:rsid w:val="35684F0E"/>
    <w:rsid w:val="356A5932"/>
    <w:rsid w:val="356B13C7"/>
    <w:rsid w:val="356F1567"/>
    <w:rsid w:val="356F4236"/>
    <w:rsid w:val="35801B4D"/>
    <w:rsid w:val="35815A13"/>
    <w:rsid w:val="35845BB2"/>
    <w:rsid w:val="358C3BA0"/>
    <w:rsid w:val="358E4E63"/>
    <w:rsid w:val="35904CAA"/>
    <w:rsid w:val="3591673F"/>
    <w:rsid w:val="35982D3D"/>
    <w:rsid w:val="359A6CB5"/>
    <w:rsid w:val="35AC0FF3"/>
    <w:rsid w:val="35B34B62"/>
    <w:rsid w:val="35D56A74"/>
    <w:rsid w:val="35DB2DC8"/>
    <w:rsid w:val="35DC2C42"/>
    <w:rsid w:val="35E84721"/>
    <w:rsid w:val="35E90C57"/>
    <w:rsid w:val="35EE2046"/>
    <w:rsid w:val="36033EAE"/>
    <w:rsid w:val="3603426C"/>
    <w:rsid w:val="360C0F27"/>
    <w:rsid w:val="360C62D3"/>
    <w:rsid w:val="3618160F"/>
    <w:rsid w:val="36304799"/>
    <w:rsid w:val="3630759D"/>
    <w:rsid w:val="36380DAF"/>
    <w:rsid w:val="363E1938"/>
    <w:rsid w:val="363E65E7"/>
    <w:rsid w:val="36401AD9"/>
    <w:rsid w:val="364847D1"/>
    <w:rsid w:val="365045C5"/>
    <w:rsid w:val="36654BC6"/>
    <w:rsid w:val="366E45D4"/>
    <w:rsid w:val="367C0122"/>
    <w:rsid w:val="367C09E1"/>
    <w:rsid w:val="367E6AA5"/>
    <w:rsid w:val="367F6ACA"/>
    <w:rsid w:val="368340BC"/>
    <w:rsid w:val="36906B2F"/>
    <w:rsid w:val="36AC53C0"/>
    <w:rsid w:val="36B46EB5"/>
    <w:rsid w:val="36BC744B"/>
    <w:rsid w:val="36C379F1"/>
    <w:rsid w:val="36CF7922"/>
    <w:rsid w:val="36D35CD5"/>
    <w:rsid w:val="36D46F66"/>
    <w:rsid w:val="36DF6A86"/>
    <w:rsid w:val="36E0506A"/>
    <w:rsid w:val="36E2267A"/>
    <w:rsid w:val="36E9393A"/>
    <w:rsid w:val="36EC4E91"/>
    <w:rsid w:val="36EC5116"/>
    <w:rsid w:val="36ED28CE"/>
    <w:rsid w:val="36F17A0A"/>
    <w:rsid w:val="36F4282B"/>
    <w:rsid w:val="36F9484B"/>
    <w:rsid w:val="37060398"/>
    <w:rsid w:val="370B658B"/>
    <w:rsid w:val="37124976"/>
    <w:rsid w:val="37195775"/>
    <w:rsid w:val="371A1989"/>
    <w:rsid w:val="372D607A"/>
    <w:rsid w:val="372E2B4C"/>
    <w:rsid w:val="37301D74"/>
    <w:rsid w:val="37344DF6"/>
    <w:rsid w:val="37360BA1"/>
    <w:rsid w:val="373D22D0"/>
    <w:rsid w:val="37476E97"/>
    <w:rsid w:val="37500FC4"/>
    <w:rsid w:val="375424C2"/>
    <w:rsid w:val="375C6DE7"/>
    <w:rsid w:val="376D40C9"/>
    <w:rsid w:val="37975616"/>
    <w:rsid w:val="379D219C"/>
    <w:rsid w:val="37A77E7E"/>
    <w:rsid w:val="37AC7C22"/>
    <w:rsid w:val="37B207B5"/>
    <w:rsid w:val="37B3452D"/>
    <w:rsid w:val="37B40744"/>
    <w:rsid w:val="37BB7881"/>
    <w:rsid w:val="37C63457"/>
    <w:rsid w:val="37C74FD7"/>
    <w:rsid w:val="37CB7AC8"/>
    <w:rsid w:val="37D456A1"/>
    <w:rsid w:val="37D92367"/>
    <w:rsid w:val="37F0752F"/>
    <w:rsid w:val="37F97B97"/>
    <w:rsid w:val="37FC2BCC"/>
    <w:rsid w:val="380134EA"/>
    <w:rsid w:val="38114580"/>
    <w:rsid w:val="38240BC5"/>
    <w:rsid w:val="38282B7E"/>
    <w:rsid w:val="383E4FEE"/>
    <w:rsid w:val="3847335B"/>
    <w:rsid w:val="384F7577"/>
    <w:rsid w:val="385A0B87"/>
    <w:rsid w:val="386A72E1"/>
    <w:rsid w:val="386B5B2F"/>
    <w:rsid w:val="387463B2"/>
    <w:rsid w:val="387A7DC0"/>
    <w:rsid w:val="387B2260"/>
    <w:rsid w:val="387F30A7"/>
    <w:rsid w:val="3885287B"/>
    <w:rsid w:val="38AD5420"/>
    <w:rsid w:val="38B16F14"/>
    <w:rsid w:val="38B92F9E"/>
    <w:rsid w:val="38C661A5"/>
    <w:rsid w:val="38CB2433"/>
    <w:rsid w:val="38D31647"/>
    <w:rsid w:val="38D6140F"/>
    <w:rsid w:val="38DA0A9C"/>
    <w:rsid w:val="38E55FE1"/>
    <w:rsid w:val="38E6720F"/>
    <w:rsid w:val="38EF4321"/>
    <w:rsid w:val="38F525A0"/>
    <w:rsid w:val="38F7599B"/>
    <w:rsid w:val="39091286"/>
    <w:rsid w:val="390E64C0"/>
    <w:rsid w:val="39104D16"/>
    <w:rsid w:val="39161217"/>
    <w:rsid w:val="39170C29"/>
    <w:rsid w:val="39187AA0"/>
    <w:rsid w:val="39201BD7"/>
    <w:rsid w:val="392535FC"/>
    <w:rsid w:val="39255A61"/>
    <w:rsid w:val="392B5364"/>
    <w:rsid w:val="392D5E4C"/>
    <w:rsid w:val="392E15C6"/>
    <w:rsid w:val="39456C9A"/>
    <w:rsid w:val="39481430"/>
    <w:rsid w:val="395E3DBA"/>
    <w:rsid w:val="396B4BF2"/>
    <w:rsid w:val="397347C3"/>
    <w:rsid w:val="39883A62"/>
    <w:rsid w:val="39986649"/>
    <w:rsid w:val="39A4313C"/>
    <w:rsid w:val="39A74D48"/>
    <w:rsid w:val="39BD109F"/>
    <w:rsid w:val="39C87740"/>
    <w:rsid w:val="39D1023E"/>
    <w:rsid w:val="39D50DDF"/>
    <w:rsid w:val="39D97588"/>
    <w:rsid w:val="39E03D7B"/>
    <w:rsid w:val="39EC4287"/>
    <w:rsid w:val="39F00F8B"/>
    <w:rsid w:val="39F23A32"/>
    <w:rsid w:val="39F4745D"/>
    <w:rsid w:val="39F7536C"/>
    <w:rsid w:val="3A0A3805"/>
    <w:rsid w:val="3A141A1A"/>
    <w:rsid w:val="3A157DA2"/>
    <w:rsid w:val="3A214392"/>
    <w:rsid w:val="3A2406DF"/>
    <w:rsid w:val="3A2F3A37"/>
    <w:rsid w:val="3A3F02FA"/>
    <w:rsid w:val="3A420B99"/>
    <w:rsid w:val="3A433AB1"/>
    <w:rsid w:val="3A4931E5"/>
    <w:rsid w:val="3A4D0C68"/>
    <w:rsid w:val="3A5336F2"/>
    <w:rsid w:val="3A5E7D11"/>
    <w:rsid w:val="3A706705"/>
    <w:rsid w:val="3A7106F1"/>
    <w:rsid w:val="3A7761C7"/>
    <w:rsid w:val="3A7A0EB1"/>
    <w:rsid w:val="3A8208F9"/>
    <w:rsid w:val="3A917229"/>
    <w:rsid w:val="3A9A2595"/>
    <w:rsid w:val="3A9E1823"/>
    <w:rsid w:val="3A9E24F5"/>
    <w:rsid w:val="3AB006DC"/>
    <w:rsid w:val="3ABF5C8A"/>
    <w:rsid w:val="3AD57F70"/>
    <w:rsid w:val="3ADF2093"/>
    <w:rsid w:val="3AEF588C"/>
    <w:rsid w:val="3B1B2C5C"/>
    <w:rsid w:val="3B1B6A46"/>
    <w:rsid w:val="3B25169E"/>
    <w:rsid w:val="3B2F16B7"/>
    <w:rsid w:val="3B3D75CD"/>
    <w:rsid w:val="3B4166FB"/>
    <w:rsid w:val="3B475313"/>
    <w:rsid w:val="3B494C2A"/>
    <w:rsid w:val="3B500724"/>
    <w:rsid w:val="3B774DF6"/>
    <w:rsid w:val="3B7E2212"/>
    <w:rsid w:val="3B817A52"/>
    <w:rsid w:val="3B881559"/>
    <w:rsid w:val="3B8C371F"/>
    <w:rsid w:val="3B960877"/>
    <w:rsid w:val="3B983913"/>
    <w:rsid w:val="3B9D482D"/>
    <w:rsid w:val="3B9D51AD"/>
    <w:rsid w:val="3BAB0427"/>
    <w:rsid w:val="3BAD1F19"/>
    <w:rsid w:val="3BAD438A"/>
    <w:rsid w:val="3BB52661"/>
    <w:rsid w:val="3BDD1B6F"/>
    <w:rsid w:val="3BE36B4B"/>
    <w:rsid w:val="3BE8699C"/>
    <w:rsid w:val="3BE979E8"/>
    <w:rsid w:val="3BF009B5"/>
    <w:rsid w:val="3BFB1E94"/>
    <w:rsid w:val="3C033103"/>
    <w:rsid w:val="3C10408D"/>
    <w:rsid w:val="3C13510B"/>
    <w:rsid w:val="3C185B57"/>
    <w:rsid w:val="3C1B43C9"/>
    <w:rsid w:val="3C230CF1"/>
    <w:rsid w:val="3C3852DC"/>
    <w:rsid w:val="3C435255"/>
    <w:rsid w:val="3C4B1A78"/>
    <w:rsid w:val="3C4B7190"/>
    <w:rsid w:val="3C506CD0"/>
    <w:rsid w:val="3C574C41"/>
    <w:rsid w:val="3C5A16DF"/>
    <w:rsid w:val="3C5C13E8"/>
    <w:rsid w:val="3C6726F1"/>
    <w:rsid w:val="3C673BFA"/>
    <w:rsid w:val="3C687EAA"/>
    <w:rsid w:val="3C69260A"/>
    <w:rsid w:val="3C804F72"/>
    <w:rsid w:val="3C851080"/>
    <w:rsid w:val="3C8802AB"/>
    <w:rsid w:val="3C8D3212"/>
    <w:rsid w:val="3C964B49"/>
    <w:rsid w:val="3C991F43"/>
    <w:rsid w:val="3C9B4C94"/>
    <w:rsid w:val="3CA34AC3"/>
    <w:rsid w:val="3CA824B1"/>
    <w:rsid w:val="3CAF5D51"/>
    <w:rsid w:val="3CB6682E"/>
    <w:rsid w:val="3CB9023B"/>
    <w:rsid w:val="3CC00AFF"/>
    <w:rsid w:val="3CC66AB0"/>
    <w:rsid w:val="3CC90A68"/>
    <w:rsid w:val="3CCE0923"/>
    <w:rsid w:val="3CDA1D68"/>
    <w:rsid w:val="3CDD60E3"/>
    <w:rsid w:val="3CDE1B82"/>
    <w:rsid w:val="3CE94350"/>
    <w:rsid w:val="3CF44E8E"/>
    <w:rsid w:val="3CFB3405"/>
    <w:rsid w:val="3CFD67F8"/>
    <w:rsid w:val="3D023D89"/>
    <w:rsid w:val="3D050395"/>
    <w:rsid w:val="3D1D029C"/>
    <w:rsid w:val="3D25031F"/>
    <w:rsid w:val="3D2C4218"/>
    <w:rsid w:val="3D38002F"/>
    <w:rsid w:val="3D517182"/>
    <w:rsid w:val="3D5575A3"/>
    <w:rsid w:val="3D595B76"/>
    <w:rsid w:val="3D5D0B92"/>
    <w:rsid w:val="3D6F6FE4"/>
    <w:rsid w:val="3D7258DE"/>
    <w:rsid w:val="3D7431F7"/>
    <w:rsid w:val="3D814363"/>
    <w:rsid w:val="3D94624D"/>
    <w:rsid w:val="3DA9265A"/>
    <w:rsid w:val="3DAA4941"/>
    <w:rsid w:val="3DB55AF1"/>
    <w:rsid w:val="3DB60436"/>
    <w:rsid w:val="3DC11C12"/>
    <w:rsid w:val="3DC456E6"/>
    <w:rsid w:val="3DC61DD0"/>
    <w:rsid w:val="3DDB357B"/>
    <w:rsid w:val="3DE02D8A"/>
    <w:rsid w:val="3DE23C97"/>
    <w:rsid w:val="3DE63FD8"/>
    <w:rsid w:val="3DE972BB"/>
    <w:rsid w:val="3DEC5BDD"/>
    <w:rsid w:val="3DFC2859"/>
    <w:rsid w:val="3E015858"/>
    <w:rsid w:val="3E081F58"/>
    <w:rsid w:val="3E0A181F"/>
    <w:rsid w:val="3E0E1A32"/>
    <w:rsid w:val="3E2B2E9D"/>
    <w:rsid w:val="3E3549ED"/>
    <w:rsid w:val="3E4374CC"/>
    <w:rsid w:val="3E4709F6"/>
    <w:rsid w:val="3E491125"/>
    <w:rsid w:val="3E4A1781"/>
    <w:rsid w:val="3E4A349F"/>
    <w:rsid w:val="3E6578AD"/>
    <w:rsid w:val="3E704F26"/>
    <w:rsid w:val="3E705497"/>
    <w:rsid w:val="3E7B4102"/>
    <w:rsid w:val="3E8814EA"/>
    <w:rsid w:val="3E88393C"/>
    <w:rsid w:val="3E9B6444"/>
    <w:rsid w:val="3EA42FEE"/>
    <w:rsid w:val="3EA92BF1"/>
    <w:rsid w:val="3ECB4D9A"/>
    <w:rsid w:val="3ED2074B"/>
    <w:rsid w:val="3EE0486B"/>
    <w:rsid w:val="3EED1ACF"/>
    <w:rsid w:val="3F080220"/>
    <w:rsid w:val="3F081252"/>
    <w:rsid w:val="3F141A74"/>
    <w:rsid w:val="3F182F68"/>
    <w:rsid w:val="3F192EF0"/>
    <w:rsid w:val="3F19380F"/>
    <w:rsid w:val="3F2D3DC2"/>
    <w:rsid w:val="3F375A43"/>
    <w:rsid w:val="3F5109C1"/>
    <w:rsid w:val="3F526B9E"/>
    <w:rsid w:val="3F78559B"/>
    <w:rsid w:val="3F7C2F2F"/>
    <w:rsid w:val="3F7D42B5"/>
    <w:rsid w:val="3F7E60A7"/>
    <w:rsid w:val="3F8C2918"/>
    <w:rsid w:val="3FA0183A"/>
    <w:rsid w:val="3FA532F5"/>
    <w:rsid w:val="3FB543FD"/>
    <w:rsid w:val="3FC44B4F"/>
    <w:rsid w:val="3FCF5C3C"/>
    <w:rsid w:val="3FD11A4C"/>
    <w:rsid w:val="3FDF01BB"/>
    <w:rsid w:val="3FED21C9"/>
    <w:rsid w:val="3FF4463B"/>
    <w:rsid w:val="3FFA37FF"/>
    <w:rsid w:val="40083317"/>
    <w:rsid w:val="40124999"/>
    <w:rsid w:val="40251D40"/>
    <w:rsid w:val="402D68BA"/>
    <w:rsid w:val="40415103"/>
    <w:rsid w:val="40455EAD"/>
    <w:rsid w:val="405F7AAA"/>
    <w:rsid w:val="40655A71"/>
    <w:rsid w:val="40661E11"/>
    <w:rsid w:val="406B0B0C"/>
    <w:rsid w:val="406D4799"/>
    <w:rsid w:val="407661D0"/>
    <w:rsid w:val="407740C6"/>
    <w:rsid w:val="40A02F12"/>
    <w:rsid w:val="40AC48FE"/>
    <w:rsid w:val="40AF2BB1"/>
    <w:rsid w:val="40C1415E"/>
    <w:rsid w:val="40C21E91"/>
    <w:rsid w:val="40C33FB1"/>
    <w:rsid w:val="40CA2714"/>
    <w:rsid w:val="40CB4E5A"/>
    <w:rsid w:val="40CD77E6"/>
    <w:rsid w:val="40D40CB2"/>
    <w:rsid w:val="40D73235"/>
    <w:rsid w:val="40E22DEB"/>
    <w:rsid w:val="40F13A56"/>
    <w:rsid w:val="40F15E19"/>
    <w:rsid w:val="40F57E93"/>
    <w:rsid w:val="40FD0219"/>
    <w:rsid w:val="411E2D7F"/>
    <w:rsid w:val="41227666"/>
    <w:rsid w:val="41241702"/>
    <w:rsid w:val="412E5750"/>
    <w:rsid w:val="41415E2F"/>
    <w:rsid w:val="4145632C"/>
    <w:rsid w:val="414864CD"/>
    <w:rsid w:val="414D628D"/>
    <w:rsid w:val="414E6D67"/>
    <w:rsid w:val="41532BFB"/>
    <w:rsid w:val="415E19AD"/>
    <w:rsid w:val="415F250C"/>
    <w:rsid w:val="41673E4A"/>
    <w:rsid w:val="41752563"/>
    <w:rsid w:val="41886A2A"/>
    <w:rsid w:val="41894DD9"/>
    <w:rsid w:val="419758A0"/>
    <w:rsid w:val="41A745CF"/>
    <w:rsid w:val="41C020C9"/>
    <w:rsid w:val="41C619F5"/>
    <w:rsid w:val="41C874A0"/>
    <w:rsid w:val="41E96FE2"/>
    <w:rsid w:val="41EA6F7A"/>
    <w:rsid w:val="41EF2866"/>
    <w:rsid w:val="4200141A"/>
    <w:rsid w:val="42084E57"/>
    <w:rsid w:val="42097D21"/>
    <w:rsid w:val="420D148D"/>
    <w:rsid w:val="421F19FC"/>
    <w:rsid w:val="421F6D21"/>
    <w:rsid w:val="42261B80"/>
    <w:rsid w:val="42336364"/>
    <w:rsid w:val="4235286E"/>
    <w:rsid w:val="423C7ACA"/>
    <w:rsid w:val="42483274"/>
    <w:rsid w:val="42507548"/>
    <w:rsid w:val="42564AB7"/>
    <w:rsid w:val="42576B28"/>
    <w:rsid w:val="425F29E0"/>
    <w:rsid w:val="42695564"/>
    <w:rsid w:val="426A7782"/>
    <w:rsid w:val="426E1CBF"/>
    <w:rsid w:val="427252FF"/>
    <w:rsid w:val="4276054B"/>
    <w:rsid w:val="428C3649"/>
    <w:rsid w:val="428C4709"/>
    <w:rsid w:val="42901897"/>
    <w:rsid w:val="429749C5"/>
    <w:rsid w:val="42994282"/>
    <w:rsid w:val="42A85716"/>
    <w:rsid w:val="42A9086B"/>
    <w:rsid w:val="42AC634E"/>
    <w:rsid w:val="42AE2C5E"/>
    <w:rsid w:val="42B176AE"/>
    <w:rsid w:val="42B23D5F"/>
    <w:rsid w:val="42B269B1"/>
    <w:rsid w:val="42BD114D"/>
    <w:rsid w:val="42D33CD5"/>
    <w:rsid w:val="42D34FAF"/>
    <w:rsid w:val="42D355FF"/>
    <w:rsid w:val="42E1238B"/>
    <w:rsid w:val="42E66DAD"/>
    <w:rsid w:val="42FB7BA5"/>
    <w:rsid w:val="43104F29"/>
    <w:rsid w:val="431744D1"/>
    <w:rsid w:val="432B3B11"/>
    <w:rsid w:val="433144FA"/>
    <w:rsid w:val="433A6FCF"/>
    <w:rsid w:val="433E6B71"/>
    <w:rsid w:val="43495F50"/>
    <w:rsid w:val="435F7FF4"/>
    <w:rsid w:val="43711C7A"/>
    <w:rsid w:val="43745CD6"/>
    <w:rsid w:val="43770238"/>
    <w:rsid w:val="437A4E3E"/>
    <w:rsid w:val="437E6CE4"/>
    <w:rsid w:val="438154F4"/>
    <w:rsid w:val="438D5BD2"/>
    <w:rsid w:val="43904C37"/>
    <w:rsid w:val="43964A05"/>
    <w:rsid w:val="439756F9"/>
    <w:rsid w:val="43990A02"/>
    <w:rsid w:val="439A1A58"/>
    <w:rsid w:val="43A51B15"/>
    <w:rsid w:val="43AC4C52"/>
    <w:rsid w:val="43B41D58"/>
    <w:rsid w:val="43B652C6"/>
    <w:rsid w:val="43BB17E9"/>
    <w:rsid w:val="43BF1440"/>
    <w:rsid w:val="43C27FD1"/>
    <w:rsid w:val="43CC6636"/>
    <w:rsid w:val="43D02444"/>
    <w:rsid w:val="43D513E7"/>
    <w:rsid w:val="43D7308D"/>
    <w:rsid w:val="43E85CB5"/>
    <w:rsid w:val="43EF7C54"/>
    <w:rsid w:val="43F24833"/>
    <w:rsid w:val="43F40CC8"/>
    <w:rsid w:val="43F737CF"/>
    <w:rsid w:val="44023D05"/>
    <w:rsid w:val="44042B0A"/>
    <w:rsid w:val="440D0713"/>
    <w:rsid w:val="44145A56"/>
    <w:rsid w:val="44152489"/>
    <w:rsid w:val="442D249D"/>
    <w:rsid w:val="44311CF6"/>
    <w:rsid w:val="44493764"/>
    <w:rsid w:val="445B1A5C"/>
    <w:rsid w:val="4463448F"/>
    <w:rsid w:val="4468036D"/>
    <w:rsid w:val="446C6754"/>
    <w:rsid w:val="44866C29"/>
    <w:rsid w:val="449974D6"/>
    <w:rsid w:val="44AB6E3D"/>
    <w:rsid w:val="44AC2D67"/>
    <w:rsid w:val="44B264F0"/>
    <w:rsid w:val="44B8423B"/>
    <w:rsid w:val="44BA55F3"/>
    <w:rsid w:val="44BB002C"/>
    <w:rsid w:val="44BD6835"/>
    <w:rsid w:val="44C53DEA"/>
    <w:rsid w:val="44DA759D"/>
    <w:rsid w:val="44EB1B72"/>
    <w:rsid w:val="44F72AB1"/>
    <w:rsid w:val="45010631"/>
    <w:rsid w:val="45014850"/>
    <w:rsid w:val="45050ABD"/>
    <w:rsid w:val="450C0002"/>
    <w:rsid w:val="450E2261"/>
    <w:rsid w:val="45166DDE"/>
    <w:rsid w:val="451A3605"/>
    <w:rsid w:val="451A7891"/>
    <w:rsid w:val="452D241D"/>
    <w:rsid w:val="454D3C30"/>
    <w:rsid w:val="455B01E8"/>
    <w:rsid w:val="45693E1D"/>
    <w:rsid w:val="457C0142"/>
    <w:rsid w:val="458D0AB3"/>
    <w:rsid w:val="458E308B"/>
    <w:rsid w:val="4595517B"/>
    <w:rsid w:val="45AE472D"/>
    <w:rsid w:val="45BC1DB8"/>
    <w:rsid w:val="45BC22DB"/>
    <w:rsid w:val="45BF1A1E"/>
    <w:rsid w:val="45CE5E4F"/>
    <w:rsid w:val="45DB181E"/>
    <w:rsid w:val="45E00BE3"/>
    <w:rsid w:val="45E701C3"/>
    <w:rsid w:val="460E45A9"/>
    <w:rsid w:val="4613489E"/>
    <w:rsid w:val="46175A26"/>
    <w:rsid w:val="461843EB"/>
    <w:rsid w:val="461B2C2A"/>
    <w:rsid w:val="462E253C"/>
    <w:rsid w:val="4637292B"/>
    <w:rsid w:val="463813D1"/>
    <w:rsid w:val="46415A01"/>
    <w:rsid w:val="46425939"/>
    <w:rsid w:val="464C3965"/>
    <w:rsid w:val="46590CD3"/>
    <w:rsid w:val="465F41FD"/>
    <w:rsid w:val="4663091A"/>
    <w:rsid w:val="466943F9"/>
    <w:rsid w:val="466C6651"/>
    <w:rsid w:val="468F6553"/>
    <w:rsid w:val="4690085B"/>
    <w:rsid w:val="469043B7"/>
    <w:rsid w:val="4690724B"/>
    <w:rsid w:val="46920B8F"/>
    <w:rsid w:val="469278E0"/>
    <w:rsid w:val="469E1D67"/>
    <w:rsid w:val="46A51C35"/>
    <w:rsid w:val="46C64C09"/>
    <w:rsid w:val="46C92DA7"/>
    <w:rsid w:val="46D01355"/>
    <w:rsid w:val="46D87B07"/>
    <w:rsid w:val="46F63198"/>
    <w:rsid w:val="470D314C"/>
    <w:rsid w:val="470E7BAD"/>
    <w:rsid w:val="470F1E50"/>
    <w:rsid w:val="4710374A"/>
    <w:rsid w:val="47110559"/>
    <w:rsid w:val="47286CC0"/>
    <w:rsid w:val="474143D0"/>
    <w:rsid w:val="47431429"/>
    <w:rsid w:val="47596E9F"/>
    <w:rsid w:val="475A21DB"/>
    <w:rsid w:val="47600268"/>
    <w:rsid w:val="476C1E47"/>
    <w:rsid w:val="47701BBF"/>
    <w:rsid w:val="477B5B66"/>
    <w:rsid w:val="47800046"/>
    <w:rsid w:val="4783517B"/>
    <w:rsid w:val="478E45D4"/>
    <w:rsid w:val="479437E3"/>
    <w:rsid w:val="479C4DE0"/>
    <w:rsid w:val="479D123A"/>
    <w:rsid w:val="47A25B36"/>
    <w:rsid w:val="47B719B7"/>
    <w:rsid w:val="47C037C9"/>
    <w:rsid w:val="47C42DF7"/>
    <w:rsid w:val="47C67A41"/>
    <w:rsid w:val="47D12ED9"/>
    <w:rsid w:val="47D44777"/>
    <w:rsid w:val="47D55799"/>
    <w:rsid w:val="47D86910"/>
    <w:rsid w:val="47DA45C1"/>
    <w:rsid w:val="47E10E51"/>
    <w:rsid w:val="47EC27B4"/>
    <w:rsid w:val="47F123DB"/>
    <w:rsid w:val="47F9073D"/>
    <w:rsid w:val="48056753"/>
    <w:rsid w:val="480743BB"/>
    <w:rsid w:val="480857A0"/>
    <w:rsid w:val="480B4C58"/>
    <w:rsid w:val="480C5FDA"/>
    <w:rsid w:val="480F1C53"/>
    <w:rsid w:val="481132D5"/>
    <w:rsid w:val="481F6154"/>
    <w:rsid w:val="482F172B"/>
    <w:rsid w:val="484216E1"/>
    <w:rsid w:val="4847473C"/>
    <w:rsid w:val="484A67E7"/>
    <w:rsid w:val="48531B40"/>
    <w:rsid w:val="48540412"/>
    <w:rsid w:val="485505EC"/>
    <w:rsid w:val="485F2D8E"/>
    <w:rsid w:val="486503B6"/>
    <w:rsid w:val="486D32F9"/>
    <w:rsid w:val="48783242"/>
    <w:rsid w:val="487C69F2"/>
    <w:rsid w:val="48800C22"/>
    <w:rsid w:val="48806D66"/>
    <w:rsid w:val="488C3EFB"/>
    <w:rsid w:val="48900A4B"/>
    <w:rsid w:val="489B6B9D"/>
    <w:rsid w:val="489F54E6"/>
    <w:rsid w:val="48A24875"/>
    <w:rsid w:val="48AC1250"/>
    <w:rsid w:val="48AF4B84"/>
    <w:rsid w:val="48B50FE7"/>
    <w:rsid w:val="48B575D5"/>
    <w:rsid w:val="48C52312"/>
    <w:rsid w:val="48C753E1"/>
    <w:rsid w:val="48CA2C07"/>
    <w:rsid w:val="48CB3DCC"/>
    <w:rsid w:val="48CE0F13"/>
    <w:rsid w:val="48D166FA"/>
    <w:rsid w:val="48D21FAB"/>
    <w:rsid w:val="48D32C81"/>
    <w:rsid w:val="48D800B0"/>
    <w:rsid w:val="48F60C1B"/>
    <w:rsid w:val="48F84495"/>
    <w:rsid w:val="49021ED9"/>
    <w:rsid w:val="49025F05"/>
    <w:rsid w:val="490314F3"/>
    <w:rsid w:val="490741AB"/>
    <w:rsid w:val="490B4B2F"/>
    <w:rsid w:val="4924528A"/>
    <w:rsid w:val="49303C2F"/>
    <w:rsid w:val="493B5CED"/>
    <w:rsid w:val="493D392B"/>
    <w:rsid w:val="49557B3A"/>
    <w:rsid w:val="495C50E9"/>
    <w:rsid w:val="4969090D"/>
    <w:rsid w:val="496C2898"/>
    <w:rsid w:val="496D1EFB"/>
    <w:rsid w:val="497E73D9"/>
    <w:rsid w:val="49900E7C"/>
    <w:rsid w:val="499374BC"/>
    <w:rsid w:val="499835E0"/>
    <w:rsid w:val="49B06D61"/>
    <w:rsid w:val="49B22FA9"/>
    <w:rsid w:val="49B67DD0"/>
    <w:rsid w:val="49B93C25"/>
    <w:rsid w:val="49C10D2B"/>
    <w:rsid w:val="49C36851"/>
    <w:rsid w:val="49D731BE"/>
    <w:rsid w:val="49E64166"/>
    <w:rsid w:val="49E938E1"/>
    <w:rsid w:val="49E94AE3"/>
    <w:rsid w:val="49F36E0F"/>
    <w:rsid w:val="49F75354"/>
    <w:rsid w:val="49FB6D2A"/>
    <w:rsid w:val="4A001E22"/>
    <w:rsid w:val="4A2E1DD9"/>
    <w:rsid w:val="4A31532F"/>
    <w:rsid w:val="4A3D2C46"/>
    <w:rsid w:val="4A4F6337"/>
    <w:rsid w:val="4A4F641C"/>
    <w:rsid w:val="4A631DE2"/>
    <w:rsid w:val="4A6E0EB3"/>
    <w:rsid w:val="4A6F65C5"/>
    <w:rsid w:val="4A8204BA"/>
    <w:rsid w:val="4A840CC9"/>
    <w:rsid w:val="4A8A55C1"/>
    <w:rsid w:val="4A8F4985"/>
    <w:rsid w:val="4A925B2F"/>
    <w:rsid w:val="4A993E1A"/>
    <w:rsid w:val="4A9E5698"/>
    <w:rsid w:val="4AB26AE0"/>
    <w:rsid w:val="4AB42BF4"/>
    <w:rsid w:val="4AB7358A"/>
    <w:rsid w:val="4ABE7692"/>
    <w:rsid w:val="4AC05D78"/>
    <w:rsid w:val="4AC62D85"/>
    <w:rsid w:val="4AC85277"/>
    <w:rsid w:val="4ACD4477"/>
    <w:rsid w:val="4ACF5BC1"/>
    <w:rsid w:val="4AD52CE0"/>
    <w:rsid w:val="4ADB406F"/>
    <w:rsid w:val="4AEF6A9B"/>
    <w:rsid w:val="4B007AD3"/>
    <w:rsid w:val="4B164DB8"/>
    <w:rsid w:val="4B1B2230"/>
    <w:rsid w:val="4B29302C"/>
    <w:rsid w:val="4B2F07C0"/>
    <w:rsid w:val="4B2F6B68"/>
    <w:rsid w:val="4B437394"/>
    <w:rsid w:val="4B453BCF"/>
    <w:rsid w:val="4B585C40"/>
    <w:rsid w:val="4B5B15E1"/>
    <w:rsid w:val="4B5F79FD"/>
    <w:rsid w:val="4B6C39C2"/>
    <w:rsid w:val="4B897627"/>
    <w:rsid w:val="4B8C0A96"/>
    <w:rsid w:val="4B8F1BC1"/>
    <w:rsid w:val="4B8F5DC2"/>
    <w:rsid w:val="4B925CFB"/>
    <w:rsid w:val="4B927203"/>
    <w:rsid w:val="4B9B2376"/>
    <w:rsid w:val="4BA10532"/>
    <w:rsid w:val="4BA342A6"/>
    <w:rsid w:val="4BA416B8"/>
    <w:rsid w:val="4BA84D8B"/>
    <w:rsid w:val="4BB26E1C"/>
    <w:rsid w:val="4BC1558A"/>
    <w:rsid w:val="4BD11B22"/>
    <w:rsid w:val="4BD95982"/>
    <w:rsid w:val="4BDC57B5"/>
    <w:rsid w:val="4BE675E6"/>
    <w:rsid w:val="4BE920CC"/>
    <w:rsid w:val="4BF453E8"/>
    <w:rsid w:val="4BF559FF"/>
    <w:rsid w:val="4C066E63"/>
    <w:rsid w:val="4C0E7DEA"/>
    <w:rsid w:val="4C11692F"/>
    <w:rsid w:val="4C197002"/>
    <w:rsid w:val="4C1D5D0E"/>
    <w:rsid w:val="4C213D03"/>
    <w:rsid w:val="4C2900C5"/>
    <w:rsid w:val="4C410774"/>
    <w:rsid w:val="4C431ECB"/>
    <w:rsid w:val="4C466ADD"/>
    <w:rsid w:val="4C50175E"/>
    <w:rsid w:val="4C545508"/>
    <w:rsid w:val="4C546CC2"/>
    <w:rsid w:val="4C5760F4"/>
    <w:rsid w:val="4C59524B"/>
    <w:rsid w:val="4C5A4B15"/>
    <w:rsid w:val="4C6B5E87"/>
    <w:rsid w:val="4C73114F"/>
    <w:rsid w:val="4C7719CC"/>
    <w:rsid w:val="4C77462D"/>
    <w:rsid w:val="4C7F1A1E"/>
    <w:rsid w:val="4C81396C"/>
    <w:rsid w:val="4C883D82"/>
    <w:rsid w:val="4CAC181F"/>
    <w:rsid w:val="4CAD35BC"/>
    <w:rsid w:val="4CB27802"/>
    <w:rsid w:val="4CC728AF"/>
    <w:rsid w:val="4CCC598C"/>
    <w:rsid w:val="4CCE1F83"/>
    <w:rsid w:val="4CEE156A"/>
    <w:rsid w:val="4CEF6BF3"/>
    <w:rsid w:val="4CF52BEF"/>
    <w:rsid w:val="4D062AA8"/>
    <w:rsid w:val="4D0E24D9"/>
    <w:rsid w:val="4D13189E"/>
    <w:rsid w:val="4D327F53"/>
    <w:rsid w:val="4D3C3BB4"/>
    <w:rsid w:val="4D401EEA"/>
    <w:rsid w:val="4D407704"/>
    <w:rsid w:val="4D421D91"/>
    <w:rsid w:val="4D461C73"/>
    <w:rsid w:val="4D467EC5"/>
    <w:rsid w:val="4D4B557E"/>
    <w:rsid w:val="4D4C3F4F"/>
    <w:rsid w:val="4D4F0235"/>
    <w:rsid w:val="4D66282C"/>
    <w:rsid w:val="4D682A44"/>
    <w:rsid w:val="4D741EB3"/>
    <w:rsid w:val="4D7560B4"/>
    <w:rsid w:val="4D761E2D"/>
    <w:rsid w:val="4D7A7834"/>
    <w:rsid w:val="4D7B3000"/>
    <w:rsid w:val="4D8F173E"/>
    <w:rsid w:val="4D8F229D"/>
    <w:rsid w:val="4D9712E6"/>
    <w:rsid w:val="4D9B512B"/>
    <w:rsid w:val="4DA018BA"/>
    <w:rsid w:val="4DA60B1D"/>
    <w:rsid w:val="4DB34BD4"/>
    <w:rsid w:val="4DB40C81"/>
    <w:rsid w:val="4DB9226E"/>
    <w:rsid w:val="4DC94652"/>
    <w:rsid w:val="4DCB6E58"/>
    <w:rsid w:val="4DCE1EB6"/>
    <w:rsid w:val="4DD261F8"/>
    <w:rsid w:val="4DD459B7"/>
    <w:rsid w:val="4DD46AC9"/>
    <w:rsid w:val="4DD65607"/>
    <w:rsid w:val="4DE465CF"/>
    <w:rsid w:val="4DE63FCD"/>
    <w:rsid w:val="4DF609F0"/>
    <w:rsid w:val="4E026E6C"/>
    <w:rsid w:val="4E084FDA"/>
    <w:rsid w:val="4E10400C"/>
    <w:rsid w:val="4E2B53A6"/>
    <w:rsid w:val="4E2E44B5"/>
    <w:rsid w:val="4E37780E"/>
    <w:rsid w:val="4E4051B8"/>
    <w:rsid w:val="4E476F87"/>
    <w:rsid w:val="4E4F7042"/>
    <w:rsid w:val="4E5C5371"/>
    <w:rsid w:val="4E685C19"/>
    <w:rsid w:val="4E7A7A6D"/>
    <w:rsid w:val="4E8644AE"/>
    <w:rsid w:val="4E8B540E"/>
    <w:rsid w:val="4E937427"/>
    <w:rsid w:val="4E955004"/>
    <w:rsid w:val="4EA542FA"/>
    <w:rsid w:val="4EA90822"/>
    <w:rsid w:val="4EAF2B00"/>
    <w:rsid w:val="4EDD3B04"/>
    <w:rsid w:val="4EF179BD"/>
    <w:rsid w:val="4EF522B1"/>
    <w:rsid w:val="4F015AF9"/>
    <w:rsid w:val="4F081A0D"/>
    <w:rsid w:val="4F12517C"/>
    <w:rsid w:val="4F1E270B"/>
    <w:rsid w:val="4F29184C"/>
    <w:rsid w:val="4F3026FE"/>
    <w:rsid w:val="4F3A55C1"/>
    <w:rsid w:val="4F473E2A"/>
    <w:rsid w:val="4F4B6810"/>
    <w:rsid w:val="4F5A1CF0"/>
    <w:rsid w:val="4F5A2D9D"/>
    <w:rsid w:val="4F6D3015"/>
    <w:rsid w:val="4F716B2C"/>
    <w:rsid w:val="4F760C7F"/>
    <w:rsid w:val="4F78397F"/>
    <w:rsid w:val="4F7C6F01"/>
    <w:rsid w:val="4F9529F9"/>
    <w:rsid w:val="4F9D4F21"/>
    <w:rsid w:val="4F9F137E"/>
    <w:rsid w:val="4F9F43DC"/>
    <w:rsid w:val="4FA1308A"/>
    <w:rsid w:val="4FA25BD4"/>
    <w:rsid w:val="4FA60CE4"/>
    <w:rsid w:val="4FA9473B"/>
    <w:rsid w:val="4FB530E0"/>
    <w:rsid w:val="4FBD1F95"/>
    <w:rsid w:val="4FC24A2A"/>
    <w:rsid w:val="4FED41BE"/>
    <w:rsid w:val="500734EC"/>
    <w:rsid w:val="501317FE"/>
    <w:rsid w:val="50177758"/>
    <w:rsid w:val="5018129C"/>
    <w:rsid w:val="50195891"/>
    <w:rsid w:val="502F7F35"/>
    <w:rsid w:val="50375BCE"/>
    <w:rsid w:val="50545A9F"/>
    <w:rsid w:val="505C0F8D"/>
    <w:rsid w:val="50632ECA"/>
    <w:rsid w:val="50650662"/>
    <w:rsid w:val="50721F80"/>
    <w:rsid w:val="50822869"/>
    <w:rsid w:val="508462A8"/>
    <w:rsid w:val="508C42EB"/>
    <w:rsid w:val="508D2502"/>
    <w:rsid w:val="50A01D66"/>
    <w:rsid w:val="50A021C6"/>
    <w:rsid w:val="50A0791E"/>
    <w:rsid w:val="50A22571"/>
    <w:rsid w:val="50B05148"/>
    <w:rsid w:val="50B37EAA"/>
    <w:rsid w:val="50B909AE"/>
    <w:rsid w:val="50BB1548"/>
    <w:rsid w:val="50C14805"/>
    <w:rsid w:val="50CD1F7A"/>
    <w:rsid w:val="50D6429F"/>
    <w:rsid w:val="50DA49D2"/>
    <w:rsid w:val="50E573BE"/>
    <w:rsid w:val="50E81FAB"/>
    <w:rsid w:val="50EE1EB6"/>
    <w:rsid w:val="50F33FC6"/>
    <w:rsid w:val="511127B4"/>
    <w:rsid w:val="51155487"/>
    <w:rsid w:val="51167BAE"/>
    <w:rsid w:val="51190993"/>
    <w:rsid w:val="511E4168"/>
    <w:rsid w:val="51220301"/>
    <w:rsid w:val="512230E3"/>
    <w:rsid w:val="51287149"/>
    <w:rsid w:val="512A0E12"/>
    <w:rsid w:val="512E1448"/>
    <w:rsid w:val="514C1822"/>
    <w:rsid w:val="514E4B6F"/>
    <w:rsid w:val="514F6BE9"/>
    <w:rsid w:val="5157056E"/>
    <w:rsid w:val="516B2564"/>
    <w:rsid w:val="51713037"/>
    <w:rsid w:val="518A6886"/>
    <w:rsid w:val="519117C9"/>
    <w:rsid w:val="519805C3"/>
    <w:rsid w:val="51A12384"/>
    <w:rsid w:val="51AB52BE"/>
    <w:rsid w:val="51BC3CF4"/>
    <w:rsid w:val="51CF2B84"/>
    <w:rsid w:val="51D90756"/>
    <w:rsid w:val="51DB6F0D"/>
    <w:rsid w:val="51DF731B"/>
    <w:rsid w:val="51E33AD4"/>
    <w:rsid w:val="51E67581"/>
    <w:rsid w:val="51F3278E"/>
    <w:rsid w:val="51F95A54"/>
    <w:rsid w:val="51FA75DE"/>
    <w:rsid w:val="51FC221A"/>
    <w:rsid w:val="520850E0"/>
    <w:rsid w:val="520A545F"/>
    <w:rsid w:val="520F4D26"/>
    <w:rsid w:val="521B12DD"/>
    <w:rsid w:val="52274BF3"/>
    <w:rsid w:val="522E429C"/>
    <w:rsid w:val="524F0F95"/>
    <w:rsid w:val="52604FD8"/>
    <w:rsid w:val="52605415"/>
    <w:rsid w:val="526767C0"/>
    <w:rsid w:val="526B0414"/>
    <w:rsid w:val="527903F5"/>
    <w:rsid w:val="528342DE"/>
    <w:rsid w:val="528F318E"/>
    <w:rsid w:val="52910084"/>
    <w:rsid w:val="529A036B"/>
    <w:rsid w:val="52A4376B"/>
    <w:rsid w:val="52AE526E"/>
    <w:rsid w:val="52B54B22"/>
    <w:rsid w:val="52BB0456"/>
    <w:rsid w:val="52C5172F"/>
    <w:rsid w:val="52C94D08"/>
    <w:rsid w:val="52F639A1"/>
    <w:rsid w:val="52F87FE2"/>
    <w:rsid w:val="52FA5E53"/>
    <w:rsid w:val="52FA7BA2"/>
    <w:rsid w:val="52FF10B5"/>
    <w:rsid w:val="53004724"/>
    <w:rsid w:val="530E7D91"/>
    <w:rsid w:val="53195211"/>
    <w:rsid w:val="531A5B2E"/>
    <w:rsid w:val="531F2F4C"/>
    <w:rsid w:val="53260532"/>
    <w:rsid w:val="53464441"/>
    <w:rsid w:val="534B2BC4"/>
    <w:rsid w:val="534E3DA1"/>
    <w:rsid w:val="53570112"/>
    <w:rsid w:val="53575FB4"/>
    <w:rsid w:val="535A28A2"/>
    <w:rsid w:val="535E2D14"/>
    <w:rsid w:val="535F300B"/>
    <w:rsid w:val="53662FA4"/>
    <w:rsid w:val="536B579D"/>
    <w:rsid w:val="536F1F5F"/>
    <w:rsid w:val="537915B8"/>
    <w:rsid w:val="53791936"/>
    <w:rsid w:val="537F5082"/>
    <w:rsid w:val="53A019B1"/>
    <w:rsid w:val="53A15B88"/>
    <w:rsid w:val="53AB0C34"/>
    <w:rsid w:val="53B21A7B"/>
    <w:rsid w:val="53B427EC"/>
    <w:rsid w:val="53C53FD0"/>
    <w:rsid w:val="53CB479C"/>
    <w:rsid w:val="53D86D81"/>
    <w:rsid w:val="53EB521C"/>
    <w:rsid w:val="53EC7E75"/>
    <w:rsid w:val="541821E8"/>
    <w:rsid w:val="541B5E4D"/>
    <w:rsid w:val="54281E11"/>
    <w:rsid w:val="542A2E8C"/>
    <w:rsid w:val="542D56AD"/>
    <w:rsid w:val="543071D9"/>
    <w:rsid w:val="54486ED3"/>
    <w:rsid w:val="5450645F"/>
    <w:rsid w:val="54522561"/>
    <w:rsid w:val="5461351A"/>
    <w:rsid w:val="546D0C41"/>
    <w:rsid w:val="54700AF0"/>
    <w:rsid w:val="547E0B03"/>
    <w:rsid w:val="549C0E0C"/>
    <w:rsid w:val="549C32EC"/>
    <w:rsid w:val="54A14AFD"/>
    <w:rsid w:val="54AA48BA"/>
    <w:rsid w:val="54B46D5C"/>
    <w:rsid w:val="54CF4BD4"/>
    <w:rsid w:val="54D63807"/>
    <w:rsid w:val="54E65AEA"/>
    <w:rsid w:val="54E86C67"/>
    <w:rsid w:val="54EB1C8A"/>
    <w:rsid w:val="55031164"/>
    <w:rsid w:val="55092D65"/>
    <w:rsid w:val="550E36ED"/>
    <w:rsid w:val="551155D8"/>
    <w:rsid w:val="551337A9"/>
    <w:rsid w:val="551A4038"/>
    <w:rsid w:val="551C5E53"/>
    <w:rsid w:val="551E2029"/>
    <w:rsid w:val="55200E06"/>
    <w:rsid w:val="55203574"/>
    <w:rsid w:val="5521161C"/>
    <w:rsid w:val="55214D74"/>
    <w:rsid w:val="55230AEC"/>
    <w:rsid w:val="55232A9D"/>
    <w:rsid w:val="552D3354"/>
    <w:rsid w:val="55320BB4"/>
    <w:rsid w:val="554F368F"/>
    <w:rsid w:val="555869E7"/>
    <w:rsid w:val="556158AB"/>
    <w:rsid w:val="55646FF0"/>
    <w:rsid w:val="556709D9"/>
    <w:rsid w:val="55673076"/>
    <w:rsid w:val="55754FBE"/>
    <w:rsid w:val="55885C8B"/>
    <w:rsid w:val="558B39B5"/>
    <w:rsid w:val="55932937"/>
    <w:rsid w:val="559C06A8"/>
    <w:rsid w:val="55A017C0"/>
    <w:rsid w:val="55A45C51"/>
    <w:rsid w:val="55D12837"/>
    <w:rsid w:val="55D835DA"/>
    <w:rsid w:val="55E16B3B"/>
    <w:rsid w:val="55E87AB4"/>
    <w:rsid w:val="55ED59EA"/>
    <w:rsid w:val="55F84694"/>
    <w:rsid w:val="55FA39E8"/>
    <w:rsid w:val="55FF26B3"/>
    <w:rsid w:val="560642A7"/>
    <w:rsid w:val="560C332E"/>
    <w:rsid w:val="561B5EEA"/>
    <w:rsid w:val="56267D75"/>
    <w:rsid w:val="563013EB"/>
    <w:rsid w:val="564C1369"/>
    <w:rsid w:val="565C2B26"/>
    <w:rsid w:val="56702550"/>
    <w:rsid w:val="5684579B"/>
    <w:rsid w:val="568630E0"/>
    <w:rsid w:val="56877E9C"/>
    <w:rsid w:val="568E48F4"/>
    <w:rsid w:val="56975EB0"/>
    <w:rsid w:val="569A2B6B"/>
    <w:rsid w:val="569B340E"/>
    <w:rsid w:val="569C6B8B"/>
    <w:rsid w:val="569F52C8"/>
    <w:rsid w:val="56A75CA9"/>
    <w:rsid w:val="56AF4CE2"/>
    <w:rsid w:val="56BC0DE5"/>
    <w:rsid w:val="56BC2FA6"/>
    <w:rsid w:val="56BD6CA3"/>
    <w:rsid w:val="56D55CBF"/>
    <w:rsid w:val="56E45795"/>
    <w:rsid w:val="56E46CC4"/>
    <w:rsid w:val="56EB24D4"/>
    <w:rsid w:val="56FF60DD"/>
    <w:rsid w:val="57106DD8"/>
    <w:rsid w:val="57127B2C"/>
    <w:rsid w:val="57193769"/>
    <w:rsid w:val="572E71DA"/>
    <w:rsid w:val="57353107"/>
    <w:rsid w:val="5739653E"/>
    <w:rsid w:val="573B1564"/>
    <w:rsid w:val="573C0570"/>
    <w:rsid w:val="57463F43"/>
    <w:rsid w:val="574A2020"/>
    <w:rsid w:val="57544067"/>
    <w:rsid w:val="575E7445"/>
    <w:rsid w:val="57697B57"/>
    <w:rsid w:val="576A30A4"/>
    <w:rsid w:val="577E5F2E"/>
    <w:rsid w:val="57814369"/>
    <w:rsid w:val="57827C80"/>
    <w:rsid w:val="579071B0"/>
    <w:rsid w:val="579565D2"/>
    <w:rsid w:val="579A25EE"/>
    <w:rsid w:val="57A777B2"/>
    <w:rsid w:val="57C96DCF"/>
    <w:rsid w:val="57D73A40"/>
    <w:rsid w:val="57E27B99"/>
    <w:rsid w:val="57F32610"/>
    <w:rsid w:val="57FB18AC"/>
    <w:rsid w:val="58150BC0"/>
    <w:rsid w:val="58180CBF"/>
    <w:rsid w:val="5827444F"/>
    <w:rsid w:val="5835552D"/>
    <w:rsid w:val="58440709"/>
    <w:rsid w:val="584E2B40"/>
    <w:rsid w:val="58643338"/>
    <w:rsid w:val="587020A4"/>
    <w:rsid w:val="58902DB3"/>
    <w:rsid w:val="5892603C"/>
    <w:rsid w:val="58965E51"/>
    <w:rsid w:val="589E2A9C"/>
    <w:rsid w:val="58A67A6A"/>
    <w:rsid w:val="58AC0446"/>
    <w:rsid w:val="58AC49D8"/>
    <w:rsid w:val="58B04DB3"/>
    <w:rsid w:val="58B40E1D"/>
    <w:rsid w:val="58BB4167"/>
    <w:rsid w:val="58BE1178"/>
    <w:rsid w:val="58C370F5"/>
    <w:rsid w:val="58CD7759"/>
    <w:rsid w:val="58D51E91"/>
    <w:rsid w:val="58E9530A"/>
    <w:rsid w:val="58F222AF"/>
    <w:rsid w:val="58FE6483"/>
    <w:rsid w:val="590610C8"/>
    <w:rsid w:val="591F1435"/>
    <w:rsid w:val="59200C3D"/>
    <w:rsid w:val="59290DC1"/>
    <w:rsid w:val="593720E7"/>
    <w:rsid w:val="593A3833"/>
    <w:rsid w:val="59426915"/>
    <w:rsid w:val="594A6647"/>
    <w:rsid w:val="594E2BD8"/>
    <w:rsid w:val="594F0FAE"/>
    <w:rsid w:val="595F2EC7"/>
    <w:rsid w:val="596A1F7E"/>
    <w:rsid w:val="596A4F3B"/>
    <w:rsid w:val="59814033"/>
    <w:rsid w:val="59947164"/>
    <w:rsid w:val="59956F8F"/>
    <w:rsid w:val="599627FB"/>
    <w:rsid w:val="59967ADE"/>
    <w:rsid w:val="599F48BC"/>
    <w:rsid w:val="59A06117"/>
    <w:rsid w:val="59A0619B"/>
    <w:rsid w:val="59A4317D"/>
    <w:rsid w:val="59A6281B"/>
    <w:rsid w:val="59C776A5"/>
    <w:rsid w:val="59CD73A0"/>
    <w:rsid w:val="59DA67D9"/>
    <w:rsid w:val="59EC06C3"/>
    <w:rsid w:val="5A0A005D"/>
    <w:rsid w:val="5A105AE3"/>
    <w:rsid w:val="5A14496A"/>
    <w:rsid w:val="5A165DE4"/>
    <w:rsid w:val="5A1F30CD"/>
    <w:rsid w:val="5A2732D9"/>
    <w:rsid w:val="5A2A4069"/>
    <w:rsid w:val="5A2B414E"/>
    <w:rsid w:val="5A2D27FB"/>
    <w:rsid w:val="5A305D3D"/>
    <w:rsid w:val="5A31723D"/>
    <w:rsid w:val="5A39232D"/>
    <w:rsid w:val="5A456F52"/>
    <w:rsid w:val="5A616B43"/>
    <w:rsid w:val="5A6229CE"/>
    <w:rsid w:val="5A697FED"/>
    <w:rsid w:val="5A785436"/>
    <w:rsid w:val="5A923FB7"/>
    <w:rsid w:val="5A927802"/>
    <w:rsid w:val="5A943EB1"/>
    <w:rsid w:val="5A982D07"/>
    <w:rsid w:val="5AA53F18"/>
    <w:rsid w:val="5AB72A70"/>
    <w:rsid w:val="5AD04698"/>
    <w:rsid w:val="5AD206EC"/>
    <w:rsid w:val="5ADC00B1"/>
    <w:rsid w:val="5AF87402"/>
    <w:rsid w:val="5B1037CF"/>
    <w:rsid w:val="5B2B31CC"/>
    <w:rsid w:val="5B3824C1"/>
    <w:rsid w:val="5B41211F"/>
    <w:rsid w:val="5B431B36"/>
    <w:rsid w:val="5B455929"/>
    <w:rsid w:val="5B57329D"/>
    <w:rsid w:val="5B7E7962"/>
    <w:rsid w:val="5B7F627A"/>
    <w:rsid w:val="5B89726F"/>
    <w:rsid w:val="5B8D2CF2"/>
    <w:rsid w:val="5B9A664E"/>
    <w:rsid w:val="5BA56FEA"/>
    <w:rsid w:val="5BAF1F35"/>
    <w:rsid w:val="5BBB1A7E"/>
    <w:rsid w:val="5BBD5A72"/>
    <w:rsid w:val="5BBD76A6"/>
    <w:rsid w:val="5BD129C5"/>
    <w:rsid w:val="5BD46B51"/>
    <w:rsid w:val="5BDB5986"/>
    <w:rsid w:val="5BFE0670"/>
    <w:rsid w:val="5C1C43E2"/>
    <w:rsid w:val="5C282DC9"/>
    <w:rsid w:val="5C335D72"/>
    <w:rsid w:val="5C4E0FD7"/>
    <w:rsid w:val="5C58457C"/>
    <w:rsid w:val="5C5869D3"/>
    <w:rsid w:val="5C594DF3"/>
    <w:rsid w:val="5C6B1234"/>
    <w:rsid w:val="5C6B7854"/>
    <w:rsid w:val="5C990220"/>
    <w:rsid w:val="5CA92016"/>
    <w:rsid w:val="5CAF4F83"/>
    <w:rsid w:val="5CB07EA3"/>
    <w:rsid w:val="5CB23E22"/>
    <w:rsid w:val="5CBA7851"/>
    <w:rsid w:val="5CBC4583"/>
    <w:rsid w:val="5CC74453"/>
    <w:rsid w:val="5CCB1B87"/>
    <w:rsid w:val="5CCD4010"/>
    <w:rsid w:val="5CCD7CBB"/>
    <w:rsid w:val="5CD728D9"/>
    <w:rsid w:val="5CDD4611"/>
    <w:rsid w:val="5CDD62C0"/>
    <w:rsid w:val="5CDF17C6"/>
    <w:rsid w:val="5CE86E23"/>
    <w:rsid w:val="5CF0029A"/>
    <w:rsid w:val="5D03198F"/>
    <w:rsid w:val="5D210B98"/>
    <w:rsid w:val="5D2335BD"/>
    <w:rsid w:val="5D2C2AC7"/>
    <w:rsid w:val="5D533252"/>
    <w:rsid w:val="5D547C06"/>
    <w:rsid w:val="5D8F31C2"/>
    <w:rsid w:val="5D9421D9"/>
    <w:rsid w:val="5D951E96"/>
    <w:rsid w:val="5D9702C9"/>
    <w:rsid w:val="5D976076"/>
    <w:rsid w:val="5DC91928"/>
    <w:rsid w:val="5DCC54EF"/>
    <w:rsid w:val="5DD46436"/>
    <w:rsid w:val="5DDF0CA3"/>
    <w:rsid w:val="5DF4636D"/>
    <w:rsid w:val="5E01333B"/>
    <w:rsid w:val="5E0379D5"/>
    <w:rsid w:val="5E103114"/>
    <w:rsid w:val="5E203097"/>
    <w:rsid w:val="5E2F0501"/>
    <w:rsid w:val="5E33339E"/>
    <w:rsid w:val="5E463C77"/>
    <w:rsid w:val="5E472446"/>
    <w:rsid w:val="5E503A60"/>
    <w:rsid w:val="5E5203C1"/>
    <w:rsid w:val="5E5E2830"/>
    <w:rsid w:val="5E634731"/>
    <w:rsid w:val="5E652175"/>
    <w:rsid w:val="5E671A49"/>
    <w:rsid w:val="5E734892"/>
    <w:rsid w:val="5E7D3E4F"/>
    <w:rsid w:val="5E88310D"/>
    <w:rsid w:val="5E9734F2"/>
    <w:rsid w:val="5E973A33"/>
    <w:rsid w:val="5E9C7C4F"/>
    <w:rsid w:val="5EA66A16"/>
    <w:rsid w:val="5EA7453C"/>
    <w:rsid w:val="5EB042F0"/>
    <w:rsid w:val="5EB173E2"/>
    <w:rsid w:val="5EB25D18"/>
    <w:rsid w:val="5EB507D0"/>
    <w:rsid w:val="5EB97DCB"/>
    <w:rsid w:val="5EBE4089"/>
    <w:rsid w:val="5EC968B3"/>
    <w:rsid w:val="5EE4045B"/>
    <w:rsid w:val="5EF05EE8"/>
    <w:rsid w:val="5EFC6636"/>
    <w:rsid w:val="5F031AD9"/>
    <w:rsid w:val="5F046BBE"/>
    <w:rsid w:val="5F12347E"/>
    <w:rsid w:val="5F1C71EA"/>
    <w:rsid w:val="5F1F40D2"/>
    <w:rsid w:val="5F2D2155"/>
    <w:rsid w:val="5F2E68F6"/>
    <w:rsid w:val="5F33479C"/>
    <w:rsid w:val="5F335DCF"/>
    <w:rsid w:val="5F36141C"/>
    <w:rsid w:val="5F413587"/>
    <w:rsid w:val="5F5B2450"/>
    <w:rsid w:val="5F61293D"/>
    <w:rsid w:val="5F63348B"/>
    <w:rsid w:val="5F643F87"/>
    <w:rsid w:val="5F6451CB"/>
    <w:rsid w:val="5F676130"/>
    <w:rsid w:val="5F6E2035"/>
    <w:rsid w:val="5F6E6E08"/>
    <w:rsid w:val="5F785F3A"/>
    <w:rsid w:val="5F80406D"/>
    <w:rsid w:val="5F8D585A"/>
    <w:rsid w:val="5F9F07DB"/>
    <w:rsid w:val="5FA23A48"/>
    <w:rsid w:val="5FBB2FBC"/>
    <w:rsid w:val="5FD13DCB"/>
    <w:rsid w:val="5FD56E87"/>
    <w:rsid w:val="5FE32C8D"/>
    <w:rsid w:val="5FE86BBA"/>
    <w:rsid w:val="5FE95F59"/>
    <w:rsid w:val="5FED41D0"/>
    <w:rsid w:val="600A18D9"/>
    <w:rsid w:val="600B4FBD"/>
    <w:rsid w:val="60130DC7"/>
    <w:rsid w:val="601A4216"/>
    <w:rsid w:val="6034109C"/>
    <w:rsid w:val="604771F6"/>
    <w:rsid w:val="604E0879"/>
    <w:rsid w:val="60554E30"/>
    <w:rsid w:val="605A44B5"/>
    <w:rsid w:val="606657D3"/>
    <w:rsid w:val="607B4CB3"/>
    <w:rsid w:val="608F2266"/>
    <w:rsid w:val="609665BA"/>
    <w:rsid w:val="609B1E7E"/>
    <w:rsid w:val="609C458D"/>
    <w:rsid w:val="60A9459B"/>
    <w:rsid w:val="60C222FE"/>
    <w:rsid w:val="60C82790"/>
    <w:rsid w:val="60D45BA6"/>
    <w:rsid w:val="60D86C2E"/>
    <w:rsid w:val="60DA347D"/>
    <w:rsid w:val="60E654A9"/>
    <w:rsid w:val="60EF50B4"/>
    <w:rsid w:val="61001CE1"/>
    <w:rsid w:val="610C321B"/>
    <w:rsid w:val="61162060"/>
    <w:rsid w:val="61166B74"/>
    <w:rsid w:val="612F7FFB"/>
    <w:rsid w:val="613606C0"/>
    <w:rsid w:val="61380ADF"/>
    <w:rsid w:val="613938BC"/>
    <w:rsid w:val="6147343A"/>
    <w:rsid w:val="614A4552"/>
    <w:rsid w:val="614E689C"/>
    <w:rsid w:val="615838F9"/>
    <w:rsid w:val="61646888"/>
    <w:rsid w:val="61774414"/>
    <w:rsid w:val="61786C3B"/>
    <w:rsid w:val="61810CA0"/>
    <w:rsid w:val="61A42F5B"/>
    <w:rsid w:val="61AC1FE6"/>
    <w:rsid w:val="61B74A96"/>
    <w:rsid w:val="61BC3E5A"/>
    <w:rsid w:val="61C07568"/>
    <w:rsid w:val="61CC0783"/>
    <w:rsid w:val="61D3473A"/>
    <w:rsid w:val="61D76F76"/>
    <w:rsid w:val="61D92C5E"/>
    <w:rsid w:val="61DA61FE"/>
    <w:rsid w:val="61E22171"/>
    <w:rsid w:val="61E82EA1"/>
    <w:rsid w:val="61E96D6F"/>
    <w:rsid w:val="61F65F87"/>
    <w:rsid w:val="61F81FCE"/>
    <w:rsid w:val="62063D88"/>
    <w:rsid w:val="62077525"/>
    <w:rsid w:val="621150B7"/>
    <w:rsid w:val="62165C60"/>
    <w:rsid w:val="622802E8"/>
    <w:rsid w:val="62286FA5"/>
    <w:rsid w:val="62557D1F"/>
    <w:rsid w:val="627363B8"/>
    <w:rsid w:val="628E6C9D"/>
    <w:rsid w:val="62956EB0"/>
    <w:rsid w:val="62993734"/>
    <w:rsid w:val="629B6165"/>
    <w:rsid w:val="629F1FDA"/>
    <w:rsid w:val="62A10B96"/>
    <w:rsid w:val="62A178B6"/>
    <w:rsid w:val="62A93144"/>
    <w:rsid w:val="62AF7DC5"/>
    <w:rsid w:val="62BB623C"/>
    <w:rsid w:val="62BC6EB3"/>
    <w:rsid w:val="62D229D4"/>
    <w:rsid w:val="62D76A8F"/>
    <w:rsid w:val="62DC3850"/>
    <w:rsid w:val="62F87114"/>
    <w:rsid w:val="62FB5D79"/>
    <w:rsid w:val="630821E3"/>
    <w:rsid w:val="63112B49"/>
    <w:rsid w:val="632107D6"/>
    <w:rsid w:val="632170F0"/>
    <w:rsid w:val="63304ADA"/>
    <w:rsid w:val="633714C3"/>
    <w:rsid w:val="633F7423"/>
    <w:rsid w:val="63414F5F"/>
    <w:rsid w:val="63442359"/>
    <w:rsid w:val="63493A10"/>
    <w:rsid w:val="63714865"/>
    <w:rsid w:val="637C6F24"/>
    <w:rsid w:val="63822494"/>
    <w:rsid w:val="638F760D"/>
    <w:rsid w:val="63906890"/>
    <w:rsid w:val="6393508F"/>
    <w:rsid w:val="639A466F"/>
    <w:rsid w:val="639C0B53"/>
    <w:rsid w:val="63AE1E4E"/>
    <w:rsid w:val="63B03E93"/>
    <w:rsid w:val="63B60181"/>
    <w:rsid w:val="63D336DD"/>
    <w:rsid w:val="63DA586D"/>
    <w:rsid w:val="63E03632"/>
    <w:rsid w:val="63E161BB"/>
    <w:rsid w:val="63E24239"/>
    <w:rsid w:val="63F340DE"/>
    <w:rsid w:val="63F631B0"/>
    <w:rsid w:val="6417181C"/>
    <w:rsid w:val="641E3372"/>
    <w:rsid w:val="64432611"/>
    <w:rsid w:val="644B7717"/>
    <w:rsid w:val="645273BE"/>
    <w:rsid w:val="645760BC"/>
    <w:rsid w:val="645D6BF5"/>
    <w:rsid w:val="64635C4D"/>
    <w:rsid w:val="6465046A"/>
    <w:rsid w:val="6467511C"/>
    <w:rsid w:val="648079C2"/>
    <w:rsid w:val="648A7C9F"/>
    <w:rsid w:val="649B4320"/>
    <w:rsid w:val="64AD03D2"/>
    <w:rsid w:val="64BC46AB"/>
    <w:rsid w:val="64BD0C9C"/>
    <w:rsid w:val="64C3768B"/>
    <w:rsid w:val="64C644FC"/>
    <w:rsid w:val="64CC06F4"/>
    <w:rsid w:val="64D56BC0"/>
    <w:rsid w:val="64D67929"/>
    <w:rsid w:val="64DC4BF4"/>
    <w:rsid w:val="64E84C2E"/>
    <w:rsid w:val="64EA6203"/>
    <w:rsid w:val="64EE4C72"/>
    <w:rsid w:val="64F866FE"/>
    <w:rsid w:val="64F91850"/>
    <w:rsid w:val="6504418A"/>
    <w:rsid w:val="65056594"/>
    <w:rsid w:val="650A6582"/>
    <w:rsid w:val="650B0BC8"/>
    <w:rsid w:val="650E74A1"/>
    <w:rsid w:val="651346D9"/>
    <w:rsid w:val="65193867"/>
    <w:rsid w:val="65221F76"/>
    <w:rsid w:val="65296B93"/>
    <w:rsid w:val="653150C8"/>
    <w:rsid w:val="653C5692"/>
    <w:rsid w:val="654145C8"/>
    <w:rsid w:val="654153B9"/>
    <w:rsid w:val="65442F9D"/>
    <w:rsid w:val="654D5CC2"/>
    <w:rsid w:val="65527B4A"/>
    <w:rsid w:val="655879EB"/>
    <w:rsid w:val="65611EE0"/>
    <w:rsid w:val="65864AC4"/>
    <w:rsid w:val="6589499B"/>
    <w:rsid w:val="658F523E"/>
    <w:rsid w:val="65921AA2"/>
    <w:rsid w:val="65934F22"/>
    <w:rsid w:val="659C68A7"/>
    <w:rsid w:val="65A01E52"/>
    <w:rsid w:val="65A919FB"/>
    <w:rsid w:val="65AA5DA5"/>
    <w:rsid w:val="65AC3EC4"/>
    <w:rsid w:val="65AC3FF6"/>
    <w:rsid w:val="65B337C6"/>
    <w:rsid w:val="65BA1A73"/>
    <w:rsid w:val="65BB267B"/>
    <w:rsid w:val="65C314A0"/>
    <w:rsid w:val="65CB569D"/>
    <w:rsid w:val="65D01EB3"/>
    <w:rsid w:val="65D15E93"/>
    <w:rsid w:val="65D80074"/>
    <w:rsid w:val="65EA307F"/>
    <w:rsid w:val="65FB49B9"/>
    <w:rsid w:val="65FF19E2"/>
    <w:rsid w:val="65FF6A0B"/>
    <w:rsid w:val="66254533"/>
    <w:rsid w:val="665516BD"/>
    <w:rsid w:val="6656308F"/>
    <w:rsid w:val="665D7783"/>
    <w:rsid w:val="665E525F"/>
    <w:rsid w:val="66626326"/>
    <w:rsid w:val="666B345D"/>
    <w:rsid w:val="66732BFE"/>
    <w:rsid w:val="66822C7A"/>
    <w:rsid w:val="669127FD"/>
    <w:rsid w:val="6693169C"/>
    <w:rsid w:val="669B4212"/>
    <w:rsid w:val="669C5E64"/>
    <w:rsid w:val="669E7FD2"/>
    <w:rsid w:val="66A21E8A"/>
    <w:rsid w:val="66A90076"/>
    <w:rsid w:val="66B22210"/>
    <w:rsid w:val="66B93582"/>
    <w:rsid w:val="66BE4DE6"/>
    <w:rsid w:val="66C155F9"/>
    <w:rsid w:val="66C65CFA"/>
    <w:rsid w:val="66CB4A6A"/>
    <w:rsid w:val="66DB36BD"/>
    <w:rsid w:val="66DD4563"/>
    <w:rsid w:val="66E300DB"/>
    <w:rsid w:val="66E75E1D"/>
    <w:rsid w:val="66EC6F90"/>
    <w:rsid w:val="66EF7B08"/>
    <w:rsid w:val="66F916AD"/>
    <w:rsid w:val="6705773D"/>
    <w:rsid w:val="671D58A6"/>
    <w:rsid w:val="67291C11"/>
    <w:rsid w:val="672D6E05"/>
    <w:rsid w:val="672D7CE1"/>
    <w:rsid w:val="67321449"/>
    <w:rsid w:val="673616C1"/>
    <w:rsid w:val="673F7E5E"/>
    <w:rsid w:val="67492085"/>
    <w:rsid w:val="674C38C6"/>
    <w:rsid w:val="67502216"/>
    <w:rsid w:val="6751064B"/>
    <w:rsid w:val="675E3C07"/>
    <w:rsid w:val="676154EA"/>
    <w:rsid w:val="676D2EC2"/>
    <w:rsid w:val="677D5560"/>
    <w:rsid w:val="67825B46"/>
    <w:rsid w:val="678C02E4"/>
    <w:rsid w:val="679134D8"/>
    <w:rsid w:val="6791734F"/>
    <w:rsid w:val="67946723"/>
    <w:rsid w:val="67957581"/>
    <w:rsid w:val="679715F1"/>
    <w:rsid w:val="67982DDE"/>
    <w:rsid w:val="67A53B78"/>
    <w:rsid w:val="67B06FEF"/>
    <w:rsid w:val="67BB43CB"/>
    <w:rsid w:val="67D00572"/>
    <w:rsid w:val="67D37C35"/>
    <w:rsid w:val="67D46455"/>
    <w:rsid w:val="67D60A87"/>
    <w:rsid w:val="67DA43EA"/>
    <w:rsid w:val="67E4181C"/>
    <w:rsid w:val="67F00D02"/>
    <w:rsid w:val="67F02481"/>
    <w:rsid w:val="67F24E5E"/>
    <w:rsid w:val="68032BB5"/>
    <w:rsid w:val="68085A22"/>
    <w:rsid w:val="680B5B3B"/>
    <w:rsid w:val="68163C6A"/>
    <w:rsid w:val="682E5EA7"/>
    <w:rsid w:val="684570C6"/>
    <w:rsid w:val="68493454"/>
    <w:rsid w:val="684A6664"/>
    <w:rsid w:val="684C778E"/>
    <w:rsid w:val="68524327"/>
    <w:rsid w:val="68557609"/>
    <w:rsid w:val="685B5559"/>
    <w:rsid w:val="68633281"/>
    <w:rsid w:val="6871216C"/>
    <w:rsid w:val="687852C3"/>
    <w:rsid w:val="68887A69"/>
    <w:rsid w:val="689B0F73"/>
    <w:rsid w:val="68A14113"/>
    <w:rsid w:val="68A907BF"/>
    <w:rsid w:val="68A9266F"/>
    <w:rsid w:val="68B166E3"/>
    <w:rsid w:val="68B3317A"/>
    <w:rsid w:val="68B40B16"/>
    <w:rsid w:val="68B7406E"/>
    <w:rsid w:val="68BB130F"/>
    <w:rsid w:val="68BB30BE"/>
    <w:rsid w:val="68BE673C"/>
    <w:rsid w:val="68DD7E80"/>
    <w:rsid w:val="68E429A4"/>
    <w:rsid w:val="68E46F8F"/>
    <w:rsid w:val="68E67EA8"/>
    <w:rsid w:val="68EA3381"/>
    <w:rsid w:val="68F95770"/>
    <w:rsid w:val="68FB28DE"/>
    <w:rsid w:val="69031737"/>
    <w:rsid w:val="690915DE"/>
    <w:rsid w:val="690D7112"/>
    <w:rsid w:val="690F7EE2"/>
    <w:rsid w:val="69160411"/>
    <w:rsid w:val="69214C92"/>
    <w:rsid w:val="6922615F"/>
    <w:rsid w:val="692857E0"/>
    <w:rsid w:val="69296D2D"/>
    <w:rsid w:val="693D5E45"/>
    <w:rsid w:val="69482614"/>
    <w:rsid w:val="694858D1"/>
    <w:rsid w:val="694C39CB"/>
    <w:rsid w:val="69561384"/>
    <w:rsid w:val="69594684"/>
    <w:rsid w:val="695E57D1"/>
    <w:rsid w:val="69615843"/>
    <w:rsid w:val="69642FF1"/>
    <w:rsid w:val="696D4B0F"/>
    <w:rsid w:val="696F5C56"/>
    <w:rsid w:val="697B73A2"/>
    <w:rsid w:val="69831701"/>
    <w:rsid w:val="69912070"/>
    <w:rsid w:val="699C4FFF"/>
    <w:rsid w:val="69A46042"/>
    <w:rsid w:val="69B05FFB"/>
    <w:rsid w:val="69B409E6"/>
    <w:rsid w:val="69B72385"/>
    <w:rsid w:val="69BE126B"/>
    <w:rsid w:val="69C53F48"/>
    <w:rsid w:val="69D26926"/>
    <w:rsid w:val="69D75139"/>
    <w:rsid w:val="69E2467A"/>
    <w:rsid w:val="69E24E16"/>
    <w:rsid w:val="69E323EE"/>
    <w:rsid w:val="69E958E7"/>
    <w:rsid w:val="69EF0EF7"/>
    <w:rsid w:val="69F33396"/>
    <w:rsid w:val="6A03319F"/>
    <w:rsid w:val="6A095E15"/>
    <w:rsid w:val="6A2D0243"/>
    <w:rsid w:val="6A347D73"/>
    <w:rsid w:val="6A370B37"/>
    <w:rsid w:val="6A37111A"/>
    <w:rsid w:val="6A427670"/>
    <w:rsid w:val="6A575102"/>
    <w:rsid w:val="6A633A0D"/>
    <w:rsid w:val="6A6913F3"/>
    <w:rsid w:val="6A6D6124"/>
    <w:rsid w:val="6A703C54"/>
    <w:rsid w:val="6A731776"/>
    <w:rsid w:val="6A7A1457"/>
    <w:rsid w:val="6A8714F3"/>
    <w:rsid w:val="6A8B73CD"/>
    <w:rsid w:val="6A903840"/>
    <w:rsid w:val="6AA5491F"/>
    <w:rsid w:val="6AA90857"/>
    <w:rsid w:val="6ABE6F5D"/>
    <w:rsid w:val="6ACD041C"/>
    <w:rsid w:val="6AE92365"/>
    <w:rsid w:val="6AF37FF1"/>
    <w:rsid w:val="6AF44665"/>
    <w:rsid w:val="6B067241"/>
    <w:rsid w:val="6B1E1463"/>
    <w:rsid w:val="6B252A70"/>
    <w:rsid w:val="6B3F0F3F"/>
    <w:rsid w:val="6B413622"/>
    <w:rsid w:val="6B4750DC"/>
    <w:rsid w:val="6B4D16C9"/>
    <w:rsid w:val="6B4F5C06"/>
    <w:rsid w:val="6B505936"/>
    <w:rsid w:val="6B676DF3"/>
    <w:rsid w:val="6B7457BD"/>
    <w:rsid w:val="6B95409A"/>
    <w:rsid w:val="6B9772CA"/>
    <w:rsid w:val="6B9C5E9B"/>
    <w:rsid w:val="6BBB4C7F"/>
    <w:rsid w:val="6BC740BF"/>
    <w:rsid w:val="6BCB6C14"/>
    <w:rsid w:val="6BD90F43"/>
    <w:rsid w:val="6BDF6624"/>
    <w:rsid w:val="6BF562EF"/>
    <w:rsid w:val="6C002D31"/>
    <w:rsid w:val="6C037F18"/>
    <w:rsid w:val="6C062935"/>
    <w:rsid w:val="6C17653B"/>
    <w:rsid w:val="6C397D24"/>
    <w:rsid w:val="6C3B422F"/>
    <w:rsid w:val="6C3E5320"/>
    <w:rsid w:val="6C417FB5"/>
    <w:rsid w:val="6C434513"/>
    <w:rsid w:val="6C495FF2"/>
    <w:rsid w:val="6C5D6727"/>
    <w:rsid w:val="6C6933F1"/>
    <w:rsid w:val="6C6A7AC0"/>
    <w:rsid w:val="6C6E7D69"/>
    <w:rsid w:val="6C7041BF"/>
    <w:rsid w:val="6C7052FA"/>
    <w:rsid w:val="6C7C2B64"/>
    <w:rsid w:val="6C81461E"/>
    <w:rsid w:val="6C936D0E"/>
    <w:rsid w:val="6C96450D"/>
    <w:rsid w:val="6CA130C6"/>
    <w:rsid w:val="6CA25CEC"/>
    <w:rsid w:val="6CC34174"/>
    <w:rsid w:val="6CC92039"/>
    <w:rsid w:val="6CF16211"/>
    <w:rsid w:val="6CF61D6B"/>
    <w:rsid w:val="6CFD6096"/>
    <w:rsid w:val="6D1039EA"/>
    <w:rsid w:val="6D2A0812"/>
    <w:rsid w:val="6D3834CF"/>
    <w:rsid w:val="6D385C39"/>
    <w:rsid w:val="6D4E6481"/>
    <w:rsid w:val="6D55764B"/>
    <w:rsid w:val="6D63349D"/>
    <w:rsid w:val="6D665936"/>
    <w:rsid w:val="6D6B665B"/>
    <w:rsid w:val="6D6D306F"/>
    <w:rsid w:val="6D6F0162"/>
    <w:rsid w:val="6D702AFB"/>
    <w:rsid w:val="6D712EFA"/>
    <w:rsid w:val="6D726375"/>
    <w:rsid w:val="6D8837D8"/>
    <w:rsid w:val="6D893837"/>
    <w:rsid w:val="6D8F665D"/>
    <w:rsid w:val="6D9F1B7A"/>
    <w:rsid w:val="6DA22A9E"/>
    <w:rsid w:val="6DAE69BA"/>
    <w:rsid w:val="6DB05B1A"/>
    <w:rsid w:val="6DB07EED"/>
    <w:rsid w:val="6DB57689"/>
    <w:rsid w:val="6DB8406F"/>
    <w:rsid w:val="6DC56B28"/>
    <w:rsid w:val="6DED7B68"/>
    <w:rsid w:val="6DF244FF"/>
    <w:rsid w:val="6DFD7141"/>
    <w:rsid w:val="6E06352B"/>
    <w:rsid w:val="6E1B434C"/>
    <w:rsid w:val="6E237BE1"/>
    <w:rsid w:val="6E354CEE"/>
    <w:rsid w:val="6E421B8B"/>
    <w:rsid w:val="6E573A03"/>
    <w:rsid w:val="6E610BAA"/>
    <w:rsid w:val="6E6C7A14"/>
    <w:rsid w:val="6E795CEE"/>
    <w:rsid w:val="6E7C7464"/>
    <w:rsid w:val="6E7C7835"/>
    <w:rsid w:val="6E905AE8"/>
    <w:rsid w:val="6E907EA6"/>
    <w:rsid w:val="6E9F0A80"/>
    <w:rsid w:val="6EA20DFF"/>
    <w:rsid w:val="6EA65C70"/>
    <w:rsid w:val="6EA94513"/>
    <w:rsid w:val="6EB56801"/>
    <w:rsid w:val="6EB84A7C"/>
    <w:rsid w:val="6EBB7F4A"/>
    <w:rsid w:val="6EC407F2"/>
    <w:rsid w:val="6EC44E0D"/>
    <w:rsid w:val="6ECB32CB"/>
    <w:rsid w:val="6EDD3C41"/>
    <w:rsid w:val="6EE42C42"/>
    <w:rsid w:val="6EE73F19"/>
    <w:rsid w:val="6EE87E95"/>
    <w:rsid w:val="6EEB6404"/>
    <w:rsid w:val="6EF525E3"/>
    <w:rsid w:val="6EF8087A"/>
    <w:rsid w:val="6EFB0701"/>
    <w:rsid w:val="6F011EF9"/>
    <w:rsid w:val="6F100A80"/>
    <w:rsid w:val="6F163899"/>
    <w:rsid w:val="6F1D243C"/>
    <w:rsid w:val="6F353482"/>
    <w:rsid w:val="6F3B6D06"/>
    <w:rsid w:val="6F514B84"/>
    <w:rsid w:val="6F6D4D0B"/>
    <w:rsid w:val="6F76523B"/>
    <w:rsid w:val="6F850061"/>
    <w:rsid w:val="6F870DAA"/>
    <w:rsid w:val="6F8B1389"/>
    <w:rsid w:val="6F922BD6"/>
    <w:rsid w:val="6F985370"/>
    <w:rsid w:val="6FA44BDC"/>
    <w:rsid w:val="6FA905AD"/>
    <w:rsid w:val="6FAE75C6"/>
    <w:rsid w:val="6FBE3493"/>
    <w:rsid w:val="6FC6755F"/>
    <w:rsid w:val="6FCA73EA"/>
    <w:rsid w:val="6FE15200"/>
    <w:rsid w:val="6FE36D46"/>
    <w:rsid w:val="701D640C"/>
    <w:rsid w:val="701F16BB"/>
    <w:rsid w:val="70273DFF"/>
    <w:rsid w:val="702D5074"/>
    <w:rsid w:val="702F13E2"/>
    <w:rsid w:val="703052EE"/>
    <w:rsid w:val="70322EA1"/>
    <w:rsid w:val="704768DE"/>
    <w:rsid w:val="70480FAF"/>
    <w:rsid w:val="70512559"/>
    <w:rsid w:val="7060355B"/>
    <w:rsid w:val="706E6799"/>
    <w:rsid w:val="707B367E"/>
    <w:rsid w:val="707D51CA"/>
    <w:rsid w:val="70862B2B"/>
    <w:rsid w:val="708741CD"/>
    <w:rsid w:val="7087429A"/>
    <w:rsid w:val="70AD5437"/>
    <w:rsid w:val="70D3674B"/>
    <w:rsid w:val="70DA20EF"/>
    <w:rsid w:val="70E50F32"/>
    <w:rsid w:val="70E8296F"/>
    <w:rsid w:val="70F30660"/>
    <w:rsid w:val="70F574E0"/>
    <w:rsid w:val="70FE448F"/>
    <w:rsid w:val="71017805"/>
    <w:rsid w:val="71024F3F"/>
    <w:rsid w:val="71025AEE"/>
    <w:rsid w:val="71076261"/>
    <w:rsid w:val="71141BB3"/>
    <w:rsid w:val="711627ED"/>
    <w:rsid w:val="7119131C"/>
    <w:rsid w:val="711936ED"/>
    <w:rsid w:val="71352625"/>
    <w:rsid w:val="71360948"/>
    <w:rsid w:val="713C4753"/>
    <w:rsid w:val="713C6D66"/>
    <w:rsid w:val="714F2FDF"/>
    <w:rsid w:val="71504632"/>
    <w:rsid w:val="715B6254"/>
    <w:rsid w:val="71630796"/>
    <w:rsid w:val="71665B90"/>
    <w:rsid w:val="71705D36"/>
    <w:rsid w:val="71724505"/>
    <w:rsid w:val="7177394B"/>
    <w:rsid w:val="71864485"/>
    <w:rsid w:val="718C2140"/>
    <w:rsid w:val="718D3CBB"/>
    <w:rsid w:val="71AC49B5"/>
    <w:rsid w:val="71C35C5A"/>
    <w:rsid w:val="71CF3DD8"/>
    <w:rsid w:val="71D4319B"/>
    <w:rsid w:val="71EE3B85"/>
    <w:rsid w:val="71F62B06"/>
    <w:rsid w:val="7203699D"/>
    <w:rsid w:val="72144912"/>
    <w:rsid w:val="72177C6A"/>
    <w:rsid w:val="721C37C1"/>
    <w:rsid w:val="722E4262"/>
    <w:rsid w:val="722F7767"/>
    <w:rsid w:val="723C5AE9"/>
    <w:rsid w:val="725C49F8"/>
    <w:rsid w:val="727560F9"/>
    <w:rsid w:val="727644F9"/>
    <w:rsid w:val="728427F2"/>
    <w:rsid w:val="72933586"/>
    <w:rsid w:val="72AB46AC"/>
    <w:rsid w:val="72AF5315"/>
    <w:rsid w:val="72C54B39"/>
    <w:rsid w:val="72CB15B7"/>
    <w:rsid w:val="72D11EAE"/>
    <w:rsid w:val="72DC398F"/>
    <w:rsid w:val="72EC44F2"/>
    <w:rsid w:val="72FD2727"/>
    <w:rsid w:val="73044F29"/>
    <w:rsid w:val="730E4C77"/>
    <w:rsid w:val="731E01E9"/>
    <w:rsid w:val="732042B6"/>
    <w:rsid w:val="732A7497"/>
    <w:rsid w:val="732C6D9B"/>
    <w:rsid w:val="733E6DC5"/>
    <w:rsid w:val="734A211A"/>
    <w:rsid w:val="735710F5"/>
    <w:rsid w:val="73571FD2"/>
    <w:rsid w:val="735A3EA4"/>
    <w:rsid w:val="73751D8E"/>
    <w:rsid w:val="737C1A38"/>
    <w:rsid w:val="737D3927"/>
    <w:rsid w:val="73880836"/>
    <w:rsid w:val="738A025C"/>
    <w:rsid w:val="73975659"/>
    <w:rsid w:val="739950B9"/>
    <w:rsid w:val="73A06449"/>
    <w:rsid w:val="73A26074"/>
    <w:rsid w:val="73A83345"/>
    <w:rsid w:val="73B21561"/>
    <w:rsid w:val="73B2330F"/>
    <w:rsid w:val="73B41C65"/>
    <w:rsid w:val="73B91824"/>
    <w:rsid w:val="73BF40B6"/>
    <w:rsid w:val="73CC268A"/>
    <w:rsid w:val="73CF2113"/>
    <w:rsid w:val="73D57573"/>
    <w:rsid w:val="73E27CE7"/>
    <w:rsid w:val="73E360A9"/>
    <w:rsid w:val="73E87175"/>
    <w:rsid w:val="73F41B79"/>
    <w:rsid w:val="73FB0815"/>
    <w:rsid w:val="74050852"/>
    <w:rsid w:val="74054F2D"/>
    <w:rsid w:val="740B60F7"/>
    <w:rsid w:val="741E2EE6"/>
    <w:rsid w:val="742256F4"/>
    <w:rsid w:val="74232A82"/>
    <w:rsid w:val="74331ADB"/>
    <w:rsid w:val="743326A2"/>
    <w:rsid w:val="743D1301"/>
    <w:rsid w:val="743E4486"/>
    <w:rsid w:val="745D10C8"/>
    <w:rsid w:val="747607E0"/>
    <w:rsid w:val="747F7695"/>
    <w:rsid w:val="748F408B"/>
    <w:rsid w:val="74964577"/>
    <w:rsid w:val="74964EF8"/>
    <w:rsid w:val="74A4576E"/>
    <w:rsid w:val="74A633A2"/>
    <w:rsid w:val="74B05CBF"/>
    <w:rsid w:val="74B1644F"/>
    <w:rsid w:val="74B61460"/>
    <w:rsid w:val="74B6628D"/>
    <w:rsid w:val="74BA5C36"/>
    <w:rsid w:val="74BE0C78"/>
    <w:rsid w:val="74C135B5"/>
    <w:rsid w:val="74C5404D"/>
    <w:rsid w:val="74C65665"/>
    <w:rsid w:val="74D65A4E"/>
    <w:rsid w:val="74D9303F"/>
    <w:rsid w:val="74DB3079"/>
    <w:rsid w:val="74E5070B"/>
    <w:rsid w:val="74FB166B"/>
    <w:rsid w:val="74FB1716"/>
    <w:rsid w:val="7504558C"/>
    <w:rsid w:val="750B45E4"/>
    <w:rsid w:val="75267B11"/>
    <w:rsid w:val="752835AE"/>
    <w:rsid w:val="752E2E69"/>
    <w:rsid w:val="755941A7"/>
    <w:rsid w:val="757A1C0A"/>
    <w:rsid w:val="758141FF"/>
    <w:rsid w:val="75857FFB"/>
    <w:rsid w:val="75921A26"/>
    <w:rsid w:val="75957A4D"/>
    <w:rsid w:val="75976B81"/>
    <w:rsid w:val="759929D8"/>
    <w:rsid w:val="759F2263"/>
    <w:rsid w:val="75A25050"/>
    <w:rsid w:val="75AD31CA"/>
    <w:rsid w:val="75B03D22"/>
    <w:rsid w:val="75BA2606"/>
    <w:rsid w:val="75CC66FC"/>
    <w:rsid w:val="75DD762C"/>
    <w:rsid w:val="75DF3ECC"/>
    <w:rsid w:val="75E27961"/>
    <w:rsid w:val="75E65DDF"/>
    <w:rsid w:val="75E94848"/>
    <w:rsid w:val="75FD4045"/>
    <w:rsid w:val="75FE1D91"/>
    <w:rsid w:val="760C1F6D"/>
    <w:rsid w:val="76134F90"/>
    <w:rsid w:val="761E779F"/>
    <w:rsid w:val="76214543"/>
    <w:rsid w:val="763E0E6E"/>
    <w:rsid w:val="764653AA"/>
    <w:rsid w:val="76614049"/>
    <w:rsid w:val="766A3158"/>
    <w:rsid w:val="76714894"/>
    <w:rsid w:val="767C19B2"/>
    <w:rsid w:val="7682521B"/>
    <w:rsid w:val="769D02A6"/>
    <w:rsid w:val="769D2054"/>
    <w:rsid w:val="76A549DB"/>
    <w:rsid w:val="76AA5196"/>
    <w:rsid w:val="76AB0F31"/>
    <w:rsid w:val="76BA425A"/>
    <w:rsid w:val="76C05D43"/>
    <w:rsid w:val="76C41296"/>
    <w:rsid w:val="76C62998"/>
    <w:rsid w:val="76C94BC4"/>
    <w:rsid w:val="76DF266D"/>
    <w:rsid w:val="76EB0144"/>
    <w:rsid w:val="76ED080C"/>
    <w:rsid w:val="76F8372F"/>
    <w:rsid w:val="76F86DC8"/>
    <w:rsid w:val="76FA2396"/>
    <w:rsid w:val="76FD6D8A"/>
    <w:rsid w:val="77031190"/>
    <w:rsid w:val="77043E82"/>
    <w:rsid w:val="770C6C37"/>
    <w:rsid w:val="7716603E"/>
    <w:rsid w:val="771E2141"/>
    <w:rsid w:val="77341227"/>
    <w:rsid w:val="77365CD1"/>
    <w:rsid w:val="77424298"/>
    <w:rsid w:val="774626EC"/>
    <w:rsid w:val="774E6325"/>
    <w:rsid w:val="77504CC4"/>
    <w:rsid w:val="77625CAB"/>
    <w:rsid w:val="777D793D"/>
    <w:rsid w:val="778E4093"/>
    <w:rsid w:val="778E73DC"/>
    <w:rsid w:val="77A13DC6"/>
    <w:rsid w:val="77A161E6"/>
    <w:rsid w:val="77A41C93"/>
    <w:rsid w:val="77A847BD"/>
    <w:rsid w:val="77AD5E3E"/>
    <w:rsid w:val="77B42785"/>
    <w:rsid w:val="77B516DC"/>
    <w:rsid w:val="77BA7B83"/>
    <w:rsid w:val="77BF47EE"/>
    <w:rsid w:val="77C61DA6"/>
    <w:rsid w:val="77CE6B22"/>
    <w:rsid w:val="77DC2E91"/>
    <w:rsid w:val="77EE7D4F"/>
    <w:rsid w:val="77F93E24"/>
    <w:rsid w:val="78016613"/>
    <w:rsid w:val="78090B33"/>
    <w:rsid w:val="780946DF"/>
    <w:rsid w:val="781520BE"/>
    <w:rsid w:val="782826FC"/>
    <w:rsid w:val="782954A8"/>
    <w:rsid w:val="782A3DBC"/>
    <w:rsid w:val="78324DCC"/>
    <w:rsid w:val="78343FD4"/>
    <w:rsid w:val="78414C61"/>
    <w:rsid w:val="784679C1"/>
    <w:rsid w:val="785257F3"/>
    <w:rsid w:val="786F17CF"/>
    <w:rsid w:val="786F5C73"/>
    <w:rsid w:val="78732791"/>
    <w:rsid w:val="78825423"/>
    <w:rsid w:val="78872FBC"/>
    <w:rsid w:val="7897481C"/>
    <w:rsid w:val="78A22ECA"/>
    <w:rsid w:val="78A97588"/>
    <w:rsid w:val="78B44983"/>
    <w:rsid w:val="78C744A3"/>
    <w:rsid w:val="78DC3DCA"/>
    <w:rsid w:val="78E75809"/>
    <w:rsid w:val="78F24717"/>
    <w:rsid w:val="790179F6"/>
    <w:rsid w:val="790C0997"/>
    <w:rsid w:val="79147D69"/>
    <w:rsid w:val="792047FE"/>
    <w:rsid w:val="793F0269"/>
    <w:rsid w:val="793F0A8D"/>
    <w:rsid w:val="794E1939"/>
    <w:rsid w:val="794E3ADA"/>
    <w:rsid w:val="794E5888"/>
    <w:rsid w:val="79524E9A"/>
    <w:rsid w:val="79535D1B"/>
    <w:rsid w:val="795A04DB"/>
    <w:rsid w:val="79682BBD"/>
    <w:rsid w:val="797802CA"/>
    <w:rsid w:val="797846B3"/>
    <w:rsid w:val="798B1D5C"/>
    <w:rsid w:val="798E3ED6"/>
    <w:rsid w:val="798E71A6"/>
    <w:rsid w:val="7993187F"/>
    <w:rsid w:val="799A30BA"/>
    <w:rsid w:val="79A80B6F"/>
    <w:rsid w:val="79A92498"/>
    <w:rsid w:val="79B10DC8"/>
    <w:rsid w:val="79B822E4"/>
    <w:rsid w:val="79CC4220"/>
    <w:rsid w:val="79CC4DBA"/>
    <w:rsid w:val="79DC3B51"/>
    <w:rsid w:val="79E0637A"/>
    <w:rsid w:val="79E44820"/>
    <w:rsid w:val="79E54543"/>
    <w:rsid w:val="79E7002C"/>
    <w:rsid w:val="79F81B81"/>
    <w:rsid w:val="79FC0E25"/>
    <w:rsid w:val="79FD4B42"/>
    <w:rsid w:val="7A020D28"/>
    <w:rsid w:val="7A102B3D"/>
    <w:rsid w:val="7A1E16FE"/>
    <w:rsid w:val="7A20119C"/>
    <w:rsid w:val="7A416BED"/>
    <w:rsid w:val="7A424EB1"/>
    <w:rsid w:val="7A474ACE"/>
    <w:rsid w:val="7A4F081E"/>
    <w:rsid w:val="7A5B64AE"/>
    <w:rsid w:val="7A6255BA"/>
    <w:rsid w:val="7A686807"/>
    <w:rsid w:val="7A70171D"/>
    <w:rsid w:val="7A793FC2"/>
    <w:rsid w:val="7A7E219D"/>
    <w:rsid w:val="7A845C75"/>
    <w:rsid w:val="7A905F7C"/>
    <w:rsid w:val="7A9A4EB3"/>
    <w:rsid w:val="7AAB7196"/>
    <w:rsid w:val="7ABD4FF4"/>
    <w:rsid w:val="7AC1510D"/>
    <w:rsid w:val="7AC941D5"/>
    <w:rsid w:val="7ACA42F9"/>
    <w:rsid w:val="7AD1051F"/>
    <w:rsid w:val="7AE142FB"/>
    <w:rsid w:val="7AE42A05"/>
    <w:rsid w:val="7AEC5358"/>
    <w:rsid w:val="7AFC12E5"/>
    <w:rsid w:val="7AFD55FE"/>
    <w:rsid w:val="7B0528B9"/>
    <w:rsid w:val="7B0546E5"/>
    <w:rsid w:val="7B0E2D37"/>
    <w:rsid w:val="7B1F104A"/>
    <w:rsid w:val="7B2319B7"/>
    <w:rsid w:val="7B261ADA"/>
    <w:rsid w:val="7B2A5E81"/>
    <w:rsid w:val="7B300CA5"/>
    <w:rsid w:val="7B406176"/>
    <w:rsid w:val="7B5913F5"/>
    <w:rsid w:val="7B65625F"/>
    <w:rsid w:val="7B6C3590"/>
    <w:rsid w:val="7B7345A5"/>
    <w:rsid w:val="7B7B1457"/>
    <w:rsid w:val="7B7D06A6"/>
    <w:rsid w:val="7B8809F4"/>
    <w:rsid w:val="7B9C2D8E"/>
    <w:rsid w:val="7BA774D1"/>
    <w:rsid w:val="7BAB741D"/>
    <w:rsid w:val="7BB10CF5"/>
    <w:rsid w:val="7BB46202"/>
    <w:rsid w:val="7BB96FE3"/>
    <w:rsid w:val="7BCD74B3"/>
    <w:rsid w:val="7BD76AC6"/>
    <w:rsid w:val="7BDD0160"/>
    <w:rsid w:val="7BF96578"/>
    <w:rsid w:val="7BFC44F0"/>
    <w:rsid w:val="7BFE7478"/>
    <w:rsid w:val="7C181D26"/>
    <w:rsid w:val="7C1D53CA"/>
    <w:rsid w:val="7C3320D0"/>
    <w:rsid w:val="7C374CF9"/>
    <w:rsid w:val="7C4023E2"/>
    <w:rsid w:val="7C694787"/>
    <w:rsid w:val="7C695E94"/>
    <w:rsid w:val="7C696714"/>
    <w:rsid w:val="7C6A3DE6"/>
    <w:rsid w:val="7C73142C"/>
    <w:rsid w:val="7C7C6454"/>
    <w:rsid w:val="7C7D590B"/>
    <w:rsid w:val="7C953913"/>
    <w:rsid w:val="7C9E1636"/>
    <w:rsid w:val="7CAB6F11"/>
    <w:rsid w:val="7CAD46D1"/>
    <w:rsid w:val="7CB4738C"/>
    <w:rsid w:val="7CB47C44"/>
    <w:rsid w:val="7CB84F52"/>
    <w:rsid w:val="7CBA5A38"/>
    <w:rsid w:val="7CBD6589"/>
    <w:rsid w:val="7CCD1B4F"/>
    <w:rsid w:val="7CD917A3"/>
    <w:rsid w:val="7CDC2284"/>
    <w:rsid w:val="7CE85FF3"/>
    <w:rsid w:val="7CEB21AA"/>
    <w:rsid w:val="7CFD173F"/>
    <w:rsid w:val="7CFD2291"/>
    <w:rsid w:val="7D0154DB"/>
    <w:rsid w:val="7D066FB0"/>
    <w:rsid w:val="7D090BE5"/>
    <w:rsid w:val="7D1D5C9D"/>
    <w:rsid w:val="7D274FEB"/>
    <w:rsid w:val="7D303E0D"/>
    <w:rsid w:val="7D335845"/>
    <w:rsid w:val="7D384885"/>
    <w:rsid w:val="7D39031B"/>
    <w:rsid w:val="7D3F6384"/>
    <w:rsid w:val="7D542878"/>
    <w:rsid w:val="7D555C3A"/>
    <w:rsid w:val="7D676D3A"/>
    <w:rsid w:val="7D676F18"/>
    <w:rsid w:val="7D7B6A29"/>
    <w:rsid w:val="7D831437"/>
    <w:rsid w:val="7D872C54"/>
    <w:rsid w:val="7D995CC2"/>
    <w:rsid w:val="7DA56ABF"/>
    <w:rsid w:val="7DAA5057"/>
    <w:rsid w:val="7DB008BF"/>
    <w:rsid w:val="7DB60BC5"/>
    <w:rsid w:val="7DC05154"/>
    <w:rsid w:val="7DD211CF"/>
    <w:rsid w:val="7DD87E16"/>
    <w:rsid w:val="7DD95E35"/>
    <w:rsid w:val="7DD9788C"/>
    <w:rsid w:val="7DE2336D"/>
    <w:rsid w:val="7DEA66D1"/>
    <w:rsid w:val="7DEA7671"/>
    <w:rsid w:val="7DF50CEA"/>
    <w:rsid w:val="7E05083C"/>
    <w:rsid w:val="7E05513D"/>
    <w:rsid w:val="7E0806FB"/>
    <w:rsid w:val="7E1E18C8"/>
    <w:rsid w:val="7E200B76"/>
    <w:rsid w:val="7E297CB0"/>
    <w:rsid w:val="7E2D1F10"/>
    <w:rsid w:val="7E4870BC"/>
    <w:rsid w:val="7E4B308C"/>
    <w:rsid w:val="7E5955D5"/>
    <w:rsid w:val="7E5D2FAD"/>
    <w:rsid w:val="7E605812"/>
    <w:rsid w:val="7E695BAB"/>
    <w:rsid w:val="7E6D54D4"/>
    <w:rsid w:val="7E714E1E"/>
    <w:rsid w:val="7E8104AE"/>
    <w:rsid w:val="7E872C54"/>
    <w:rsid w:val="7E937DE0"/>
    <w:rsid w:val="7E984A2A"/>
    <w:rsid w:val="7E9E2045"/>
    <w:rsid w:val="7EA4544C"/>
    <w:rsid w:val="7EB24D41"/>
    <w:rsid w:val="7EBD0143"/>
    <w:rsid w:val="7EBE28C0"/>
    <w:rsid w:val="7EBE525E"/>
    <w:rsid w:val="7EC806B2"/>
    <w:rsid w:val="7ED23954"/>
    <w:rsid w:val="7ED44A81"/>
    <w:rsid w:val="7ED5541C"/>
    <w:rsid w:val="7EDE4D04"/>
    <w:rsid w:val="7EE40C36"/>
    <w:rsid w:val="7EF34621"/>
    <w:rsid w:val="7F0A37AD"/>
    <w:rsid w:val="7F0F5AB9"/>
    <w:rsid w:val="7F130003"/>
    <w:rsid w:val="7F291DD4"/>
    <w:rsid w:val="7F297D59"/>
    <w:rsid w:val="7F2B3BC6"/>
    <w:rsid w:val="7F364DF4"/>
    <w:rsid w:val="7F45305F"/>
    <w:rsid w:val="7F4A0E9C"/>
    <w:rsid w:val="7F5B6C74"/>
    <w:rsid w:val="7F5E7C2C"/>
    <w:rsid w:val="7F6459CA"/>
    <w:rsid w:val="7F6E1BA8"/>
    <w:rsid w:val="7F702BFD"/>
    <w:rsid w:val="7F8900E8"/>
    <w:rsid w:val="7F9069FC"/>
    <w:rsid w:val="7FA27AB9"/>
    <w:rsid w:val="7FA320BD"/>
    <w:rsid w:val="7FBD17F6"/>
    <w:rsid w:val="7FBF19EB"/>
    <w:rsid w:val="7FC4225B"/>
    <w:rsid w:val="7FCE6935"/>
    <w:rsid w:val="7FD8234F"/>
    <w:rsid w:val="7FE87CBD"/>
    <w:rsid w:val="7FEF33EC"/>
    <w:rsid w:val="7FF657F3"/>
    <w:rsid w:val="7FFC4A84"/>
    <w:rsid w:val="7FFD738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qFormat="1" w:unhideWhenUsed="0" w:uiPriority="0"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35"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beforeLines="0" w:after="260" w:afterLines="0" w:line="416" w:lineRule="auto"/>
      <w:outlineLvl w:val="1"/>
    </w:pPr>
    <w:rPr>
      <w:rFonts w:ascii="Arial" w:hAnsi="Arial" w:eastAsia="黑体"/>
      <w:b/>
      <w:bCs/>
      <w:kern w:val="2"/>
      <w:sz w:val="32"/>
      <w:szCs w:val="32"/>
      <w:lang w:val="en-US" w:eastAsia="zh-CN" w:bidi="ar-SA"/>
    </w:rPr>
  </w:style>
  <w:style w:type="paragraph" w:styleId="2">
    <w:name w:val="heading 3"/>
    <w:basedOn w:val="1"/>
    <w:next w:val="1"/>
    <w:link w:val="62"/>
    <w:qFormat/>
    <w:uiPriority w:val="0"/>
    <w:pPr>
      <w:keepNext/>
      <w:keepLines/>
      <w:snapToGrid w:val="0"/>
      <w:spacing w:before="120"/>
      <w:outlineLvl w:val="2"/>
    </w:pPr>
    <w:rPr>
      <w:b/>
      <w:sz w:val="32"/>
    </w:rPr>
  </w:style>
  <w:style w:type="paragraph" w:styleId="5">
    <w:name w:val="heading 4"/>
    <w:basedOn w:val="1"/>
    <w:next w:val="1"/>
    <w:qFormat/>
    <w:uiPriority w:val="1"/>
    <w:pPr>
      <w:ind w:firstLine="0" w:firstLineChars="0"/>
      <w:outlineLvl w:val="3"/>
    </w:pPr>
    <w:rPr>
      <w:b/>
      <w:bCs/>
    </w:rPr>
  </w:style>
  <w:style w:type="character" w:default="1" w:styleId="42">
    <w:name w:val="Default Paragraph Font"/>
    <w:semiHidden/>
    <w:qFormat/>
    <w:uiPriority w:val="0"/>
  </w:style>
  <w:style w:type="table" w:default="1" w:styleId="39">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6">
    <w:name w:val="List 3"/>
    <w:basedOn w:val="1"/>
    <w:unhideWhenUsed/>
    <w:qFormat/>
    <w:uiPriority w:val="99"/>
    <w:pPr>
      <w:spacing w:line="360" w:lineRule="atLeast"/>
      <w:jc w:val="center"/>
    </w:pPr>
    <w:rPr>
      <w:rFonts w:ascii="Times New Roman" w:hAnsi="Times New Roman" w:eastAsia="宋体"/>
    </w:rPr>
  </w:style>
  <w:style w:type="paragraph" w:styleId="7">
    <w:name w:val="Normal Indent"/>
    <w:basedOn w:val="1"/>
    <w:next w:val="8"/>
    <w:link w:val="63"/>
    <w:qFormat/>
    <w:uiPriority w:val="0"/>
    <w:pPr>
      <w:ind w:firstLine="420"/>
    </w:pPr>
  </w:style>
  <w:style w:type="paragraph" w:styleId="8">
    <w:name w:val="Body Text"/>
    <w:basedOn w:val="1"/>
    <w:qFormat/>
    <w:uiPriority w:val="0"/>
    <w:pPr>
      <w:spacing w:after="120"/>
    </w:pPr>
  </w:style>
  <w:style w:type="paragraph" w:styleId="9">
    <w:name w:val="caption"/>
    <w:basedOn w:val="1"/>
    <w:next w:val="1"/>
    <w:qFormat/>
    <w:uiPriority w:val="35"/>
    <w:rPr>
      <w:rFonts w:ascii="Arial" w:hAnsi="Arial" w:eastAsia="黑体" w:cs="Arial"/>
      <w:sz w:val="20"/>
    </w:rPr>
  </w:style>
  <w:style w:type="paragraph" w:styleId="10">
    <w:name w:val="Document Map"/>
    <w:basedOn w:val="1"/>
    <w:qFormat/>
    <w:uiPriority w:val="0"/>
    <w:pPr>
      <w:shd w:val="clear" w:color="auto" w:fill="000080"/>
    </w:pPr>
  </w:style>
  <w:style w:type="paragraph" w:styleId="11">
    <w:name w:val="annotation text"/>
    <w:basedOn w:val="1"/>
    <w:link w:val="64"/>
    <w:qFormat/>
    <w:uiPriority w:val="0"/>
    <w:pPr>
      <w:jc w:val="left"/>
    </w:pPr>
  </w:style>
  <w:style w:type="paragraph" w:styleId="12">
    <w:name w:val="Salutation"/>
    <w:basedOn w:val="1"/>
    <w:next w:val="1"/>
    <w:qFormat/>
    <w:uiPriority w:val="0"/>
    <w:rPr>
      <w:szCs w:val="21"/>
    </w:rPr>
  </w:style>
  <w:style w:type="paragraph" w:styleId="13">
    <w:name w:val="Body Text 3"/>
    <w:basedOn w:val="1"/>
    <w:qFormat/>
    <w:uiPriority w:val="0"/>
    <w:rPr>
      <w:sz w:val="24"/>
    </w:rPr>
  </w:style>
  <w:style w:type="paragraph" w:styleId="14">
    <w:name w:val="Body Text Indent"/>
    <w:basedOn w:val="1"/>
    <w:next w:val="15"/>
    <w:link w:val="65"/>
    <w:qFormat/>
    <w:uiPriority w:val="0"/>
    <w:pPr>
      <w:autoSpaceDE w:val="0"/>
      <w:autoSpaceDN w:val="0"/>
      <w:adjustRightInd w:val="0"/>
      <w:spacing w:line="360" w:lineRule="auto"/>
      <w:ind w:firstLine="480" w:firstLineChars="200"/>
    </w:pPr>
    <w:rPr>
      <w:rFonts w:ascii="宋体" w:hAnsi="宋体"/>
      <w:kern w:val="0"/>
      <w:sz w:val="24"/>
      <w:szCs w:val="21"/>
    </w:rPr>
  </w:style>
  <w:style w:type="paragraph" w:styleId="15">
    <w:name w:val="Body Text Indent 2"/>
    <w:basedOn w:val="1"/>
    <w:next w:val="16"/>
    <w:link w:val="66"/>
    <w:qFormat/>
    <w:uiPriority w:val="0"/>
    <w:pPr>
      <w:spacing w:after="120" w:line="480" w:lineRule="auto"/>
      <w:ind w:left="420" w:leftChars="200"/>
    </w:pPr>
  </w:style>
  <w:style w:type="paragraph" w:styleId="16">
    <w:name w:val="Body Text First Indent 2"/>
    <w:basedOn w:val="14"/>
    <w:next w:val="1"/>
    <w:link w:val="67"/>
    <w:qFormat/>
    <w:uiPriority w:val="0"/>
    <w:pPr>
      <w:autoSpaceDE/>
      <w:autoSpaceDN/>
      <w:adjustRightInd/>
      <w:spacing w:after="120" w:line="240" w:lineRule="auto"/>
      <w:ind w:left="420" w:leftChars="200" w:firstLine="420"/>
    </w:pPr>
    <w:rPr>
      <w:rFonts w:ascii="Times New Roman" w:hAnsi="Times New Roman"/>
      <w:kern w:val="2"/>
      <w:sz w:val="21"/>
      <w:szCs w:val="20"/>
      <w:lang w:val="en-US" w:eastAsia="zh-CN"/>
    </w:rPr>
  </w:style>
  <w:style w:type="paragraph" w:styleId="17">
    <w:name w:val="List Number 3"/>
    <w:basedOn w:val="1"/>
    <w:qFormat/>
    <w:uiPriority w:val="0"/>
    <w:pPr>
      <w:tabs>
        <w:tab w:val="left" w:pos="425"/>
      </w:tabs>
      <w:ind w:left="425" w:hanging="425"/>
      <w:jc w:val="center"/>
    </w:pPr>
    <w:rPr>
      <w:b/>
    </w:rPr>
  </w:style>
  <w:style w:type="paragraph" w:styleId="18">
    <w:name w:val="Block Text"/>
    <w:basedOn w:val="1"/>
    <w:qFormat/>
    <w:uiPriority w:val="0"/>
    <w:pPr>
      <w:spacing w:line="360" w:lineRule="exact"/>
      <w:ind w:left="105" w:leftChars="50" w:right="105" w:rightChars="50"/>
    </w:pPr>
    <w:rPr>
      <w:sz w:val="24"/>
      <w:szCs w:val="24"/>
    </w:rPr>
  </w:style>
  <w:style w:type="paragraph" w:styleId="19">
    <w:name w:val="toc 3"/>
    <w:basedOn w:val="1"/>
    <w:next w:val="1"/>
    <w:qFormat/>
    <w:uiPriority w:val="0"/>
    <w:pPr>
      <w:ind w:left="840"/>
    </w:pPr>
    <w:rPr>
      <w:szCs w:val="24"/>
    </w:rPr>
  </w:style>
  <w:style w:type="paragraph" w:styleId="20">
    <w:name w:val="Plain Text"/>
    <w:basedOn w:val="1"/>
    <w:next w:val="12"/>
    <w:link w:val="68"/>
    <w:qFormat/>
    <w:uiPriority w:val="0"/>
    <w:rPr>
      <w:rFonts w:ascii="宋体" w:hAnsi="Courier New" w:cs="Courier New"/>
      <w:szCs w:val="21"/>
    </w:rPr>
  </w:style>
  <w:style w:type="paragraph" w:styleId="21">
    <w:name w:val="toc 8"/>
    <w:basedOn w:val="1"/>
    <w:next w:val="1"/>
    <w:qFormat/>
    <w:uiPriority w:val="0"/>
    <w:pPr>
      <w:ind w:left="2940" w:leftChars="1400"/>
    </w:pPr>
    <w:rPr>
      <w:szCs w:val="24"/>
    </w:rPr>
  </w:style>
  <w:style w:type="paragraph" w:styleId="22">
    <w:name w:val="Date"/>
    <w:basedOn w:val="1"/>
    <w:next w:val="1"/>
    <w:link w:val="69"/>
    <w:qFormat/>
    <w:uiPriority w:val="0"/>
    <w:rPr>
      <w:sz w:val="28"/>
    </w:rPr>
  </w:style>
  <w:style w:type="paragraph" w:styleId="23">
    <w:name w:val="Balloon Text"/>
    <w:basedOn w:val="1"/>
    <w:qFormat/>
    <w:uiPriority w:val="0"/>
    <w:rPr>
      <w:sz w:val="18"/>
      <w:szCs w:val="18"/>
    </w:rPr>
  </w:style>
  <w:style w:type="paragraph" w:styleId="24">
    <w:name w:val="footer"/>
    <w:basedOn w:val="1"/>
    <w:qFormat/>
    <w:uiPriority w:val="0"/>
    <w:pPr>
      <w:tabs>
        <w:tab w:val="center" w:pos="4153"/>
        <w:tab w:val="right" w:pos="8306"/>
      </w:tabs>
      <w:snapToGrid w:val="0"/>
      <w:jc w:val="left"/>
    </w:pPr>
    <w:rPr>
      <w:sz w:val="18"/>
      <w:szCs w:val="18"/>
    </w:rPr>
  </w:style>
  <w:style w:type="paragraph" w:styleId="25">
    <w:name w:val="header"/>
    <w:basedOn w:val="1"/>
    <w:link w:val="70"/>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0"/>
    <w:pPr>
      <w:snapToGrid w:val="0"/>
      <w:spacing w:line="360" w:lineRule="auto"/>
    </w:pPr>
    <w:rPr>
      <w:rFonts w:ascii="黑体" w:eastAsia="黑体"/>
      <w:bCs/>
      <w:sz w:val="28"/>
      <w:szCs w:val="24"/>
    </w:rPr>
  </w:style>
  <w:style w:type="paragraph" w:styleId="27">
    <w:name w:val="Subtitle"/>
    <w:basedOn w:val="1"/>
    <w:next w:val="1"/>
    <w:link w:val="71"/>
    <w:qFormat/>
    <w:uiPriority w:val="0"/>
    <w:pPr>
      <w:spacing w:before="240" w:after="60" w:line="312" w:lineRule="auto"/>
      <w:jc w:val="center"/>
      <w:outlineLvl w:val="1"/>
    </w:pPr>
    <w:rPr>
      <w:rFonts w:ascii="Cambria" w:hAnsi="Cambria" w:cs="Times New Roman"/>
      <w:b/>
      <w:bCs/>
      <w:kern w:val="28"/>
      <w:sz w:val="32"/>
      <w:szCs w:val="32"/>
    </w:rPr>
  </w:style>
  <w:style w:type="paragraph" w:styleId="28">
    <w:name w:val="List"/>
    <w:basedOn w:val="1"/>
    <w:qFormat/>
    <w:uiPriority w:val="0"/>
    <w:pPr>
      <w:spacing w:line="360" w:lineRule="exact"/>
      <w:jc w:val="center"/>
    </w:pPr>
    <w:rPr>
      <w:rFonts w:ascii="仿宋_GB2312" w:eastAsia="仿宋_GB2312"/>
      <w:sz w:val="24"/>
    </w:rPr>
  </w:style>
  <w:style w:type="paragraph" w:styleId="29">
    <w:name w:val="toc 6"/>
    <w:basedOn w:val="1"/>
    <w:next w:val="1"/>
    <w:qFormat/>
    <w:uiPriority w:val="0"/>
    <w:pPr>
      <w:ind w:left="2100" w:leftChars="1000"/>
    </w:pPr>
    <w:rPr>
      <w:szCs w:val="24"/>
    </w:rPr>
  </w:style>
  <w:style w:type="paragraph" w:styleId="30">
    <w:name w:val="Body Text Indent 3"/>
    <w:basedOn w:val="1"/>
    <w:link w:val="72"/>
    <w:qFormat/>
    <w:uiPriority w:val="0"/>
    <w:pPr>
      <w:ind w:firstLine="560" w:firstLineChars="200"/>
    </w:pPr>
    <w:rPr>
      <w:rFonts w:ascii="宋体" w:hAnsi="宋体"/>
      <w:color w:val="000000"/>
      <w:sz w:val="28"/>
      <w:szCs w:val="24"/>
    </w:rPr>
  </w:style>
  <w:style w:type="paragraph" w:styleId="31">
    <w:name w:val="table of figures"/>
    <w:basedOn w:val="1"/>
    <w:next w:val="1"/>
    <w:qFormat/>
    <w:uiPriority w:val="0"/>
    <w:pPr>
      <w:ind w:leftChars="200" w:hanging="200" w:hangingChars="200"/>
    </w:pPr>
  </w:style>
  <w:style w:type="paragraph" w:styleId="32">
    <w:name w:val="toc 2"/>
    <w:basedOn w:val="1"/>
    <w:next w:val="1"/>
    <w:qFormat/>
    <w:uiPriority w:val="0"/>
    <w:pPr>
      <w:snapToGrid w:val="0"/>
      <w:spacing w:line="360" w:lineRule="auto"/>
      <w:ind w:left="200" w:leftChars="200"/>
    </w:pPr>
    <w:rPr>
      <w:sz w:val="28"/>
      <w:szCs w:val="24"/>
    </w:rPr>
  </w:style>
  <w:style w:type="paragraph" w:styleId="33">
    <w:name w:val="toc 9"/>
    <w:basedOn w:val="1"/>
    <w:next w:val="1"/>
    <w:qFormat/>
    <w:uiPriority w:val="39"/>
    <w:pPr>
      <w:ind w:left="1680"/>
      <w:jc w:val="left"/>
    </w:pPr>
    <w:rPr>
      <w:sz w:val="20"/>
      <w:szCs w:val="20"/>
    </w:rPr>
  </w:style>
  <w:style w:type="paragraph" w:styleId="34">
    <w:name w:val="Body Text 2"/>
    <w:basedOn w:val="1"/>
    <w:next w:val="1"/>
    <w:link w:val="73"/>
    <w:unhideWhenUsed/>
    <w:qFormat/>
    <w:uiPriority w:val="99"/>
    <w:pPr>
      <w:spacing w:line="420" w:lineRule="exact"/>
    </w:pPr>
    <w:rPr>
      <w:bCs/>
      <w:sz w:val="28"/>
    </w:rPr>
  </w:style>
  <w:style w:type="paragraph" w:styleId="3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36">
    <w:name w:val="Normal (Web)"/>
    <w:basedOn w:val="1"/>
    <w:link w:val="74"/>
    <w:qFormat/>
    <w:uiPriority w:val="0"/>
    <w:pPr>
      <w:widowControl/>
      <w:spacing w:before="100" w:beforeAutospacing="1" w:after="100" w:afterAutospacing="1"/>
      <w:jc w:val="left"/>
    </w:pPr>
    <w:rPr>
      <w:rFonts w:ascii="宋体" w:hAnsi="宋体"/>
      <w:kern w:val="0"/>
      <w:sz w:val="24"/>
      <w:szCs w:val="24"/>
    </w:rPr>
  </w:style>
  <w:style w:type="paragraph" w:styleId="37">
    <w:name w:val="annotation subject"/>
    <w:basedOn w:val="11"/>
    <w:next w:val="11"/>
    <w:link w:val="75"/>
    <w:qFormat/>
    <w:uiPriority w:val="0"/>
    <w:rPr>
      <w:b/>
      <w:bCs/>
    </w:rPr>
  </w:style>
  <w:style w:type="paragraph" w:styleId="38">
    <w:name w:val="Body Text First Indent"/>
    <w:basedOn w:val="8"/>
    <w:qFormat/>
    <w:uiPriority w:val="0"/>
    <w:pPr>
      <w:ind w:firstLine="420" w:firstLineChars="10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1">
    <w:name w:val="Table Theme"/>
    <w:basedOn w:val="39"/>
    <w:qFormat/>
    <w:uiPriority w:val="0"/>
    <w:pPr>
      <w:widowControl w:val="0"/>
      <w:jc w:val="both"/>
    </w:pPr>
    <w:rPr>
      <w:rFonts w:ascii="Times New Roman" w:hAnsi="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qFormat/>
    <w:uiPriority w:val="22"/>
    <w:rPr>
      <w:b/>
    </w:rPr>
  </w:style>
  <w:style w:type="character" w:styleId="44">
    <w:name w:val="page number"/>
    <w:basedOn w:val="42"/>
    <w:qFormat/>
    <w:uiPriority w:val="0"/>
  </w:style>
  <w:style w:type="character" w:styleId="45">
    <w:name w:val="FollowedHyperlink"/>
    <w:qFormat/>
    <w:uiPriority w:val="99"/>
    <w:rPr>
      <w:color w:val="000000"/>
      <w:u w:val="none"/>
    </w:rPr>
  </w:style>
  <w:style w:type="character" w:styleId="46">
    <w:name w:val="Emphasis"/>
    <w:qFormat/>
    <w:uiPriority w:val="20"/>
  </w:style>
  <w:style w:type="character" w:styleId="47">
    <w:name w:val="HTML Definition"/>
    <w:qFormat/>
    <w:uiPriority w:val="0"/>
  </w:style>
  <w:style w:type="character" w:styleId="48">
    <w:name w:val="HTML Variable"/>
    <w:qFormat/>
    <w:uiPriority w:val="0"/>
  </w:style>
  <w:style w:type="character" w:styleId="49">
    <w:name w:val="Hyperlink"/>
    <w:basedOn w:val="42"/>
    <w:qFormat/>
    <w:uiPriority w:val="0"/>
    <w:rPr>
      <w:color w:val="000000"/>
      <w:u w:val="none"/>
    </w:rPr>
  </w:style>
  <w:style w:type="character" w:styleId="50">
    <w:name w:val="HTML Code"/>
    <w:qFormat/>
    <w:uiPriority w:val="0"/>
    <w:rPr>
      <w:rFonts w:ascii="Courier New" w:hAnsi="Courier New"/>
      <w:sz w:val="20"/>
    </w:rPr>
  </w:style>
  <w:style w:type="character" w:styleId="51">
    <w:name w:val="annotation reference"/>
    <w:qFormat/>
    <w:uiPriority w:val="0"/>
    <w:rPr>
      <w:sz w:val="21"/>
      <w:szCs w:val="21"/>
    </w:rPr>
  </w:style>
  <w:style w:type="character" w:styleId="52">
    <w:name w:val="HTML Cite"/>
    <w:qFormat/>
    <w:uiPriority w:val="0"/>
  </w:style>
  <w:style w:type="character" w:styleId="53">
    <w:name w:val="HTML Keyboard"/>
    <w:basedOn w:val="42"/>
    <w:qFormat/>
    <w:uiPriority w:val="0"/>
    <w:rPr>
      <w:rFonts w:ascii="monospace" w:hAnsi="monospace" w:eastAsia="monospace" w:cs="monospace"/>
      <w:sz w:val="21"/>
      <w:szCs w:val="21"/>
    </w:rPr>
  </w:style>
  <w:style w:type="character" w:styleId="54">
    <w:name w:val="HTML Sample"/>
    <w:basedOn w:val="42"/>
    <w:qFormat/>
    <w:uiPriority w:val="0"/>
    <w:rPr>
      <w:rFonts w:hint="default" w:ascii="monospace" w:hAnsi="monospace" w:eastAsia="monospace" w:cs="monospace"/>
      <w:sz w:val="21"/>
      <w:szCs w:val="21"/>
    </w:rPr>
  </w:style>
  <w:style w:type="paragraph" w:customStyle="1" w:styleId="55">
    <w:name w:val="Default"/>
    <w:basedOn w:val="56"/>
    <w:next w:val="1"/>
    <w:link w:val="60"/>
    <w:qFormat/>
    <w:uiPriority w:val="0"/>
    <w:pPr>
      <w:widowControl w:val="0"/>
      <w:autoSpaceDE w:val="0"/>
      <w:autoSpaceDN w:val="0"/>
      <w:adjustRightInd w:val="0"/>
    </w:pPr>
    <w:rPr>
      <w:rFonts w:ascii="宋体"/>
      <w:color w:val="000000"/>
      <w:sz w:val="24"/>
      <w:szCs w:val="24"/>
      <w:lang w:bidi="ar-SA"/>
    </w:rPr>
  </w:style>
  <w:style w:type="paragraph" w:customStyle="1" w:styleId="56">
    <w:name w:val="文本"/>
    <w:basedOn w:val="7"/>
    <w:next w:val="1"/>
    <w:qFormat/>
    <w:uiPriority w:val="0"/>
    <w:pPr>
      <w:autoSpaceDE w:val="0"/>
      <w:autoSpaceDN w:val="0"/>
      <w:ind w:firstLine="480"/>
    </w:pPr>
    <w:rPr>
      <w:szCs w:val="24"/>
      <w:lang w:val="zh-CN"/>
    </w:rPr>
  </w:style>
  <w:style w:type="paragraph" w:customStyle="1" w:styleId="57">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cs="Times New Roman"/>
      <w:kern w:val="0"/>
      <w:sz w:val="16"/>
      <w:szCs w:val="16"/>
      <w:lang w:eastAsia="zh-TW"/>
    </w:rPr>
  </w:style>
  <w:style w:type="paragraph" w:customStyle="1" w:styleId="58">
    <w:name w:val="标题2"/>
    <w:basedOn w:val="4"/>
    <w:qFormat/>
    <w:uiPriority w:val="0"/>
    <w:pPr>
      <w:numPr>
        <w:ilvl w:val="1"/>
        <w:numId w:val="1"/>
      </w:numPr>
      <w:spacing w:before="0" w:after="0" w:line="440" w:lineRule="exact"/>
    </w:pPr>
    <w:rPr>
      <w:kern w:val="0"/>
      <w:sz w:val="28"/>
    </w:rPr>
  </w:style>
  <w:style w:type="paragraph" w:customStyle="1" w:styleId="59">
    <w:name w:val="1正文段落"/>
    <w:basedOn w:val="1"/>
    <w:link w:val="61"/>
    <w:qFormat/>
    <w:uiPriority w:val="0"/>
    <w:pPr>
      <w:spacing w:line="360" w:lineRule="auto"/>
      <w:ind w:firstLine="480" w:firstLineChars="200"/>
      <w:jc w:val="left"/>
    </w:pPr>
    <w:rPr>
      <w:snapToGrid w:val="0"/>
      <w:kern w:val="0"/>
      <w:sz w:val="24"/>
      <w:szCs w:val="24"/>
    </w:rPr>
  </w:style>
  <w:style w:type="character" w:customStyle="1" w:styleId="60">
    <w:name w:val="Default Char"/>
    <w:link w:val="55"/>
    <w:qFormat/>
    <w:uiPriority w:val="0"/>
    <w:rPr>
      <w:rFonts w:ascii="宋体"/>
      <w:color w:val="000000"/>
      <w:sz w:val="24"/>
      <w:szCs w:val="24"/>
      <w:lang w:bidi="ar-SA"/>
    </w:rPr>
  </w:style>
  <w:style w:type="character" w:customStyle="1" w:styleId="61">
    <w:name w:val="1正文段落 Char Char"/>
    <w:link w:val="59"/>
    <w:qFormat/>
    <w:uiPriority w:val="0"/>
    <w:rPr>
      <w:rFonts w:eastAsia="宋体"/>
      <w:snapToGrid w:val="0"/>
      <w:sz w:val="24"/>
      <w:szCs w:val="24"/>
      <w:lang w:val="en-US" w:eastAsia="zh-CN" w:bidi="ar-SA"/>
    </w:rPr>
  </w:style>
  <w:style w:type="character" w:customStyle="1" w:styleId="62">
    <w:name w:val="标题 3 Char"/>
    <w:basedOn w:val="42"/>
    <w:link w:val="2"/>
    <w:qFormat/>
    <w:uiPriority w:val="0"/>
    <w:rPr>
      <w:b/>
      <w:kern w:val="2"/>
      <w:sz w:val="32"/>
    </w:rPr>
  </w:style>
  <w:style w:type="character" w:customStyle="1" w:styleId="63">
    <w:name w:val="正文缩进 Char"/>
    <w:link w:val="7"/>
    <w:qFormat/>
    <w:uiPriority w:val="0"/>
    <w:rPr>
      <w:rFonts w:eastAsia="宋体"/>
      <w:kern w:val="2"/>
      <w:sz w:val="21"/>
      <w:lang w:val="en-US" w:eastAsia="zh-CN" w:bidi="ar-SA"/>
    </w:rPr>
  </w:style>
  <w:style w:type="character" w:customStyle="1" w:styleId="64">
    <w:name w:val="批注文字 Char"/>
    <w:link w:val="11"/>
    <w:qFormat/>
    <w:uiPriority w:val="0"/>
    <w:rPr>
      <w:kern w:val="2"/>
      <w:sz w:val="21"/>
    </w:rPr>
  </w:style>
  <w:style w:type="character" w:customStyle="1" w:styleId="65">
    <w:name w:val="正文文本缩进 Char"/>
    <w:link w:val="14"/>
    <w:qFormat/>
    <w:uiPriority w:val="0"/>
    <w:rPr>
      <w:rFonts w:ascii="宋体" w:hAnsi="宋体"/>
      <w:sz w:val="24"/>
      <w:szCs w:val="21"/>
    </w:rPr>
  </w:style>
  <w:style w:type="character" w:customStyle="1" w:styleId="66">
    <w:name w:val="正文文本缩进 2 Char"/>
    <w:link w:val="15"/>
    <w:qFormat/>
    <w:uiPriority w:val="0"/>
    <w:rPr>
      <w:kern w:val="2"/>
      <w:sz w:val="21"/>
    </w:rPr>
  </w:style>
  <w:style w:type="character" w:customStyle="1" w:styleId="67">
    <w:name w:val="正文首行缩进 2 Char"/>
    <w:basedOn w:val="65"/>
    <w:link w:val="16"/>
    <w:qFormat/>
    <w:uiPriority w:val="0"/>
    <w:rPr>
      <w:kern w:val="2"/>
      <w:sz w:val="21"/>
    </w:rPr>
  </w:style>
  <w:style w:type="character" w:customStyle="1" w:styleId="68">
    <w:name w:val="纯文本 Char"/>
    <w:link w:val="20"/>
    <w:qFormat/>
    <w:uiPriority w:val="0"/>
    <w:rPr>
      <w:rFonts w:ascii="宋体" w:hAnsi="Courier New" w:eastAsia="宋体" w:cs="Courier New"/>
      <w:kern w:val="2"/>
      <w:sz w:val="21"/>
      <w:szCs w:val="21"/>
      <w:lang w:val="en-US" w:eastAsia="zh-CN" w:bidi="ar-SA"/>
    </w:rPr>
  </w:style>
  <w:style w:type="character" w:customStyle="1" w:styleId="69">
    <w:name w:val="日期 Char"/>
    <w:basedOn w:val="42"/>
    <w:link w:val="22"/>
    <w:qFormat/>
    <w:uiPriority w:val="0"/>
    <w:rPr>
      <w:kern w:val="2"/>
      <w:sz w:val="28"/>
    </w:rPr>
  </w:style>
  <w:style w:type="character" w:customStyle="1" w:styleId="70">
    <w:name w:val="页眉 Char"/>
    <w:link w:val="25"/>
    <w:qFormat/>
    <w:uiPriority w:val="99"/>
    <w:rPr>
      <w:rFonts w:eastAsia="宋体"/>
      <w:kern w:val="2"/>
      <w:sz w:val="18"/>
      <w:szCs w:val="18"/>
      <w:lang w:val="en-US" w:eastAsia="zh-CN" w:bidi="ar-SA"/>
    </w:rPr>
  </w:style>
  <w:style w:type="character" w:customStyle="1" w:styleId="71">
    <w:name w:val="副标题 Char"/>
    <w:basedOn w:val="42"/>
    <w:link w:val="27"/>
    <w:qFormat/>
    <w:uiPriority w:val="0"/>
    <w:rPr>
      <w:rFonts w:ascii="Cambria" w:hAnsi="Cambria" w:cs="Times New Roman"/>
      <w:b/>
      <w:bCs/>
      <w:kern w:val="28"/>
      <w:sz w:val="32"/>
      <w:szCs w:val="32"/>
    </w:rPr>
  </w:style>
  <w:style w:type="character" w:customStyle="1" w:styleId="72">
    <w:name w:val="正文文本缩进 3 Char"/>
    <w:basedOn w:val="42"/>
    <w:link w:val="30"/>
    <w:qFormat/>
    <w:uiPriority w:val="0"/>
    <w:rPr>
      <w:rFonts w:ascii="宋体" w:hAnsi="宋体"/>
      <w:color w:val="000000"/>
      <w:kern w:val="2"/>
      <w:sz w:val="28"/>
      <w:szCs w:val="24"/>
    </w:rPr>
  </w:style>
  <w:style w:type="character" w:customStyle="1" w:styleId="73">
    <w:name w:val="正文文本 2 Char"/>
    <w:basedOn w:val="42"/>
    <w:link w:val="34"/>
    <w:qFormat/>
    <w:uiPriority w:val="99"/>
    <w:rPr>
      <w:bCs/>
      <w:kern w:val="2"/>
      <w:sz w:val="28"/>
    </w:rPr>
  </w:style>
  <w:style w:type="character" w:customStyle="1" w:styleId="74">
    <w:name w:val="普通(网站) Char"/>
    <w:link w:val="36"/>
    <w:qFormat/>
    <w:uiPriority w:val="0"/>
    <w:rPr>
      <w:rFonts w:ascii="宋体" w:hAnsi="宋体"/>
      <w:sz w:val="24"/>
      <w:szCs w:val="24"/>
    </w:rPr>
  </w:style>
  <w:style w:type="character" w:customStyle="1" w:styleId="75">
    <w:name w:val="批注主题 Char"/>
    <w:link w:val="37"/>
    <w:qFormat/>
    <w:uiPriority w:val="0"/>
    <w:rPr>
      <w:b/>
      <w:bCs/>
      <w:kern w:val="2"/>
      <w:sz w:val="21"/>
    </w:rPr>
  </w:style>
  <w:style w:type="character" w:customStyle="1" w:styleId="76">
    <w:name w:val=" Char Char Char"/>
    <w:link w:val="77"/>
    <w:qFormat/>
    <w:uiPriority w:val="0"/>
    <w:rPr>
      <w:kern w:val="2"/>
      <w:sz w:val="21"/>
    </w:rPr>
  </w:style>
  <w:style w:type="paragraph" w:customStyle="1" w:styleId="77">
    <w:name w:val=" Char"/>
    <w:basedOn w:val="1"/>
    <w:link w:val="76"/>
    <w:qFormat/>
    <w:uiPriority w:val="0"/>
  </w:style>
  <w:style w:type="character" w:customStyle="1" w:styleId="78">
    <w:name w:val="样式 样式 样式 表内格式 + 左  -0.5 字符 + 左侧:  -0.5 字符 右侧:  -0.5 字符 + 左侧:  -0... Char Char"/>
    <w:basedOn w:val="42"/>
    <w:qFormat/>
    <w:uiPriority w:val="0"/>
    <w:rPr>
      <w:rFonts w:eastAsia="宋体" w:cs="宋体"/>
      <w:kern w:val="2"/>
      <w:sz w:val="18"/>
      <w:szCs w:val="18"/>
      <w:lang w:val="en-US" w:eastAsia="zh-CN" w:bidi="ar-SA"/>
    </w:rPr>
  </w:style>
  <w:style w:type="character" w:customStyle="1" w:styleId="79">
    <w:name w:val="正文－1.5行距－段后6磅 Char"/>
    <w:link w:val="80"/>
    <w:qFormat/>
    <w:uiPriority w:val="0"/>
    <w:rPr>
      <w:rFonts w:ascii="Calibri" w:hAnsi="Calibri" w:eastAsia="宋体"/>
      <w:kern w:val="2"/>
      <w:sz w:val="24"/>
      <w:szCs w:val="21"/>
      <w:lang w:val="en-US" w:eastAsia="zh-CN" w:bidi="ar-SA"/>
    </w:rPr>
  </w:style>
  <w:style w:type="paragraph" w:customStyle="1" w:styleId="80">
    <w:name w:val="正文－1.5行距－段后6磅"/>
    <w:basedOn w:val="1"/>
    <w:link w:val="79"/>
    <w:qFormat/>
    <w:uiPriority w:val="0"/>
    <w:pPr>
      <w:spacing w:after="120" w:line="360" w:lineRule="auto"/>
      <w:ind w:firstLine="200" w:firstLineChars="200"/>
    </w:pPr>
    <w:rPr>
      <w:rFonts w:ascii="Calibri" w:hAnsi="Calibri"/>
      <w:sz w:val="24"/>
      <w:szCs w:val="21"/>
    </w:rPr>
  </w:style>
  <w:style w:type="character" w:customStyle="1" w:styleId="81">
    <w:name w:val="标题 3 Char Char"/>
    <w:qFormat/>
    <w:uiPriority w:val="0"/>
    <w:rPr>
      <w:rFonts w:eastAsia="宋体"/>
      <w:b/>
      <w:bCs/>
      <w:kern w:val="2"/>
      <w:sz w:val="32"/>
      <w:szCs w:val="32"/>
      <w:lang w:val="en-US" w:eastAsia="zh-CN" w:bidi="ar-SA"/>
    </w:rPr>
  </w:style>
  <w:style w:type="character" w:customStyle="1" w:styleId="82">
    <w:name w:val="报告正文 Char Char"/>
    <w:qFormat/>
    <w:uiPriority w:val="0"/>
    <w:rPr>
      <w:rFonts w:ascii="宋体" w:hAnsi="宋体" w:eastAsia="宋体"/>
      <w:kern w:val="2"/>
      <w:sz w:val="28"/>
      <w:szCs w:val="28"/>
      <w:lang w:val="en-US" w:eastAsia="zh-CN" w:bidi="ar-SA"/>
    </w:rPr>
  </w:style>
  <w:style w:type="character" w:customStyle="1" w:styleId="83">
    <w:name w:val="表头 Char"/>
    <w:link w:val="84"/>
    <w:qFormat/>
    <w:uiPriority w:val="0"/>
    <w:rPr>
      <w:rFonts w:eastAsia="宋体"/>
      <w:b/>
      <w:color w:val="000000"/>
      <w:kern w:val="32"/>
      <w:sz w:val="24"/>
      <w:lang w:val="en-US" w:eastAsia="zh-CN" w:bidi="ar-SA"/>
    </w:rPr>
  </w:style>
  <w:style w:type="paragraph" w:customStyle="1" w:styleId="84">
    <w:name w:val="表头"/>
    <w:basedOn w:val="1"/>
    <w:next w:val="1"/>
    <w:link w:val="83"/>
    <w:qFormat/>
    <w:uiPriority w:val="0"/>
    <w:pPr>
      <w:autoSpaceDE w:val="0"/>
      <w:autoSpaceDN w:val="0"/>
      <w:adjustRightInd w:val="0"/>
      <w:snapToGrid w:val="0"/>
      <w:spacing w:before="80" w:after="80" w:line="480" w:lineRule="exact"/>
      <w:jc w:val="center"/>
    </w:pPr>
    <w:rPr>
      <w:b/>
      <w:color w:val="000000"/>
      <w:kern w:val="32"/>
      <w:sz w:val="24"/>
    </w:rPr>
  </w:style>
  <w:style w:type="character" w:customStyle="1" w:styleId="85">
    <w:name w:val="君邦正文 Char2"/>
    <w:link w:val="86"/>
    <w:qFormat/>
    <w:uiPriority w:val="0"/>
    <w:rPr>
      <w:bCs/>
      <w:snapToGrid w:val="0"/>
      <w:sz w:val="24"/>
      <w:lang w:val="en-US" w:eastAsia="zh-CN" w:bidi="ar-SA"/>
    </w:rPr>
  </w:style>
  <w:style w:type="paragraph" w:customStyle="1" w:styleId="86">
    <w:name w:val="君邦正文"/>
    <w:link w:val="85"/>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character" w:customStyle="1" w:styleId="87">
    <w:name w:val="可研正文 Char Char"/>
    <w:link w:val="88"/>
    <w:qFormat/>
    <w:uiPriority w:val="0"/>
    <w:rPr>
      <w:rFonts w:ascii="宋体" w:hAnsi="宋体" w:cs="宋体"/>
      <w:kern w:val="2"/>
      <w:sz w:val="28"/>
    </w:rPr>
  </w:style>
  <w:style w:type="paragraph" w:customStyle="1" w:styleId="88">
    <w:name w:val="可研正文"/>
    <w:basedOn w:val="1"/>
    <w:link w:val="87"/>
    <w:qFormat/>
    <w:uiPriority w:val="0"/>
    <w:pPr>
      <w:spacing w:line="360" w:lineRule="auto"/>
      <w:ind w:firstLine="560" w:firstLineChars="200"/>
    </w:pPr>
    <w:rPr>
      <w:rFonts w:ascii="宋体" w:hAnsi="宋体"/>
      <w:sz w:val="28"/>
    </w:rPr>
  </w:style>
  <w:style w:type="character" w:customStyle="1" w:styleId="89">
    <w:name w:val="表格 Char1"/>
    <w:basedOn w:val="42"/>
    <w:link w:val="90"/>
    <w:qFormat/>
    <w:uiPriority w:val="0"/>
    <w:rPr>
      <w:rFonts w:eastAsia="仿宋_GB2312"/>
      <w:kern w:val="2"/>
      <w:sz w:val="21"/>
    </w:rPr>
  </w:style>
  <w:style w:type="paragraph" w:customStyle="1" w:styleId="90">
    <w:name w:val="表格"/>
    <w:basedOn w:val="1"/>
    <w:next w:val="1"/>
    <w:link w:val="89"/>
    <w:qFormat/>
    <w:uiPriority w:val="0"/>
    <w:pPr>
      <w:adjustRightInd w:val="0"/>
      <w:snapToGrid w:val="0"/>
      <w:spacing w:line="240" w:lineRule="atLeast"/>
      <w:jc w:val="center"/>
    </w:pPr>
    <w:rPr>
      <w:rFonts w:eastAsia="仿宋_GB2312"/>
    </w:rPr>
  </w:style>
  <w:style w:type="character" w:customStyle="1" w:styleId="91">
    <w:name w:val="正文（首行缩进） Char Char"/>
    <w:link w:val="92"/>
    <w:qFormat/>
    <w:uiPriority w:val="0"/>
    <w:rPr>
      <w:rFonts w:eastAsia="宋体"/>
      <w:snapToGrid w:val="0"/>
      <w:sz w:val="24"/>
      <w:szCs w:val="24"/>
      <w:lang w:val="en-US" w:eastAsia="zh-CN" w:bidi="ar-SA"/>
    </w:rPr>
  </w:style>
  <w:style w:type="paragraph" w:customStyle="1" w:styleId="92">
    <w:name w:val="正文（首行缩进） Char"/>
    <w:basedOn w:val="1"/>
    <w:link w:val="91"/>
    <w:qFormat/>
    <w:uiPriority w:val="0"/>
    <w:pPr>
      <w:widowControl/>
      <w:overflowPunct w:val="0"/>
      <w:topLinePunct/>
      <w:autoSpaceDE w:val="0"/>
      <w:autoSpaceDN w:val="0"/>
      <w:adjustRightInd w:val="0"/>
      <w:snapToGrid w:val="0"/>
      <w:spacing w:line="360" w:lineRule="auto"/>
      <w:ind w:firstLine="480" w:firstLineChars="200"/>
      <w:textAlignment w:val="baseline"/>
    </w:pPr>
    <w:rPr>
      <w:snapToGrid w:val="0"/>
      <w:kern w:val="0"/>
      <w:sz w:val="24"/>
      <w:szCs w:val="24"/>
    </w:rPr>
  </w:style>
  <w:style w:type="character" w:customStyle="1" w:styleId="93">
    <w:name w:val="样式 四号"/>
    <w:qFormat/>
    <w:uiPriority w:val="0"/>
    <w:rPr>
      <w:rFonts w:ascii="宋体" w:hAnsi="宋体" w:eastAsia="汉鼎简书宋" w:cs="宋体"/>
      <w:b/>
      <w:spacing w:val="4"/>
      <w:kern w:val="2"/>
      <w:sz w:val="24"/>
      <w:szCs w:val="24"/>
      <w:lang w:val="en-US" w:eastAsia="zh-CN" w:bidi="ar-SA"/>
    </w:rPr>
  </w:style>
  <w:style w:type="character" w:customStyle="1" w:styleId="94">
    <w:name w:val="font01"/>
    <w:basedOn w:val="42"/>
    <w:qFormat/>
    <w:uiPriority w:val="0"/>
    <w:rPr>
      <w:rFonts w:hint="eastAsia" w:ascii="宋体" w:hAnsi="宋体" w:eastAsia="宋体" w:cs="宋体"/>
      <w:color w:val="000000"/>
      <w:sz w:val="22"/>
      <w:szCs w:val="22"/>
      <w:u w:val="none"/>
    </w:rPr>
  </w:style>
  <w:style w:type="character" w:customStyle="1" w:styleId="95">
    <w:name w:val="font21"/>
    <w:basedOn w:val="42"/>
    <w:qFormat/>
    <w:uiPriority w:val="0"/>
    <w:rPr>
      <w:rFonts w:hint="default" w:ascii="Times New Roman" w:hAnsi="Times New Roman" w:cs="Times New Roman"/>
      <w:color w:val="000000"/>
      <w:sz w:val="21"/>
      <w:szCs w:val="21"/>
      <w:u w:val="none"/>
    </w:rPr>
  </w:style>
  <w:style w:type="character" w:customStyle="1" w:styleId="96">
    <w:name w:val="样式 样式 样式 表内格式 + 左  -0.5 字符 + 左侧:  -0.5 字符 右侧:  -0.5 字符 + 左侧:  -0... Char"/>
    <w:link w:val="97"/>
    <w:qFormat/>
    <w:uiPriority w:val="0"/>
    <w:rPr>
      <w:rFonts w:eastAsia="宋体" w:cs="宋体"/>
      <w:kern w:val="2"/>
      <w:sz w:val="18"/>
      <w:szCs w:val="18"/>
      <w:lang w:val="en-US" w:eastAsia="zh-CN" w:bidi="ar-SA"/>
    </w:rPr>
  </w:style>
  <w:style w:type="paragraph" w:customStyle="1" w:styleId="97">
    <w:name w:val="样式 样式 样式 表内格式 + 左  -0.5 字符 + 左侧:  -0.5 字符 右侧:  -0.5 字符 + 左侧:  -0..."/>
    <w:basedOn w:val="1"/>
    <w:link w:val="96"/>
    <w:qFormat/>
    <w:uiPriority w:val="0"/>
    <w:pPr>
      <w:jc w:val="center"/>
    </w:pPr>
    <w:rPr>
      <w:rFonts w:cs="宋体"/>
      <w:sz w:val="18"/>
      <w:szCs w:val="18"/>
    </w:rPr>
  </w:style>
  <w:style w:type="character" w:customStyle="1" w:styleId="98">
    <w:name w:val="font11"/>
    <w:basedOn w:val="42"/>
    <w:qFormat/>
    <w:uiPriority w:val="0"/>
    <w:rPr>
      <w:rFonts w:hint="default" w:ascii="Times New Roman" w:hAnsi="Times New Roman" w:cs="Times New Roman"/>
      <w:color w:val="000000"/>
      <w:sz w:val="21"/>
      <w:szCs w:val="21"/>
      <w:u w:val="none"/>
    </w:rPr>
  </w:style>
  <w:style w:type="character" w:customStyle="1" w:styleId="99">
    <w:name w:val="txtr"/>
    <w:basedOn w:val="42"/>
    <w:qFormat/>
    <w:uiPriority w:val="0"/>
  </w:style>
  <w:style w:type="character" w:customStyle="1" w:styleId="100">
    <w:name w:val="bds_nopic"/>
    <w:basedOn w:val="42"/>
    <w:qFormat/>
    <w:uiPriority w:val="0"/>
  </w:style>
  <w:style w:type="character" w:customStyle="1" w:styleId="101">
    <w:name w:val="body21"/>
    <w:qFormat/>
    <w:uiPriority w:val="0"/>
    <w:rPr>
      <w:rFonts w:hint="eastAsia" w:ascii="宋体" w:hAnsi="宋体" w:eastAsia="宋体"/>
      <w:color w:val="006666"/>
      <w:sz w:val="27"/>
      <w:szCs w:val="27"/>
    </w:rPr>
  </w:style>
  <w:style w:type="character" w:customStyle="1" w:styleId="102">
    <w:name w:val="font41"/>
    <w:basedOn w:val="42"/>
    <w:qFormat/>
    <w:uiPriority w:val="0"/>
    <w:rPr>
      <w:rFonts w:hint="eastAsia" w:ascii="宋体" w:hAnsi="宋体" w:eastAsia="宋体" w:cs="宋体"/>
      <w:color w:val="000000"/>
      <w:sz w:val="21"/>
      <w:szCs w:val="21"/>
      <w:u w:val="none"/>
    </w:rPr>
  </w:style>
  <w:style w:type="character" w:customStyle="1" w:styleId="103">
    <w:name w:val="表格－正文 Char Char"/>
    <w:link w:val="104"/>
    <w:qFormat/>
    <w:uiPriority w:val="0"/>
    <w:rPr>
      <w:rFonts w:ascii="宋体" w:hAnsi="宋体" w:eastAsia="宋体" w:cs="宋体"/>
      <w:b/>
      <w:spacing w:val="4"/>
      <w:kern w:val="2"/>
      <w:sz w:val="21"/>
      <w:szCs w:val="24"/>
      <w:lang w:val="en-US" w:eastAsia="zh-CN" w:bidi="ar-SA"/>
    </w:rPr>
  </w:style>
  <w:style w:type="paragraph" w:customStyle="1" w:styleId="104">
    <w:name w:val="表格－正文"/>
    <w:basedOn w:val="1"/>
    <w:link w:val="103"/>
    <w:qFormat/>
    <w:uiPriority w:val="0"/>
    <w:pPr>
      <w:spacing w:line="300" w:lineRule="exact"/>
      <w:jc w:val="center"/>
    </w:pPr>
    <w:rPr>
      <w:rFonts w:ascii="宋体" w:hAnsi="宋体" w:cs="宋体"/>
      <w:b/>
      <w:spacing w:val="4"/>
      <w:szCs w:val="24"/>
    </w:rPr>
  </w:style>
  <w:style w:type="character" w:customStyle="1" w:styleId="105">
    <w:name w:val="font31"/>
    <w:basedOn w:val="42"/>
    <w:qFormat/>
    <w:uiPriority w:val="0"/>
    <w:rPr>
      <w:rFonts w:hint="default" w:ascii="Times New Roman" w:hAnsi="Times New Roman" w:cs="Times New Roman"/>
      <w:color w:val="000000"/>
      <w:sz w:val="21"/>
      <w:szCs w:val="21"/>
      <w:u w:val="none"/>
      <w:vertAlign w:val="subscript"/>
    </w:rPr>
  </w:style>
  <w:style w:type="character" w:customStyle="1" w:styleId="106">
    <w:name w:val="表格文字2 Char"/>
    <w:link w:val="107"/>
    <w:qFormat/>
    <w:uiPriority w:val="0"/>
    <w:rPr>
      <w:rFonts w:ascii="宋体" w:eastAsia="宋体"/>
      <w:sz w:val="24"/>
      <w:lang w:val="en-US" w:eastAsia="zh-CN" w:bidi="ar-SA"/>
    </w:rPr>
  </w:style>
  <w:style w:type="paragraph" w:customStyle="1" w:styleId="107">
    <w:name w:val="表格文字2"/>
    <w:basedOn w:val="1"/>
    <w:link w:val="106"/>
    <w:qFormat/>
    <w:uiPriority w:val="0"/>
    <w:pPr>
      <w:adjustRightInd w:val="0"/>
      <w:spacing w:before="60"/>
      <w:jc w:val="center"/>
      <w:textAlignment w:val="baseline"/>
    </w:pPr>
    <w:rPr>
      <w:rFonts w:ascii="宋体"/>
      <w:kern w:val="0"/>
      <w:sz w:val="24"/>
    </w:rPr>
  </w:style>
  <w:style w:type="character" w:customStyle="1" w:styleId="108">
    <w:name w:val="apple-converted-space"/>
    <w:basedOn w:val="42"/>
    <w:qFormat/>
    <w:uiPriority w:val="0"/>
  </w:style>
  <w:style w:type="character" w:customStyle="1" w:styleId="109">
    <w:name w:val="cmt"/>
    <w:qFormat/>
    <w:uiPriority w:val="0"/>
    <w:rPr>
      <w:color w:val="BA2636"/>
      <w:u w:val="single"/>
    </w:rPr>
  </w:style>
  <w:style w:type="character" w:customStyle="1" w:styleId="110">
    <w:name w:val="表内格式 Char1"/>
    <w:link w:val="111"/>
    <w:qFormat/>
    <w:uiPriority w:val="0"/>
    <w:rPr>
      <w:rFonts w:eastAsia="宋体"/>
      <w:kern w:val="2"/>
      <w:sz w:val="18"/>
      <w:lang w:val="en-US" w:eastAsia="zh-CN" w:bidi="ar-SA"/>
    </w:rPr>
  </w:style>
  <w:style w:type="paragraph" w:customStyle="1" w:styleId="111">
    <w:name w:val="表内格式"/>
    <w:basedOn w:val="1"/>
    <w:link w:val="110"/>
    <w:qFormat/>
    <w:uiPriority w:val="0"/>
    <w:pPr>
      <w:jc w:val="center"/>
    </w:pPr>
    <w:rPr>
      <w:sz w:val="18"/>
    </w:rPr>
  </w:style>
  <w:style w:type="character" w:customStyle="1" w:styleId="112">
    <w:name w:val="表格 Char"/>
    <w:link w:val="113"/>
    <w:qFormat/>
    <w:uiPriority w:val="0"/>
    <w:rPr>
      <w:rFonts w:ascii="Verdana" w:hAnsi="Verdana"/>
      <w:snapToGrid w:val="0"/>
      <w:sz w:val="21"/>
      <w:szCs w:val="24"/>
      <w:lang w:val="en-US" w:eastAsia="en-US" w:bidi="ar-SA"/>
    </w:rPr>
  </w:style>
  <w:style w:type="paragraph" w:styleId="113">
    <w:name w:val="No Spacing"/>
    <w:link w:val="112"/>
    <w:qFormat/>
    <w:uiPriority w:val="0"/>
    <w:pPr>
      <w:widowControl w:val="0"/>
      <w:jc w:val="center"/>
    </w:pPr>
    <w:rPr>
      <w:rFonts w:ascii="Verdana" w:hAnsi="Verdana" w:eastAsia="宋体" w:cs="Times New Roman"/>
      <w:snapToGrid w:val="0"/>
      <w:sz w:val="21"/>
      <w:szCs w:val="24"/>
      <w:lang w:val="en-US" w:eastAsia="en-US" w:bidi="ar-SA"/>
    </w:rPr>
  </w:style>
  <w:style w:type="character" w:customStyle="1" w:styleId="114">
    <w:name w:val="正文文本－5号字 Char"/>
    <w:link w:val="115"/>
    <w:qFormat/>
    <w:uiPriority w:val="0"/>
    <w:rPr>
      <w:rFonts w:eastAsia="宋体"/>
      <w:kern w:val="2"/>
      <w:sz w:val="24"/>
      <w:lang w:val="en-US" w:eastAsia="zh-CN" w:bidi="ar-SA"/>
    </w:rPr>
  </w:style>
  <w:style w:type="paragraph" w:customStyle="1" w:styleId="115">
    <w:name w:val="正文文本－5号字"/>
    <w:basedOn w:val="8"/>
    <w:link w:val="114"/>
    <w:qFormat/>
    <w:uiPriority w:val="0"/>
    <w:pPr>
      <w:spacing w:before="78" w:after="0" w:line="480" w:lineRule="exact"/>
      <w:ind w:firstLine="480" w:firstLineChars="200"/>
    </w:pPr>
    <w:rPr>
      <w:sz w:val="24"/>
    </w:rPr>
  </w:style>
  <w:style w:type="character" w:customStyle="1" w:styleId="116">
    <w:name w:val="description"/>
    <w:basedOn w:val="42"/>
    <w:qFormat/>
    <w:uiPriority w:val="0"/>
  </w:style>
  <w:style w:type="character" w:customStyle="1" w:styleId="117">
    <w:name w:val="表格文字2 Char Char"/>
    <w:basedOn w:val="42"/>
    <w:qFormat/>
    <w:uiPriority w:val="0"/>
    <w:rPr>
      <w:rFonts w:ascii="宋体" w:eastAsia="宋体"/>
      <w:sz w:val="24"/>
      <w:lang w:val="en-US" w:eastAsia="zh-CN" w:bidi="ar-SA"/>
    </w:rPr>
  </w:style>
  <w:style w:type="character" w:customStyle="1" w:styleId="118">
    <w:name w:val="正文文本－5号字 Char Char"/>
    <w:basedOn w:val="42"/>
    <w:qFormat/>
    <w:uiPriority w:val="0"/>
    <w:rPr>
      <w:rFonts w:eastAsia="宋体"/>
      <w:kern w:val="2"/>
      <w:sz w:val="24"/>
      <w:lang w:val="en-US" w:eastAsia="zh-CN" w:bidi="ar-SA"/>
    </w:rPr>
  </w:style>
  <w:style w:type="character" w:customStyle="1" w:styleId="119">
    <w:name w:val="表格－标题 Char"/>
    <w:link w:val="120"/>
    <w:qFormat/>
    <w:uiPriority w:val="0"/>
    <w:rPr>
      <w:rFonts w:ascii="宋体" w:hAnsi="宋体" w:eastAsia="宋体" w:cs="宋体"/>
      <w:b/>
      <w:spacing w:val="4"/>
      <w:kern w:val="2"/>
      <w:sz w:val="21"/>
      <w:szCs w:val="24"/>
      <w:lang w:val="en-US" w:eastAsia="zh-CN" w:bidi="ar-SA"/>
    </w:rPr>
  </w:style>
  <w:style w:type="paragraph" w:customStyle="1" w:styleId="120">
    <w:name w:val="表格－标题"/>
    <w:basedOn w:val="1"/>
    <w:link w:val="119"/>
    <w:qFormat/>
    <w:uiPriority w:val="0"/>
    <w:pPr>
      <w:spacing w:line="300" w:lineRule="exact"/>
      <w:jc w:val="center"/>
    </w:pPr>
    <w:rPr>
      <w:rFonts w:ascii="宋体" w:hAnsi="宋体" w:cs="宋体"/>
      <w:b/>
      <w:spacing w:val="4"/>
      <w:szCs w:val="24"/>
    </w:rPr>
  </w:style>
  <w:style w:type="character" w:customStyle="1" w:styleId="121">
    <w:name w:val="bds_more"/>
    <w:qFormat/>
    <w:uiPriority w:val="0"/>
    <w:rPr>
      <w:rFonts w:hint="eastAsia" w:ascii="宋体" w:hAnsi="宋体" w:eastAsia="宋体" w:cs="宋体"/>
    </w:rPr>
  </w:style>
  <w:style w:type="character" w:customStyle="1" w:styleId="122">
    <w:name w:val="bds_more1"/>
    <w:basedOn w:val="42"/>
    <w:qFormat/>
    <w:uiPriority w:val="0"/>
  </w:style>
  <w:style w:type="character" w:customStyle="1" w:styleId="123">
    <w:name w:val="正文首行缩进 2 + Times New Roman Char Char"/>
    <w:basedOn w:val="42"/>
    <w:qFormat/>
    <w:uiPriority w:val="0"/>
    <w:rPr>
      <w:rFonts w:eastAsia="宋体"/>
      <w:sz w:val="24"/>
      <w:szCs w:val="24"/>
      <w:lang w:val="en-US" w:eastAsia="zh-CN" w:bidi="ar-SA"/>
    </w:rPr>
  </w:style>
  <w:style w:type="character" w:customStyle="1" w:styleId="124">
    <w:name w:val="lh171"/>
    <w:basedOn w:val="42"/>
    <w:qFormat/>
    <w:uiPriority w:val="0"/>
    <w:rPr>
      <w:rFonts w:cs="Times New Roman"/>
      <w:sz w:val="24"/>
    </w:rPr>
  </w:style>
  <w:style w:type="character" w:customStyle="1" w:styleId="125">
    <w:name w:val="text"/>
    <w:basedOn w:val="42"/>
    <w:qFormat/>
    <w:uiPriority w:val="0"/>
    <w:rPr>
      <w:sz w:val="24"/>
    </w:rPr>
  </w:style>
  <w:style w:type="character" w:customStyle="1" w:styleId="126">
    <w:name w:val="bds_nopic1"/>
    <w:basedOn w:val="42"/>
    <w:qFormat/>
    <w:uiPriority w:val="0"/>
  </w:style>
  <w:style w:type="character" w:customStyle="1" w:styleId="127">
    <w:name w:val="表中文字 Char"/>
    <w:basedOn w:val="42"/>
    <w:link w:val="128"/>
    <w:qFormat/>
    <w:uiPriority w:val="0"/>
    <w:rPr>
      <w:rFonts w:ascii="宋体" w:hAnsi="宋体" w:cs="宋体"/>
      <w:b/>
      <w:color w:val="000000"/>
      <w:spacing w:val="4"/>
      <w:kern w:val="2"/>
      <w:sz w:val="21"/>
      <w:szCs w:val="24"/>
    </w:rPr>
  </w:style>
  <w:style w:type="paragraph" w:customStyle="1" w:styleId="128">
    <w:name w:val="表中文字"/>
    <w:basedOn w:val="1"/>
    <w:link w:val="127"/>
    <w:qFormat/>
    <w:uiPriority w:val="0"/>
    <w:pPr>
      <w:spacing w:line="300" w:lineRule="exact"/>
      <w:jc w:val="center"/>
    </w:pPr>
    <w:rPr>
      <w:rFonts w:ascii="宋体" w:hAnsi="宋体" w:eastAsia="宋体" w:cs="宋体"/>
      <w:b/>
      <w:color w:val="000000"/>
      <w:spacing w:val="4"/>
      <w:kern w:val="2"/>
      <w:sz w:val="21"/>
      <w:szCs w:val="24"/>
      <w:lang w:val="en-US" w:eastAsia="zh-CN" w:bidi="ar-SA"/>
    </w:rPr>
  </w:style>
  <w:style w:type="character" w:customStyle="1" w:styleId="129">
    <w:name w:val="fontstrikethrough"/>
    <w:basedOn w:val="42"/>
    <w:qFormat/>
    <w:uiPriority w:val="0"/>
    <w:rPr>
      <w:strike/>
    </w:rPr>
  </w:style>
  <w:style w:type="character" w:customStyle="1" w:styleId="130">
    <w:name w:val="fontborder"/>
    <w:basedOn w:val="42"/>
    <w:qFormat/>
    <w:uiPriority w:val="0"/>
    <w:rPr>
      <w:bdr w:val="single" w:color="000000" w:sz="6" w:space="0"/>
    </w:rPr>
  </w:style>
  <w:style w:type="character" w:customStyle="1" w:styleId="131">
    <w:name w:val="bds_nopic2"/>
    <w:basedOn w:val="42"/>
    <w:qFormat/>
    <w:uiPriority w:val="0"/>
  </w:style>
  <w:style w:type="character" w:customStyle="1" w:styleId="132">
    <w:name w:val="批注文字 Char1"/>
    <w:basedOn w:val="42"/>
    <w:semiHidden/>
    <w:qFormat/>
    <w:uiPriority w:val="99"/>
    <w:rPr>
      <w:rFonts w:ascii="Tahoma" w:hAnsi="Tahoma"/>
    </w:rPr>
  </w:style>
  <w:style w:type="character" w:customStyle="1" w:styleId="133">
    <w:name w:val="可研正文 Char Char Char"/>
    <w:qFormat/>
    <w:uiPriority w:val="0"/>
    <w:rPr>
      <w:rFonts w:ascii="宋体" w:eastAsia="宋体"/>
      <w:kern w:val="2"/>
      <w:sz w:val="28"/>
      <w:szCs w:val="24"/>
      <w:lang w:val="en-US" w:eastAsia="zh-CN" w:bidi="ar-SA"/>
    </w:rPr>
  </w:style>
  <w:style w:type="character" w:customStyle="1" w:styleId="134">
    <w:name w:val="current5"/>
    <w:qFormat/>
    <w:uiPriority w:val="0"/>
    <w:rPr>
      <w:b/>
      <w:color w:val="FFFFFF"/>
      <w:bdr w:val="single" w:color="B2283D" w:sz="6" w:space="0"/>
      <w:shd w:val="clear" w:color="auto" w:fill="B2283D"/>
    </w:rPr>
  </w:style>
  <w:style w:type="character" w:customStyle="1" w:styleId="135">
    <w:name w:val="正文－1.5行距－段后6磅 Char Char"/>
    <w:basedOn w:val="42"/>
    <w:qFormat/>
    <w:uiPriority w:val="0"/>
    <w:rPr>
      <w:rFonts w:ascii="Calibri" w:hAnsi="Calibri" w:eastAsia="宋体"/>
      <w:kern w:val="2"/>
      <w:sz w:val="24"/>
      <w:szCs w:val="21"/>
      <w:lang w:val="en-US" w:eastAsia="zh-CN" w:bidi="ar-SA"/>
    </w:rPr>
  </w:style>
  <w:style w:type="character" w:customStyle="1" w:styleId="136">
    <w:name w:val="bds_more2"/>
    <w:basedOn w:val="42"/>
    <w:qFormat/>
    <w:uiPriority w:val="0"/>
  </w:style>
  <w:style w:type="character" w:customStyle="1" w:styleId="137">
    <w:name w:val="正文首行缩进 2 + Times New Roman Char"/>
    <w:link w:val="138"/>
    <w:qFormat/>
    <w:uiPriority w:val="0"/>
    <w:rPr>
      <w:rFonts w:eastAsia="宋体"/>
      <w:sz w:val="24"/>
      <w:szCs w:val="24"/>
      <w:lang w:val="en-US" w:eastAsia="zh-CN" w:bidi="ar-SA"/>
    </w:rPr>
  </w:style>
  <w:style w:type="paragraph" w:customStyle="1" w:styleId="138">
    <w:name w:val="正文首行缩进 2 + Times New Roman"/>
    <w:basedOn w:val="1"/>
    <w:link w:val="137"/>
    <w:qFormat/>
    <w:uiPriority w:val="0"/>
    <w:pPr>
      <w:tabs>
        <w:tab w:val="left" w:pos="0"/>
        <w:tab w:val="left" w:pos="870"/>
        <w:tab w:val="left" w:pos="3150"/>
      </w:tabs>
      <w:autoSpaceDE w:val="0"/>
      <w:autoSpaceDN w:val="0"/>
      <w:adjustRightInd w:val="0"/>
      <w:snapToGrid w:val="0"/>
      <w:spacing w:line="360" w:lineRule="auto"/>
    </w:pPr>
    <w:rPr>
      <w:kern w:val="0"/>
      <w:sz w:val="24"/>
      <w:szCs w:val="24"/>
    </w:rPr>
  </w:style>
  <w:style w:type="character" w:customStyle="1" w:styleId="139">
    <w:name w:val="表1 Char"/>
    <w:basedOn w:val="42"/>
    <w:qFormat/>
    <w:uiPriority w:val="0"/>
    <w:rPr>
      <w:rFonts w:eastAsia="黑体"/>
      <w:color w:val="000000"/>
      <w:spacing w:val="10"/>
      <w:kern w:val="2"/>
      <w:sz w:val="24"/>
      <w:szCs w:val="21"/>
      <w:lang w:val="en-US" w:eastAsia="zh-CN" w:bidi="ar-SA"/>
    </w:rPr>
  </w:style>
  <w:style w:type="character" w:customStyle="1" w:styleId="140">
    <w:name w:val="标题3333 Char Char"/>
    <w:link w:val="141"/>
    <w:qFormat/>
    <w:uiPriority w:val="0"/>
    <w:rPr>
      <w:rFonts w:ascii="宋体" w:hAnsi="宋体" w:eastAsia="宋体" w:cs="宋体"/>
      <w:b/>
      <w:spacing w:val="4"/>
      <w:kern w:val="2"/>
      <w:sz w:val="24"/>
      <w:szCs w:val="24"/>
      <w:lang w:val="en-US" w:eastAsia="zh-CN" w:bidi="ar-SA"/>
    </w:rPr>
  </w:style>
  <w:style w:type="paragraph" w:customStyle="1" w:styleId="141">
    <w:name w:val="标题3333"/>
    <w:basedOn w:val="1"/>
    <w:link w:val="140"/>
    <w:qFormat/>
    <w:uiPriority w:val="0"/>
    <w:pPr>
      <w:spacing w:line="520" w:lineRule="exact"/>
      <w:jc w:val="left"/>
    </w:pPr>
    <w:rPr>
      <w:rFonts w:ascii="宋体" w:hAnsi="宋体" w:cs="宋体"/>
      <w:b/>
      <w:spacing w:val="4"/>
      <w:sz w:val="24"/>
      <w:szCs w:val="24"/>
    </w:rPr>
  </w:style>
  <w:style w:type="character" w:customStyle="1" w:styleId="142">
    <w:name w:val="yuedu1"/>
    <w:qFormat/>
    <w:uiPriority w:val="0"/>
    <w:rPr>
      <w:rFonts w:hint="default" w:ascii="_x000B__x000C_" w:hAnsi="_x000B__x000C_"/>
      <w:color w:val="000000"/>
      <w:sz w:val="21"/>
      <w:szCs w:val="21"/>
    </w:rPr>
  </w:style>
  <w:style w:type="character" w:customStyle="1" w:styleId="143">
    <w:name w:val="zy"/>
    <w:basedOn w:val="42"/>
    <w:qFormat/>
    <w:uiPriority w:val="0"/>
    <w:rPr>
      <w:sz w:val="24"/>
    </w:rPr>
  </w:style>
  <w:style w:type="paragraph" w:customStyle="1" w:styleId="144">
    <w:name w:val="正文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5">
    <w:name w:val="正文缩进 New New New New New"/>
    <w:basedOn w:val="1"/>
    <w:qFormat/>
    <w:uiPriority w:val="0"/>
    <w:pPr>
      <w:ind w:firstLine="420"/>
    </w:pPr>
  </w:style>
  <w:style w:type="paragraph" w:customStyle="1" w:styleId="146">
    <w:name w:val="表格内容自定"/>
    <w:basedOn w:val="1"/>
    <w:qFormat/>
    <w:uiPriority w:val="0"/>
    <w:pPr>
      <w:keepNext w:val="0"/>
      <w:keepLines w:val="0"/>
      <w:widowControl w:val="0"/>
      <w:suppressLineNumbers w:val="0"/>
      <w:spacing w:before="0" w:beforeAutospacing="0" w:after="0" w:afterAutospacing="0" w:line="280" w:lineRule="exact"/>
      <w:ind w:left="0" w:right="0"/>
      <w:jc w:val="center"/>
    </w:pPr>
    <w:rPr>
      <w:rFonts w:hint="default" w:ascii="Times New Roman" w:hAnsi="Times New Roman" w:eastAsia="宋体" w:cs="Times New Roman"/>
      <w:kern w:val="0"/>
      <w:sz w:val="18"/>
      <w:szCs w:val="21"/>
      <w:lang w:val="en-US" w:eastAsia="zh-CN" w:bidi="ar"/>
    </w:rPr>
  </w:style>
  <w:style w:type="paragraph" w:customStyle="1" w:styleId="147">
    <w:name w:val="正文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8">
    <w:name w:val="Body Text First Indent"/>
    <w:basedOn w:val="8"/>
    <w:qFormat/>
    <w:uiPriority w:val="0"/>
    <w:pPr>
      <w:ind w:firstLine="420" w:firstLineChars="100"/>
    </w:pPr>
  </w:style>
  <w:style w:type="paragraph" w:customStyle="1" w:styleId="149">
    <w:name w:val="正文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0">
    <w:name w:val=" Char Char1 Char"/>
    <w:basedOn w:val="1"/>
    <w:qFormat/>
    <w:uiPriority w:val="0"/>
    <w:pPr>
      <w:spacing w:line="360" w:lineRule="auto"/>
      <w:ind w:firstLine="200" w:firstLineChars="200"/>
    </w:pPr>
  </w:style>
  <w:style w:type="paragraph" w:customStyle="1" w:styleId="151">
    <w:name w:val="Char2 Char Char Char Char Char Char"/>
    <w:basedOn w:val="1"/>
    <w:qFormat/>
    <w:uiPriority w:val="0"/>
    <w:pPr>
      <w:autoSpaceDE w:val="0"/>
      <w:autoSpaceDN w:val="0"/>
      <w:adjustRightInd w:val="0"/>
      <w:snapToGrid w:val="0"/>
      <w:spacing w:before="50" w:after="50" w:line="360" w:lineRule="auto"/>
      <w:ind w:firstLine="560" w:firstLineChars="200"/>
    </w:pPr>
    <w:rPr>
      <w:rFonts w:ascii="Tahoma" w:hAnsi="Tahoma" w:eastAsia="Times New Roman"/>
      <w:kern w:val="0"/>
      <w:sz w:val="24"/>
    </w:rPr>
  </w:style>
  <w:style w:type="paragraph" w:customStyle="1" w:styleId="152">
    <w:name w:val="T表格"/>
    <w:qFormat/>
    <w:uiPriority w:val="0"/>
    <w:pPr>
      <w:adjustRightInd w:val="0"/>
      <w:snapToGrid w:val="0"/>
      <w:spacing w:line="360" w:lineRule="auto"/>
      <w:jc w:val="center"/>
    </w:pPr>
    <w:rPr>
      <w:rFonts w:ascii="Times New Roman" w:hAnsi="Times New Roman" w:eastAsia="宋体" w:cs="Times New Roman"/>
      <w:color w:val="000000"/>
      <w:sz w:val="21"/>
      <w:szCs w:val="21"/>
      <w:lang w:val="en-US" w:eastAsia="zh-CN" w:bidi="ar-SA"/>
    </w:rPr>
  </w:style>
  <w:style w:type="paragraph" w:customStyle="1" w:styleId="153">
    <w:name w:val="页眉 New New New New"/>
    <w:basedOn w:val="154"/>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customStyle="1" w:styleId="154">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5">
    <w:name w:val="页脚 New New New New New New"/>
    <w:basedOn w:val="1"/>
    <w:qFormat/>
    <w:uiPriority w:val="0"/>
    <w:pPr>
      <w:tabs>
        <w:tab w:val="center" w:pos="4153"/>
        <w:tab w:val="right" w:pos="8306"/>
      </w:tabs>
      <w:snapToGrid w:val="0"/>
      <w:jc w:val="left"/>
    </w:pPr>
    <w:rPr>
      <w:sz w:val="18"/>
    </w:rPr>
  </w:style>
  <w:style w:type="paragraph" w:customStyle="1" w:styleId="156">
    <w:name w:val="正文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7">
    <w:name w:val="正文首行缩近"/>
    <w:qFormat/>
    <w:uiPriority w:val="0"/>
    <w:pPr>
      <w:adjustRightInd w:val="0"/>
      <w:snapToGrid w:val="0"/>
      <w:spacing w:line="360" w:lineRule="auto"/>
      <w:ind w:firstLine="480" w:firstLineChars="200"/>
      <w:jc w:val="both"/>
    </w:pPr>
    <w:rPr>
      <w:rFonts w:ascii="Times New Roman" w:hAnsi="Times New Roman" w:eastAsia="宋体" w:cs="Times New Roman"/>
      <w:sz w:val="24"/>
      <w:lang w:val="en-US" w:eastAsia="zh-CN" w:bidi="ar-SA"/>
    </w:rPr>
  </w:style>
  <w:style w:type="paragraph" w:customStyle="1" w:styleId="158">
    <w:name w:val="正文缩进 New New New"/>
    <w:basedOn w:val="1"/>
    <w:qFormat/>
    <w:uiPriority w:val="0"/>
    <w:pPr>
      <w:ind w:firstLine="420"/>
    </w:pPr>
  </w:style>
  <w:style w:type="paragraph" w:customStyle="1" w:styleId="159">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0">
    <w:name w:val="正文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1">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2">
    <w:name w:val="p0"/>
    <w:basedOn w:val="1"/>
    <w:qFormat/>
    <w:uiPriority w:val="0"/>
    <w:pPr>
      <w:widowControl/>
    </w:pPr>
    <w:rPr>
      <w:kern w:val="0"/>
      <w:szCs w:val="21"/>
    </w:rPr>
  </w:style>
  <w:style w:type="paragraph" w:customStyle="1" w:styleId="163">
    <w:name w:val="海尔正文 New New New New New"/>
    <w:basedOn w:val="1"/>
    <w:qFormat/>
    <w:uiPriority w:val="0"/>
    <w:pPr>
      <w:spacing w:line="360" w:lineRule="auto"/>
      <w:ind w:firstLine="560" w:firstLineChars="200"/>
    </w:pPr>
    <w:rPr>
      <w:rFonts w:ascii="宋体" w:hAnsi="宋体" w:cs="宋体"/>
      <w:sz w:val="28"/>
      <w:szCs w:val="24"/>
      <w:shd w:val="clear" w:color="auto" w:fill="FFFFFF"/>
    </w:rPr>
  </w:style>
  <w:style w:type="paragraph" w:customStyle="1" w:styleId="164">
    <w:name w:val="中文报告书样式"/>
    <w:basedOn w:val="1"/>
    <w:qFormat/>
    <w:uiPriority w:val="0"/>
    <w:pPr>
      <w:adjustRightInd w:val="0"/>
      <w:spacing w:line="480" w:lineRule="atLeast"/>
      <w:ind w:firstLine="482"/>
      <w:textAlignment w:val="baseline"/>
    </w:pPr>
    <w:rPr>
      <w:kern w:val="24"/>
      <w:sz w:val="24"/>
    </w:rPr>
  </w:style>
  <w:style w:type="paragraph" w:customStyle="1" w:styleId="165">
    <w:name w:val="正文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6">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7">
    <w:name w:val=" Char Char Char1 Char Char Char1 Char Char Char Char Char Char Char Char Char Char Char Char1 Char Char Char Char Char Char Char"/>
    <w:basedOn w:val="1"/>
    <w:qFormat/>
    <w:uiPriority w:val="0"/>
    <w:pPr>
      <w:widowControl/>
      <w:spacing w:after="160" w:line="240" w:lineRule="exact"/>
      <w:jc w:val="left"/>
    </w:pPr>
  </w:style>
  <w:style w:type="paragraph" w:customStyle="1" w:styleId="168">
    <w:name w:val="普通(网站) New"/>
    <w:basedOn w:val="169"/>
    <w:qFormat/>
    <w:uiPriority w:val="0"/>
    <w:pPr>
      <w:widowControl/>
      <w:spacing w:before="100" w:beforeAutospacing="1" w:after="100" w:afterAutospacing="1"/>
      <w:jc w:val="left"/>
    </w:pPr>
    <w:rPr>
      <w:rFonts w:ascii="宋体" w:hAnsi="宋体"/>
      <w:kern w:val="0"/>
      <w:sz w:val="24"/>
      <w:szCs w:val="24"/>
    </w:rPr>
  </w:style>
  <w:style w:type="paragraph" w:customStyle="1" w:styleId="169">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0">
    <w:name w:val="Default New"/>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71">
    <w:name w:val="正文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2">
    <w:name w:val="正文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3">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4">
    <w:name w:val="正文缩进 New New New New"/>
    <w:basedOn w:val="1"/>
    <w:qFormat/>
    <w:uiPriority w:val="0"/>
    <w:pPr>
      <w:ind w:firstLine="420"/>
    </w:pPr>
  </w:style>
  <w:style w:type="paragraph" w:customStyle="1" w:styleId="175">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6">
    <w:name w:val="报告正文 New New New New"/>
    <w:basedOn w:val="20"/>
    <w:qFormat/>
    <w:uiPriority w:val="0"/>
    <w:pPr>
      <w:spacing w:line="600" w:lineRule="exact"/>
      <w:ind w:firstLine="567"/>
    </w:pPr>
    <w:rPr>
      <w:rFonts w:hAnsi="宋体" w:cs="Times New Roman"/>
      <w:sz w:val="28"/>
      <w:szCs w:val="28"/>
    </w:rPr>
  </w:style>
  <w:style w:type="paragraph" w:customStyle="1" w:styleId="177">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8">
    <w:name w:val="海尔正文 New New New New New New New New New New"/>
    <w:basedOn w:val="1"/>
    <w:qFormat/>
    <w:uiPriority w:val="0"/>
    <w:pPr>
      <w:spacing w:line="360" w:lineRule="auto"/>
      <w:ind w:firstLine="560" w:firstLineChars="200"/>
    </w:pPr>
    <w:rPr>
      <w:rFonts w:ascii="宋体" w:hAnsi="宋体" w:cs="宋体"/>
      <w:sz w:val="28"/>
      <w:szCs w:val="24"/>
      <w:shd w:val="clear" w:color="auto" w:fill="FFFFFF"/>
    </w:rPr>
  </w:style>
  <w:style w:type="paragraph" w:customStyle="1" w:styleId="179">
    <w:name w:val="页脚 New New"/>
    <w:basedOn w:val="1"/>
    <w:qFormat/>
    <w:uiPriority w:val="0"/>
    <w:pPr>
      <w:tabs>
        <w:tab w:val="center" w:pos="4153"/>
        <w:tab w:val="right" w:pos="8306"/>
      </w:tabs>
      <w:snapToGrid w:val="0"/>
      <w:jc w:val="left"/>
    </w:pPr>
    <w:rPr>
      <w:sz w:val="18"/>
      <w:szCs w:val="18"/>
    </w:rPr>
  </w:style>
  <w:style w:type="paragraph" w:customStyle="1" w:styleId="180">
    <w:name w:val="纯文本1"/>
    <w:basedOn w:val="1"/>
    <w:qFormat/>
    <w:uiPriority w:val="0"/>
    <w:rPr>
      <w:rFonts w:ascii="宋体" w:hAnsi="Courier New"/>
      <w:b/>
      <w:sz w:val="24"/>
      <w:szCs w:val="24"/>
    </w:rPr>
  </w:style>
  <w:style w:type="paragraph" w:customStyle="1" w:styleId="181">
    <w:name w:val="报告表正文"/>
    <w:basedOn w:val="1"/>
    <w:qFormat/>
    <w:uiPriority w:val="0"/>
    <w:pPr>
      <w:spacing w:line="312" w:lineRule="auto"/>
      <w:ind w:left="113" w:right="113" w:firstLine="482"/>
      <w:textAlignment w:val="baseline"/>
    </w:pPr>
    <w:rPr>
      <w:sz w:val="24"/>
    </w:rPr>
  </w:style>
  <w:style w:type="paragraph" w:customStyle="1" w:styleId="182">
    <w:name w:val="正文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3">
    <w:name w:val="海尔正文 New"/>
    <w:basedOn w:val="1"/>
    <w:qFormat/>
    <w:uiPriority w:val="0"/>
    <w:pPr>
      <w:spacing w:line="360" w:lineRule="auto"/>
      <w:ind w:firstLine="560" w:firstLineChars="200"/>
    </w:pPr>
    <w:rPr>
      <w:rFonts w:ascii="宋体" w:hAnsi="宋体" w:cs="宋体"/>
      <w:sz w:val="28"/>
      <w:szCs w:val="24"/>
    </w:rPr>
  </w:style>
  <w:style w:type="paragraph" w:customStyle="1" w:styleId="184">
    <w:name w:val="正文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5">
    <w:name w:val="正文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6">
    <w:name w:val="页脚 New New New New New New New"/>
    <w:basedOn w:val="169"/>
    <w:qFormat/>
    <w:uiPriority w:val="0"/>
    <w:pPr>
      <w:tabs>
        <w:tab w:val="center" w:pos="4153"/>
        <w:tab w:val="right" w:pos="8306"/>
      </w:tabs>
      <w:adjustRightInd w:val="0"/>
      <w:ind w:firstLine="680"/>
      <w:jc w:val="left"/>
      <w:textAlignment w:val="baseline"/>
    </w:pPr>
    <w:rPr>
      <w:rFonts w:eastAsia="仿宋_GB2312"/>
      <w:kern w:val="0"/>
      <w:sz w:val="18"/>
    </w:rPr>
  </w:style>
  <w:style w:type="paragraph" w:customStyle="1" w:styleId="187">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8">
    <w:name w:val="页眉 New New New New New New New New"/>
    <w:basedOn w:val="166"/>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customStyle="1" w:styleId="189">
    <w:name w:val="页脚 New New New New New"/>
    <w:basedOn w:val="1"/>
    <w:qFormat/>
    <w:uiPriority w:val="0"/>
    <w:pPr>
      <w:tabs>
        <w:tab w:val="center" w:pos="4153"/>
        <w:tab w:val="right" w:pos="8306"/>
      </w:tabs>
      <w:snapToGrid w:val="0"/>
      <w:jc w:val="left"/>
    </w:pPr>
    <w:rPr>
      <w:sz w:val="18"/>
      <w:szCs w:val="18"/>
    </w:rPr>
  </w:style>
  <w:style w:type="paragraph" w:customStyle="1" w:styleId="190">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1">
    <w:name w:val="正文文本缩进 3 New"/>
    <w:basedOn w:val="1"/>
    <w:qFormat/>
    <w:uiPriority w:val="0"/>
    <w:pPr>
      <w:spacing w:line="360" w:lineRule="auto"/>
      <w:ind w:firstLine="560" w:firstLineChars="200"/>
    </w:pPr>
    <w:rPr>
      <w:rFonts w:ascii="仿宋_GB2312" w:hAnsi="Arial" w:eastAsia="仿宋_GB2312" w:cs="Arial"/>
      <w:sz w:val="28"/>
      <w:szCs w:val="24"/>
    </w:rPr>
  </w:style>
  <w:style w:type="paragraph" w:customStyle="1" w:styleId="192">
    <w:name w:val="正文缩进 New New"/>
    <w:basedOn w:val="1"/>
    <w:qFormat/>
    <w:uiPriority w:val="0"/>
    <w:pPr>
      <w:ind w:firstLine="420"/>
    </w:pPr>
  </w:style>
  <w:style w:type="paragraph" w:customStyle="1" w:styleId="193">
    <w:name w:val=" 字元 字元"/>
    <w:basedOn w:val="1"/>
    <w:qFormat/>
    <w:uiPriority w:val="0"/>
    <w:rPr>
      <w:szCs w:val="24"/>
    </w:rPr>
  </w:style>
  <w:style w:type="paragraph" w:customStyle="1" w:styleId="194">
    <w:name w:val=" Char Char Char Char Char Char Char Char Char1 Char Char Char Char"/>
    <w:basedOn w:val="1"/>
    <w:qFormat/>
    <w:uiPriority w:val="0"/>
  </w:style>
  <w:style w:type="paragraph" w:customStyle="1" w:styleId="195">
    <w:name w:val="正文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6">
    <w:name w:val="表格文字"/>
    <w:basedOn w:val="1"/>
    <w:qFormat/>
    <w:uiPriority w:val="0"/>
    <w:pPr>
      <w:adjustRightInd w:val="0"/>
      <w:snapToGrid w:val="0"/>
      <w:jc w:val="center"/>
    </w:pPr>
    <w:rPr>
      <w:rFonts w:ascii="仿宋_GB2312" w:hAnsi="Arial Black" w:eastAsia="仿宋_GB2312"/>
      <w:kern w:val="44"/>
      <w:sz w:val="24"/>
    </w:rPr>
  </w:style>
  <w:style w:type="paragraph" w:customStyle="1" w:styleId="197">
    <w:name w:val="海尔正文 New New New New"/>
    <w:basedOn w:val="1"/>
    <w:qFormat/>
    <w:uiPriority w:val="0"/>
    <w:pPr>
      <w:spacing w:line="360" w:lineRule="auto"/>
      <w:ind w:firstLine="560" w:firstLineChars="200"/>
    </w:pPr>
    <w:rPr>
      <w:rFonts w:ascii="宋体" w:hAnsi="宋体" w:cs="宋体"/>
      <w:sz w:val="28"/>
      <w:szCs w:val="24"/>
    </w:rPr>
  </w:style>
  <w:style w:type="paragraph" w:customStyle="1" w:styleId="198">
    <w:name w:val="正文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0">
    <w:name w:val="正文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1">
    <w:name w:val="Default New New New"/>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02">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03">
    <w:name w:val="List Paragraph"/>
    <w:basedOn w:val="1"/>
    <w:qFormat/>
    <w:uiPriority w:val="0"/>
    <w:pPr>
      <w:spacing w:line="500" w:lineRule="exact"/>
      <w:ind w:firstLine="420" w:firstLineChars="200"/>
    </w:pPr>
    <w:rPr>
      <w:sz w:val="24"/>
    </w:rPr>
  </w:style>
  <w:style w:type="paragraph" w:customStyle="1" w:styleId="204">
    <w:name w:val="正文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5">
    <w:name w:val="表内文字"/>
    <w:basedOn w:val="1"/>
    <w:qFormat/>
    <w:uiPriority w:val="0"/>
    <w:pPr>
      <w:widowControl/>
      <w:adjustRightInd w:val="0"/>
      <w:snapToGrid w:val="0"/>
      <w:jc w:val="center"/>
      <w:textAlignment w:val="baseline"/>
    </w:pPr>
    <w:rPr>
      <w:b/>
      <w:snapToGrid w:val="0"/>
      <w:color w:val="000000"/>
      <w:kern w:val="0"/>
      <w:szCs w:val="21"/>
    </w:rPr>
  </w:style>
  <w:style w:type="paragraph" w:customStyle="1" w:styleId="206">
    <w:name w:val="List Paragraph1"/>
    <w:qFormat/>
    <w:uiPriority w:val="0"/>
    <w:pPr>
      <w:ind w:firstLine="420" w:firstLineChars="200"/>
    </w:pPr>
    <w:rPr>
      <w:rFonts w:ascii="Times New Roman" w:hAnsi="Times New Roman" w:eastAsia="宋体" w:cs="Times New Roman"/>
      <w:lang w:val="en-US" w:eastAsia="zh-CN" w:bidi="ar-SA"/>
    </w:rPr>
  </w:style>
  <w:style w:type="paragraph" w:customStyle="1" w:styleId="207">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8">
    <w:name w:val="正文样式2"/>
    <w:basedOn w:val="1"/>
    <w:qFormat/>
    <w:uiPriority w:val="0"/>
    <w:pPr>
      <w:adjustRightInd w:val="0"/>
      <w:snapToGrid w:val="0"/>
      <w:spacing w:line="360" w:lineRule="auto"/>
      <w:ind w:firstLine="510"/>
      <w:textAlignment w:val="baseline"/>
    </w:pPr>
    <w:rPr>
      <w:rFonts w:ascii="宋体"/>
      <w:kern w:val="24"/>
      <w:sz w:val="24"/>
    </w:rPr>
  </w:style>
  <w:style w:type="paragraph" w:customStyle="1" w:styleId="209">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0">
    <w:name w:val="页眉 New New New New New New New"/>
    <w:basedOn w:val="173"/>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customStyle="1" w:styleId="211">
    <w:name w:val="正文缩进 New New New New New New New"/>
    <w:basedOn w:val="1"/>
    <w:qFormat/>
    <w:uiPriority w:val="0"/>
    <w:pPr>
      <w:ind w:firstLine="420"/>
    </w:pPr>
  </w:style>
  <w:style w:type="paragraph" w:customStyle="1" w:styleId="212">
    <w:name w:val="正文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3">
    <w:name w:val="海尔正文 New New New New New New New New New"/>
    <w:basedOn w:val="1"/>
    <w:qFormat/>
    <w:uiPriority w:val="0"/>
    <w:pPr>
      <w:spacing w:line="360" w:lineRule="auto"/>
      <w:ind w:firstLine="560" w:firstLineChars="200"/>
    </w:pPr>
    <w:rPr>
      <w:rFonts w:ascii="宋体" w:hAnsi="宋体" w:cs="宋体"/>
      <w:sz w:val="28"/>
      <w:szCs w:val="24"/>
      <w:shd w:val="clear" w:color="auto" w:fill="FFFFFF"/>
    </w:rPr>
  </w:style>
  <w:style w:type="paragraph" w:customStyle="1" w:styleId="214">
    <w:name w:val="样式3"/>
    <w:basedOn w:val="1"/>
    <w:qFormat/>
    <w:uiPriority w:val="0"/>
    <w:pPr>
      <w:autoSpaceDE w:val="0"/>
      <w:autoSpaceDN w:val="0"/>
      <w:snapToGrid w:val="0"/>
      <w:spacing w:before="120" w:line="460" w:lineRule="atLeast"/>
      <w:jc w:val="center"/>
    </w:pPr>
    <w:rPr>
      <w:rFonts w:eastAsia="黑体"/>
      <w:sz w:val="28"/>
      <w:szCs w:val="24"/>
    </w:rPr>
  </w:style>
  <w:style w:type="paragraph" w:customStyle="1" w:styleId="215">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6">
    <w:name w:val="页脚 New New New New"/>
    <w:basedOn w:val="1"/>
    <w:qFormat/>
    <w:uiPriority w:val="0"/>
    <w:pPr>
      <w:tabs>
        <w:tab w:val="center" w:pos="4153"/>
        <w:tab w:val="right" w:pos="8306"/>
      </w:tabs>
      <w:snapToGrid w:val="0"/>
      <w:jc w:val="left"/>
    </w:pPr>
    <w:rPr>
      <w:sz w:val="18"/>
      <w:szCs w:val="18"/>
    </w:rPr>
  </w:style>
  <w:style w:type="paragraph" w:customStyle="1" w:styleId="217">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8">
    <w:name w:val="正文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9">
    <w:name w:val="Char Char Char Char"/>
    <w:basedOn w:val="1"/>
    <w:qFormat/>
    <w:uiPriority w:val="0"/>
    <w:rPr>
      <w:szCs w:val="24"/>
    </w:rPr>
  </w:style>
  <w:style w:type="paragraph" w:customStyle="1" w:styleId="220">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1">
    <w:name w:val="报告标题3"/>
    <w:basedOn w:val="2"/>
    <w:next w:val="222"/>
    <w:qFormat/>
    <w:uiPriority w:val="0"/>
    <w:pPr>
      <w:spacing w:before="260" w:after="260" w:line="580" w:lineRule="exact"/>
    </w:pPr>
    <w:rPr>
      <w:rFonts w:ascii="Arial" w:hAnsi="Arial" w:eastAsia="黑体"/>
      <w:bCs/>
      <w:sz w:val="28"/>
      <w:szCs w:val="28"/>
    </w:rPr>
  </w:style>
  <w:style w:type="paragraph" w:customStyle="1" w:styleId="222">
    <w:name w:val="报告正文 New New New New New"/>
    <w:basedOn w:val="20"/>
    <w:qFormat/>
    <w:uiPriority w:val="0"/>
    <w:pPr>
      <w:spacing w:line="600" w:lineRule="exact"/>
      <w:ind w:firstLine="567"/>
    </w:pPr>
    <w:rPr>
      <w:rFonts w:hAnsi="宋体" w:cs="Times New Roman"/>
      <w:sz w:val="28"/>
      <w:szCs w:val="28"/>
    </w:rPr>
  </w:style>
  <w:style w:type="paragraph" w:customStyle="1" w:styleId="223">
    <w:name w:val="正文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4">
    <w:name w:val="报告正文 New New"/>
    <w:qFormat/>
    <w:uiPriority w:val="0"/>
    <w:pPr>
      <w:spacing w:line="600" w:lineRule="exact"/>
      <w:ind w:firstLine="567"/>
    </w:pPr>
    <w:rPr>
      <w:rFonts w:ascii="宋体" w:hAnsi="宋体" w:eastAsia="宋体" w:cs="Times New Roman"/>
      <w:kern w:val="2"/>
      <w:sz w:val="28"/>
      <w:szCs w:val="28"/>
      <w:lang w:val="en-US" w:eastAsia="zh-CN" w:bidi="ar-SA"/>
    </w:rPr>
  </w:style>
  <w:style w:type="paragraph" w:customStyle="1" w:styleId="225">
    <w:name w:val=" 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Cs w:val="24"/>
    </w:rPr>
  </w:style>
  <w:style w:type="paragraph" w:customStyle="1" w:styleId="226">
    <w:name w:val="页眉 New New New New New New New New New"/>
    <w:basedOn w:val="217"/>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customStyle="1" w:styleId="227">
    <w:name w:val="表格001"/>
    <w:basedOn w:val="1"/>
    <w:qFormat/>
    <w:uiPriority w:val="0"/>
    <w:pPr>
      <w:jc w:val="center"/>
    </w:pPr>
  </w:style>
  <w:style w:type="paragraph" w:customStyle="1" w:styleId="228">
    <w:name w:val="建议书正文"/>
    <w:basedOn w:val="1"/>
    <w:qFormat/>
    <w:uiPriority w:val="0"/>
    <w:pPr>
      <w:spacing w:line="360" w:lineRule="auto"/>
      <w:ind w:firstLine="560" w:firstLineChars="200"/>
    </w:pPr>
    <w:rPr>
      <w:rFonts w:ascii="宋体" w:hAnsi="宋体" w:cs="宋体"/>
      <w:sz w:val="28"/>
    </w:rPr>
  </w:style>
  <w:style w:type="paragraph" w:customStyle="1" w:styleId="229">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0">
    <w:name w:val="页眉 New New New New New"/>
    <w:basedOn w:val="156"/>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customStyle="1" w:styleId="231">
    <w:name w:val="1 Char Char Char Char Char Char Char Char Char Char Char Char Char"/>
    <w:basedOn w:val="1"/>
    <w:qFormat/>
    <w:uiPriority w:val="0"/>
  </w:style>
  <w:style w:type="paragraph" w:customStyle="1" w:styleId="232">
    <w:name w:val="报告标题2"/>
    <w:basedOn w:val="4"/>
    <w:qFormat/>
    <w:uiPriority w:val="0"/>
    <w:pPr>
      <w:spacing w:line="600" w:lineRule="exact"/>
    </w:pPr>
  </w:style>
  <w:style w:type="paragraph" w:customStyle="1" w:styleId="233">
    <w:name w:val=" Char Char Char Char Char Char Char Char Char Char Char Char Char Char Char Char Char Char Char"/>
    <w:basedOn w:val="1"/>
    <w:qFormat/>
    <w:uiPriority w:val="0"/>
    <w:rPr>
      <w:rFonts w:eastAsia="仿宋_GB2312"/>
      <w:sz w:val="24"/>
      <w:szCs w:val="24"/>
    </w:rPr>
  </w:style>
  <w:style w:type="paragraph" w:customStyle="1" w:styleId="234">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5">
    <w:name w:val=" Char Char Char Char Char Char Char Char Char Char Char Char Char Char Char Char Char Char"/>
    <w:basedOn w:val="1"/>
    <w:qFormat/>
    <w:uiPriority w:val="0"/>
    <w:rPr>
      <w:szCs w:val="24"/>
    </w:rPr>
  </w:style>
  <w:style w:type="paragraph" w:customStyle="1" w:styleId="236">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7">
    <w:name w:val="正文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8">
    <w:name w:val="正文001"/>
    <w:basedOn w:val="1"/>
    <w:qFormat/>
    <w:uiPriority w:val="0"/>
    <w:pPr>
      <w:spacing w:before="60" w:line="420" w:lineRule="exact"/>
      <w:ind w:firstLine="482"/>
    </w:pPr>
    <w:rPr>
      <w:sz w:val="24"/>
    </w:rPr>
  </w:style>
  <w:style w:type="paragraph" w:customStyle="1" w:styleId="239">
    <w:name w:val="报告正文 New New New New New New"/>
    <w:basedOn w:val="20"/>
    <w:qFormat/>
    <w:uiPriority w:val="0"/>
    <w:pPr>
      <w:spacing w:line="600" w:lineRule="exact"/>
      <w:ind w:firstLine="567"/>
    </w:pPr>
    <w:rPr>
      <w:rFonts w:hAnsi="宋体" w:cs="Times New Roman"/>
      <w:sz w:val="28"/>
      <w:szCs w:val="28"/>
    </w:rPr>
  </w:style>
  <w:style w:type="paragraph" w:customStyle="1" w:styleId="240">
    <w:name w:val="报告正文 New New New"/>
    <w:basedOn w:val="20"/>
    <w:qFormat/>
    <w:uiPriority w:val="0"/>
    <w:pPr>
      <w:spacing w:line="600" w:lineRule="exact"/>
      <w:ind w:firstLine="567"/>
    </w:pPr>
    <w:rPr>
      <w:rFonts w:hAnsi="宋体" w:cs="Times New Roman"/>
      <w:sz w:val="28"/>
      <w:szCs w:val="28"/>
    </w:rPr>
  </w:style>
  <w:style w:type="paragraph" w:customStyle="1" w:styleId="241">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2">
    <w:name w:val="样式1"/>
    <w:basedOn w:val="26"/>
    <w:qFormat/>
    <w:uiPriority w:val="0"/>
    <w:pPr>
      <w:spacing w:line="360" w:lineRule="auto"/>
      <w:ind w:firstLine="510"/>
    </w:pPr>
    <w:rPr>
      <w:sz w:val="24"/>
    </w:rPr>
  </w:style>
  <w:style w:type="paragraph" w:customStyle="1" w:styleId="243">
    <w:name w:val="Heading 6"/>
    <w:basedOn w:val="1"/>
    <w:qFormat/>
    <w:uiPriority w:val="1"/>
    <w:pPr>
      <w:widowControl/>
      <w:ind w:left="746"/>
      <w:jc w:val="left"/>
      <w:outlineLvl w:val="6"/>
    </w:pPr>
    <w:rPr>
      <w:rFonts w:ascii="微软雅黑" w:hAnsi="微软雅黑" w:eastAsia="微软雅黑" w:cs="微软雅黑"/>
      <w:b/>
      <w:bCs/>
      <w:kern w:val="0"/>
      <w:sz w:val="24"/>
      <w:szCs w:val="24"/>
      <w:lang w:eastAsia="en-US"/>
    </w:rPr>
  </w:style>
  <w:style w:type="paragraph" w:customStyle="1" w:styleId="244">
    <w:name w:val="正文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5">
    <w:name w:val="正文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6">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7">
    <w:name w:val="正文 New New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8">
    <w:name w:val="页眉 New New New"/>
    <w:basedOn w:val="200"/>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customStyle="1" w:styleId="249">
    <w:name w:val="正文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0">
    <w:name w:val="xl24"/>
    <w:basedOn w:val="1"/>
    <w:qFormat/>
    <w:uiPriority w:val="0"/>
    <w:pPr>
      <w:widowControl/>
      <w:spacing w:before="100" w:beforeAutospacing="1" w:after="100" w:afterAutospacing="1"/>
      <w:jc w:val="left"/>
      <w:textAlignment w:val="center"/>
    </w:pPr>
    <w:rPr>
      <w:rFonts w:eastAsia="Arial Unicode MS"/>
      <w:kern w:val="0"/>
      <w:sz w:val="20"/>
    </w:rPr>
  </w:style>
  <w:style w:type="paragraph" w:customStyle="1" w:styleId="251">
    <w:name w:val="法规"/>
    <w:basedOn w:val="1"/>
    <w:qFormat/>
    <w:uiPriority w:val="0"/>
    <w:pPr>
      <w:tabs>
        <w:tab w:val="left" w:pos="400"/>
      </w:tabs>
      <w:spacing w:line="440" w:lineRule="exact"/>
      <w:ind w:firstLine="400"/>
    </w:pPr>
    <w:rPr>
      <w:sz w:val="25"/>
    </w:rPr>
  </w:style>
  <w:style w:type="paragraph" w:customStyle="1" w:styleId="252">
    <w:name w:val="海尔正文 New New"/>
    <w:basedOn w:val="1"/>
    <w:qFormat/>
    <w:uiPriority w:val="0"/>
    <w:pPr>
      <w:spacing w:line="360" w:lineRule="auto"/>
      <w:ind w:firstLine="560" w:firstLineChars="200"/>
    </w:pPr>
    <w:rPr>
      <w:rFonts w:ascii="宋体" w:hAnsi="宋体" w:cs="宋体"/>
      <w:sz w:val="28"/>
      <w:szCs w:val="24"/>
    </w:rPr>
  </w:style>
  <w:style w:type="paragraph" w:customStyle="1" w:styleId="253">
    <w:name w:val="标题1"/>
    <w:basedOn w:val="3"/>
    <w:qFormat/>
    <w:uiPriority w:val="0"/>
    <w:pPr>
      <w:tabs>
        <w:tab w:val="center" w:pos="4394"/>
      </w:tabs>
      <w:adjustRightInd w:val="0"/>
      <w:spacing w:before="0" w:after="120" w:line="360" w:lineRule="auto"/>
      <w:jc w:val="center"/>
    </w:pPr>
    <w:rPr>
      <w:rFonts w:ascii="黑体" w:hAnsi="宋体" w:eastAsia="黑体"/>
      <w:b w:val="0"/>
      <w:sz w:val="36"/>
      <w:szCs w:val="32"/>
    </w:rPr>
  </w:style>
  <w:style w:type="paragraph" w:customStyle="1" w:styleId="254">
    <w:name w:val="海尔正文 New New New New New New New New"/>
    <w:basedOn w:val="1"/>
    <w:qFormat/>
    <w:uiPriority w:val="0"/>
    <w:pPr>
      <w:spacing w:line="360" w:lineRule="auto"/>
      <w:ind w:firstLine="560" w:firstLineChars="200"/>
    </w:pPr>
    <w:rPr>
      <w:rFonts w:ascii="宋体" w:hAnsi="宋体" w:cs="宋体"/>
      <w:sz w:val="28"/>
      <w:szCs w:val="24"/>
      <w:shd w:val="clear" w:color="auto" w:fill="FFFFFF"/>
    </w:rPr>
  </w:style>
  <w:style w:type="paragraph" w:customStyle="1" w:styleId="255">
    <w:name w:val=" Char Char1 Char Char Char Char Char Char"/>
    <w:basedOn w:val="1"/>
    <w:qFormat/>
    <w:uiPriority w:val="0"/>
  </w:style>
  <w:style w:type="paragraph" w:customStyle="1" w:styleId="256">
    <w:name w:val="报告书表格"/>
    <w:basedOn w:val="1"/>
    <w:qFormat/>
    <w:uiPriority w:val="0"/>
    <w:pPr>
      <w:adjustRightInd w:val="0"/>
      <w:snapToGrid w:val="0"/>
      <w:spacing w:line="400" w:lineRule="exact"/>
      <w:jc w:val="center"/>
      <w:textAlignment w:val="baseline"/>
    </w:pPr>
    <w:rPr>
      <w:kern w:val="0"/>
    </w:rPr>
  </w:style>
  <w:style w:type="paragraph" w:customStyle="1" w:styleId="257">
    <w:name w:val="正文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8">
    <w:name w:val="样式 小四"/>
    <w:basedOn w:val="1"/>
    <w:qFormat/>
    <w:uiPriority w:val="0"/>
    <w:pPr>
      <w:spacing w:before="156" w:beforeLines="50" w:line="300" w:lineRule="auto"/>
      <w:ind w:firstLine="200" w:firstLineChars="200"/>
    </w:pPr>
    <w:rPr>
      <w:rFonts w:cs="宋体"/>
      <w:sz w:val="24"/>
    </w:rPr>
  </w:style>
  <w:style w:type="paragraph" w:customStyle="1" w:styleId="259">
    <w:name w:val="Char Char Char Char Char Char1 Char"/>
    <w:basedOn w:val="1"/>
    <w:semiHidden/>
    <w:qFormat/>
    <w:uiPriority w:val="0"/>
    <w:rPr>
      <w:kern w:val="0"/>
      <w:sz w:val="24"/>
    </w:rPr>
  </w:style>
  <w:style w:type="paragraph" w:customStyle="1" w:styleId="260">
    <w:name w:val="默认段落字体 Para Char"/>
    <w:basedOn w:val="1"/>
    <w:semiHidden/>
    <w:qFormat/>
    <w:uiPriority w:val="0"/>
    <w:pPr>
      <w:spacing w:line="360" w:lineRule="auto"/>
      <w:ind w:firstLine="200" w:firstLineChars="200"/>
    </w:pPr>
    <w:rPr>
      <w:rFonts w:ascii="宋体" w:hAnsi="宋体" w:cs="宋体"/>
      <w:sz w:val="24"/>
      <w:szCs w:val="24"/>
    </w:rPr>
  </w:style>
  <w:style w:type="paragraph" w:customStyle="1" w:styleId="261">
    <w:name w:val=" Char Char Char Char Char Char"/>
    <w:basedOn w:val="1"/>
    <w:qFormat/>
    <w:uiPriority w:val="0"/>
    <w:rPr>
      <w:sz w:val="24"/>
      <w:szCs w:val="24"/>
    </w:rPr>
  </w:style>
  <w:style w:type="paragraph" w:customStyle="1" w:styleId="262">
    <w:name w:val="正文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63">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64">
    <w:name w:val="Char Char Char Char Char Char Char Char Char Char Char1 Char Char Char Char Char Char Char Char Char"/>
    <w:basedOn w:val="1"/>
    <w:qFormat/>
    <w:uiPriority w:val="0"/>
    <w:rPr>
      <w:rFonts w:ascii="Tahoma" w:hAnsi="Tahoma"/>
      <w:sz w:val="24"/>
      <w:szCs w:val="24"/>
    </w:rPr>
  </w:style>
  <w:style w:type="paragraph" w:customStyle="1" w:styleId="265">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6">
    <w:name w:val="海尔正文 New New New"/>
    <w:basedOn w:val="1"/>
    <w:qFormat/>
    <w:uiPriority w:val="0"/>
    <w:pPr>
      <w:spacing w:line="360" w:lineRule="auto"/>
      <w:ind w:firstLine="560" w:firstLineChars="200"/>
    </w:pPr>
    <w:rPr>
      <w:rFonts w:ascii="宋体" w:hAnsi="宋体" w:cs="宋体"/>
      <w:sz w:val="28"/>
      <w:szCs w:val="24"/>
    </w:rPr>
  </w:style>
  <w:style w:type="paragraph" w:customStyle="1" w:styleId="267">
    <w:name w:val="图题i"/>
    <w:basedOn w:val="1"/>
    <w:qFormat/>
    <w:uiPriority w:val="0"/>
    <w:rPr>
      <w:rFonts w:eastAsia="黑体"/>
      <w:sz w:val="28"/>
      <w:szCs w:val="24"/>
    </w:rPr>
  </w:style>
  <w:style w:type="paragraph" w:customStyle="1" w:styleId="268">
    <w:name w:val="供销社正文"/>
    <w:basedOn w:val="1"/>
    <w:qFormat/>
    <w:uiPriority w:val="0"/>
    <w:pPr>
      <w:spacing w:line="360" w:lineRule="auto"/>
      <w:ind w:firstLine="560" w:firstLineChars="200"/>
    </w:pPr>
    <w:rPr>
      <w:rFonts w:ascii="宋体" w:hAnsi="宋体" w:cs="宋体"/>
      <w:sz w:val="28"/>
    </w:rPr>
  </w:style>
  <w:style w:type="paragraph" w:customStyle="1" w:styleId="269">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70">
    <w:name w:val="正文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1">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2">
    <w:name w:val="海尔正文 New New New New New New"/>
    <w:basedOn w:val="1"/>
    <w:qFormat/>
    <w:uiPriority w:val="0"/>
    <w:pPr>
      <w:spacing w:line="360" w:lineRule="auto"/>
      <w:ind w:firstLine="560" w:firstLineChars="200"/>
    </w:pPr>
    <w:rPr>
      <w:rFonts w:ascii="宋体" w:hAnsi="宋体" w:cs="宋体"/>
      <w:sz w:val="28"/>
      <w:szCs w:val="24"/>
      <w:shd w:val="clear" w:color="auto" w:fill="FFFFFF"/>
    </w:rPr>
  </w:style>
  <w:style w:type="paragraph" w:customStyle="1" w:styleId="273">
    <w:name w:val=" Char Char Char Char Char Char1 Char"/>
    <w:basedOn w:val="1"/>
    <w:qFormat/>
    <w:uiPriority w:val="0"/>
    <w:rPr>
      <w:szCs w:val="24"/>
    </w:rPr>
  </w:style>
  <w:style w:type="paragraph" w:customStyle="1" w:styleId="274">
    <w:name w:val="Char"/>
    <w:basedOn w:val="1"/>
    <w:qFormat/>
    <w:uiPriority w:val="0"/>
    <w:rPr>
      <w:sz w:val="24"/>
      <w:szCs w:val="24"/>
    </w:rPr>
  </w:style>
  <w:style w:type="paragraph" w:customStyle="1" w:styleId="275">
    <w:name w:val="duanluo"/>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276">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7">
    <w:name w:val="Table Paragraph"/>
    <w:basedOn w:val="1"/>
    <w:qFormat/>
    <w:uiPriority w:val="0"/>
    <w:pPr>
      <w:autoSpaceDE w:val="0"/>
      <w:autoSpaceDN w:val="0"/>
      <w:jc w:val="left"/>
    </w:pPr>
    <w:rPr>
      <w:rFonts w:ascii="宋体" w:hAnsi="宋体" w:eastAsia="宋体" w:cs="宋体"/>
      <w:kern w:val="0"/>
      <w:sz w:val="22"/>
      <w:szCs w:val="22"/>
      <w:lang w:val="zh-CN" w:bidi="zh-CN"/>
    </w:rPr>
  </w:style>
  <w:style w:type="paragraph" w:customStyle="1" w:styleId="278">
    <w:name w:val="1"/>
    <w:basedOn w:val="1"/>
    <w:next w:val="14"/>
    <w:qFormat/>
    <w:uiPriority w:val="0"/>
    <w:pPr>
      <w:spacing w:line="360" w:lineRule="auto"/>
      <w:ind w:firstLine="480" w:firstLineChars="200"/>
    </w:pPr>
    <w:rPr>
      <w:rFonts w:ascii="宋体"/>
      <w:bCs/>
      <w:sz w:val="24"/>
      <w:szCs w:val="24"/>
    </w:rPr>
  </w:style>
  <w:style w:type="paragraph" w:customStyle="1" w:styleId="279">
    <w:name w:val="正文 New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0">
    <w:name w:val="表格内文字"/>
    <w:basedOn w:val="1"/>
    <w:qFormat/>
    <w:uiPriority w:val="0"/>
    <w:pPr>
      <w:tabs>
        <w:tab w:val="left" w:pos="0"/>
      </w:tabs>
      <w:adjustRightInd w:val="0"/>
      <w:snapToGrid w:val="0"/>
      <w:jc w:val="center"/>
    </w:pPr>
    <w:rPr>
      <w:rFonts w:eastAsia="仿宋_GB2312"/>
      <w:sz w:val="24"/>
      <w:szCs w:val="24"/>
    </w:rPr>
  </w:style>
  <w:style w:type="paragraph" w:customStyle="1" w:styleId="281">
    <w:name w:val="表"/>
    <w:basedOn w:val="1"/>
    <w:qFormat/>
    <w:uiPriority w:val="0"/>
    <w:pPr>
      <w:jc w:val="center"/>
    </w:pPr>
    <w:rPr>
      <w:spacing w:val="2"/>
    </w:rPr>
  </w:style>
  <w:style w:type="paragraph" w:customStyle="1" w:styleId="282">
    <w:name w:val="报告正文"/>
    <w:basedOn w:val="20"/>
    <w:qFormat/>
    <w:uiPriority w:val="0"/>
    <w:pPr>
      <w:spacing w:line="600" w:lineRule="exact"/>
      <w:ind w:firstLine="567"/>
    </w:pPr>
    <w:rPr>
      <w:rFonts w:hAnsi="宋体" w:cs="Times New Roman"/>
      <w:sz w:val="28"/>
      <w:szCs w:val="28"/>
    </w:rPr>
  </w:style>
  <w:style w:type="paragraph" w:customStyle="1" w:styleId="283">
    <w:name w:val="正文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4">
    <w:name w:val="页眉 New New"/>
    <w:basedOn w:val="229"/>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customStyle="1" w:styleId="285">
    <w:name w:val="海尔正文 New New New New New New New"/>
    <w:basedOn w:val="1"/>
    <w:qFormat/>
    <w:uiPriority w:val="0"/>
    <w:pPr>
      <w:spacing w:line="360" w:lineRule="auto"/>
      <w:ind w:firstLine="560" w:firstLineChars="200"/>
    </w:pPr>
    <w:rPr>
      <w:rFonts w:ascii="宋体" w:hAnsi="宋体" w:cs="宋体"/>
      <w:sz w:val="28"/>
      <w:szCs w:val="24"/>
      <w:shd w:val="clear" w:color="auto" w:fill="FFFFFF"/>
    </w:rPr>
  </w:style>
  <w:style w:type="paragraph" w:customStyle="1" w:styleId="286">
    <w:name w:val="正文缩进 New"/>
    <w:basedOn w:val="1"/>
    <w:qFormat/>
    <w:uiPriority w:val="0"/>
    <w:pPr>
      <w:ind w:firstLine="420"/>
    </w:pPr>
  </w:style>
  <w:style w:type="paragraph" w:customStyle="1" w:styleId="287">
    <w:name w:val="页眉 New"/>
    <w:basedOn w:val="199"/>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customStyle="1" w:styleId="28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89">
    <w:name w:val="正文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页眉 New New New New New New"/>
    <w:basedOn w:val="246"/>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customStyle="1" w:styleId="291">
    <w:name w:val="样式 正文 首行缩进:  2 字符 + 首行缩进:  2 字符"/>
    <w:basedOn w:val="1"/>
    <w:qFormat/>
    <w:uiPriority w:val="0"/>
    <w:pPr>
      <w:spacing w:line="520" w:lineRule="exact"/>
      <w:ind w:firstLine="287" w:firstLineChars="150"/>
      <w:jc w:val="center"/>
      <w:textAlignment w:val="bottom"/>
    </w:pPr>
    <w:rPr>
      <w:rFonts w:ascii="宋体" w:hAnsi="宋体"/>
      <w:bCs/>
      <w:w w:val="80"/>
      <w:sz w:val="24"/>
      <w:szCs w:val="24"/>
    </w:rPr>
  </w:style>
  <w:style w:type="paragraph" w:customStyle="1" w:styleId="292">
    <w:name w:val="正文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3">
    <w:name w:val="1 Char Char Char Char"/>
    <w:basedOn w:val="1"/>
    <w:qFormat/>
    <w:uiPriority w:val="0"/>
  </w:style>
  <w:style w:type="paragraph" w:customStyle="1" w:styleId="294">
    <w:name w:val="111正文文本"/>
    <w:basedOn w:val="1"/>
    <w:qFormat/>
    <w:uiPriority w:val="0"/>
    <w:pPr>
      <w:spacing w:before="78" w:line="400" w:lineRule="exact"/>
      <w:ind w:firstLine="480" w:firstLineChars="200"/>
    </w:pPr>
    <w:rPr>
      <w:sz w:val="24"/>
    </w:rPr>
  </w:style>
  <w:style w:type="paragraph" w:customStyle="1" w:styleId="295">
    <w:name w:val="xl22"/>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296">
    <w:name w:val="海尔标题2"/>
    <w:basedOn w:val="4"/>
    <w:qFormat/>
    <w:uiPriority w:val="0"/>
    <w:pPr>
      <w:spacing w:line="240" w:lineRule="atLeast"/>
      <w:jc w:val="left"/>
    </w:pPr>
    <w:rPr>
      <w:rFonts w:ascii="黑体" w:hAnsi="宋体"/>
      <w:bCs w:val="0"/>
    </w:rPr>
  </w:style>
  <w:style w:type="paragraph" w:customStyle="1" w:styleId="297">
    <w:name w:val="页脚 New"/>
    <w:basedOn w:val="288"/>
    <w:qFormat/>
    <w:uiPriority w:val="0"/>
    <w:pPr>
      <w:tabs>
        <w:tab w:val="center" w:pos="4153"/>
        <w:tab w:val="right" w:pos="8306"/>
      </w:tabs>
      <w:snapToGrid w:val="0"/>
      <w:jc w:val="left"/>
    </w:pPr>
    <w:rPr>
      <w:sz w:val="18"/>
    </w:rPr>
  </w:style>
  <w:style w:type="paragraph" w:customStyle="1" w:styleId="298">
    <w:name w:val="Char Char Char3 Char"/>
    <w:basedOn w:val="1"/>
    <w:qFormat/>
    <w:uiPriority w:val="0"/>
    <w:rPr>
      <w:rFonts w:eastAsia="楷体_GB2312"/>
      <w:bCs/>
      <w:spacing w:val="34"/>
      <w:sz w:val="28"/>
      <w:szCs w:val="32"/>
    </w:rPr>
  </w:style>
  <w:style w:type="paragraph" w:customStyle="1" w:styleId="299">
    <w:name w:val="报告正文 New"/>
    <w:basedOn w:val="20"/>
    <w:qFormat/>
    <w:uiPriority w:val="0"/>
    <w:pPr>
      <w:spacing w:line="600" w:lineRule="exact"/>
      <w:ind w:firstLine="567"/>
    </w:pPr>
    <w:rPr>
      <w:rFonts w:hAnsi="宋体" w:cs="Times New Roman"/>
      <w:sz w:val="28"/>
      <w:szCs w:val="28"/>
    </w:rPr>
  </w:style>
  <w:style w:type="paragraph" w:customStyle="1" w:styleId="300">
    <w:name w:val=" Char Char Char Char"/>
    <w:basedOn w:val="1"/>
    <w:qFormat/>
    <w:uiPriority w:val="0"/>
    <w:rPr>
      <w:szCs w:val="24"/>
    </w:rPr>
  </w:style>
  <w:style w:type="paragraph" w:customStyle="1" w:styleId="301">
    <w:name w:val="海尔正文"/>
    <w:basedOn w:val="1"/>
    <w:qFormat/>
    <w:uiPriority w:val="0"/>
    <w:pPr>
      <w:spacing w:line="360" w:lineRule="auto"/>
      <w:ind w:firstLine="560" w:firstLineChars="200"/>
    </w:pPr>
    <w:rPr>
      <w:rFonts w:ascii="宋体" w:hAnsi="宋体" w:cs="宋体"/>
      <w:sz w:val="28"/>
    </w:rPr>
  </w:style>
  <w:style w:type="paragraph" w:customStyle="1" w:styleId="302">
    <w:name w:val="正文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3">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4">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5">
    <w:name w:val="正文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6">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7">
    <w:name w:val="海尔标题3 + 加粗"/>
    <w:basedOn w:val="1"/>
    <w:qFormat/>
    <w:uiPriority w:val="0"/>
    <w:pPr>
      <w:spacing w:line="360" w:lineRule="auto"/>
    </w:pPr>
    <w:rPr>
      <w:rFonts w:ascii="宋体" w:hAnsi="宋体" w:eastAsia="黑体" w:cs="宋体"/>
      <w:b/>
      <w:bCs/>
      <w:sz w:val="28"/>
    </w:rPr>
  </w:style>
  <w:style w:type="paragraph" w:customStyle="1" w:styleId="308">
    <w:name w:val="默认段落字体 Para Char Char Char Char"/>
    <w:basedOn w:val="1"/>
    <w:qFormat/>
    <w:uiPriority w:val="0"/>
    <w:pPr>
      <w:spacing w:line="360" w:lineRule="auto"/>
      <w:ind w:firstLine="200" w:firstLineChars="200"/>
    </w:pPr>
    <w:rPr>
      <w:kern w:val="0"/>
      <w:szCs w:val="21"/>
    </w:rPr>
  </w:style>
  <w:style w:type="paragraph" w:customStyle="1" w:styleId="309">
    <w:name w:val="页脚 New New New"/>
    <w:basedOn w:val="1"/>
    <w:qFormat/>
    <w:uiPriority w:val="0"/>
    <w:pPr>
      <w:tabs>
        <w:tab w:val="center" w:pos="4153"/>
        <w:tab w:val="right" w:pos="8306"/>
      </w:tabs>
      <w:snapToGrid w:val="0"/>
      <w:jc w:val="left"/>
    </w:pPr>
    <w:rPr>
      <w:sz w:val="18"/>
      <w:szCs w:val="18"/>
    </w:rPr>
  </w:style>
  <w:style w:type="paragraph" w:customStyle="1" w:styleId="310">
    <w:name w:val="正文缩进 New New New New New New"/>
    <w:basedOn w:val="1"/>
    <w:qFormat/>
    <w:uiPriority w:val="0"/>
    <w:pPr>
      <w:ind w:firstLine="420"/>
    </w:pPr>
  </w:style>
  <w:style w:type="paragraph" w:customStyle="1" w:styleId="311">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2">
    <w:name w:val="表1表2"/>
    <w:basedOn w:val="1"/>
    <w:qFormat/>
    <w:uiPriority w:val="0"/>
    <w:pPr>
      <w:autoSpaceDE w:val="0"/>
      <w:autoSpaceDN w:val="0"/>
      <w:adjustRightInd w:val="0"/>
      <w:spacing w:line="360" w:lineRule="auto"/>
      <w:jc w:val="center"/>
      <w:textAlignment w:val="center"/>
    </w:pPr>
    <w:rPr>
      <w:rFonts w:ascii="宋体" w:hAnsi="宋体" w:eastAsia="仿宋体"/>
      <w:kern w:val="0"/>
      <w:sz w:val="24"/>
    </w:rPr>
  </w:style>
  <w:style w:type="paragraph" w:customStyle="1" w:styleId="313">
    <w:name w:val="正文修改"/>
    <w:basedOn w:val="1"/>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eastAsia" w:ascii="宋体" w:hAnsi="宋体"/>
      <w:kern w:val="0"/>
      <w:sz w:val="24"/>
    </w:rPr>
  </w:style>
  <w:style w:type="paragraph" w:customStyle="1" w:styleId="314">
    <w:name w:val="平表头"/>
    <w:basedOn w:val="8"/>
    <w:next w:val="1"/>
    <w:qFormat/>
    <w:uiPriority w:val="0"/>
    <w:pPr>
      <w:spacing w:before="156"/>
      <w:jc w:val="center"/>
    </w:pPr>
    <w:rPr>
      <w:rFonts w:eastAsia="黑体"/>
      <w:spacing w:val="4"/>
      <w:sz w:val="28"/>
    </w:rPr>
  </w:style>
  <w:style w:type="paragraph" w:customStyle="1" w:styleId="315">
    <w:name w:val=" Char Char Char Char Char Char Char"/>
    <w:basedOn w:val="1"/>
    <w:qFormat/>
    <w:uiPriority w:val="0"/>
    <w:rPr>
      <w:sz w:val="24"/>
    </w:rPr>
  </w:style>
  <w:style w:type="paragraph" w:customStyle="1" w:styleId="316">
    <w:name w:val="Default New New"/>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17">
    <w:name w:val="Revision"/>
    <w:qFormat/>
    <w:uiPriority w:val="0"/>
    <w:rPr>
      <w:rFonts w:ascii="Times New Roman" w:hAnsi="Times New Roman" w:eastAsia="宋体" w:cs="Times New Roman"/>
      <w:kern w:val="2"/>
      <w:sz w:val="21"/>
      <w:szCs w:val="24"/>
      <w:lang w:val="en-US" w:eastAsia="zh-CN" w:bidi="ar-SA"/>
    </w:rPr>
  </w:style>
  <w:style w:type="paragraph" w:customStyle="1" w:styleId="318">
    <w:name w:val="reader-word-layer reader-word-s1-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19">
    <w:name w:val=" Char Char1"/>
    <w:basedOn w:val="1"/>
    <w:qFormat/>
    <w:uiPriority w:val="0"/>
    <w:rPr>
      <w:szCs w:val="24"/>
    </w:rPr>
  </w:style>
  <w:style w:type="paragraph" w:customStyle="1" w:styleId="320">
    <w:name w:val="列表2"/>
    <w:basedOn w:val="1"/>
    <w:qFormat/>
    <w:uiPriority w:val="0"/>
    <w:pPr>
      <w:jc w:val="center"/>
    </w:pPr>
    <w:rPr>
      <w:szCs w:val="24"/>
    </w:rPr>
  </w:style>
  <w:style w:type="character" w:customStyle="1" w:styleId="321">
    <w:name w:val="正文-可研 Char"/>
    <w:link w:val="322"/>
    <w:qFormat/>
    <w:uiPriority w:val="0"/>
    <w:rPr>
      <w:rFonts w:hAnsi="Calibri"/>
      <w:kern w:val="2"/>
      <w:sz w:val="24"/>
      <w:szCs w:val="21"/>
    </w:rPr>
  </w:style>
  <w:style w:type="paragraph" w:customStyle="1" w:styleId="322">
    <w:name w:val="正文-可研"/>
    <w:basedOn w:val="1"/>
    <w:link w:val="321"/>
    <w:qFormat/>
    <w:uiPriority w:val="0"/>
    <w:pPr>
      <w:spacing w:line="360" w:lineRule="auto"/>
      <w:ind w:firstLine="480" w:firstLineChars="200"/>
    </w:pPr>
    <w:rPr>
      <w:rFonts w:hAnsi="Calibri"/>
      <w:sz w:val="24"/>
      <w:szCs w:val="21"/>
    </w:rPr>
  </w:style>
  <w:style w:type="table" w:customStyle="1" w:styleId="323">
    <w:name w:val="Table Normal"/>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character" w:customStyle="1" w:styleId="324">
    <w:name w:val="表格-可研 Char"/>
    <w:link w:val="325"/>
    <w:qFormat/>
    <w:uiPriority w:val="0"/>
    <w:rPr>
      <w:color w:val="000000"/>
      <w:kern w:val="2"/>
      <w:sz w:val="21"/>
    </w:rPr>
  </w:style>
  <w:style w:type="paragraph" w:customStyle="1" w:styleId="325">
    <w:name w:val="表格-可研"/>
    <w:basedOn w:val="90"/>
    <w:next w:val="1"/>
    <w:link w:val="324"/>
    <w:qFormat/>
    <w:uiPriority w:val="0"/>
    <w:pPr>
      <w:autoSpaceDE w:val="0"/>
      <w:autoSpaceDN w:val="0"/>
      <w:spacing w:beforeLines="20" w:afterLines="20" w:line="240" w:lineRule="auto"/>
      <w:textAlignment w:val="center"/>
    </w:pPr>
    <w:rPr>
      <w:rFonts w:eastAsia="宋体"/>
      <w:color w:val="000000"/>
    </w:rPr>
  </w:style>
  <w:style w:type="paragraph" w:customStyle="1" w:styleId="326">
    <w:name w:val="默认段落字体 Para Char Char Char Char Char Char Char Char Char Char Char Char Char"/>
    <w:basedOn w:val="1"/>
    <w:qFormat/>
    <w:uiPriority w:val="0"/>
    <w:pPr>
      <w:spacing w:line="360" w:lineRule="auto"/>
      <w:ind w:firstLine="200" w:firstLineChars="200"/>
    </w:pPr>
    <w:rPr>
      <w:spacing w:val="10"/>
      <w:sz w:val="24"/>
      <w:szCs w:val="24"/>
    </w:rPr>
  </w:style>
  <w:style w:type="paragraph" w:customStyle="1" w:styleId="327">
    <w:name w:val="正文样式"/>
    <w:basedOn w:val="1"/>
    <w:qFormat/>
    <w:uiPriority w:val="0"/>
    <w:pPr>
      <w:spacing w:line="360" w:lineRule="auto"/>
      <w:ind w:firstLine="480" w:firstLineChars="200"/>
    </w:pPr>
    <w:rPr>
      <w:rFonts w:cs="黑体"/>
      <w:sz w:val="24"/>
      <w:szCs w:val="22"/>
    </w:rPr>
  </w:style>
  <w:style w:type="character" w:customStyle="1" w:styleId="328">
    <w:name w:val="表格正文 Char"/>
    <w:basedOn w:val="42"/>
    <w:link w:val="329"/>
    <w:qFormat/>
    <w:uiPriority w:val="0"/>
    <w:rPr>
      <w:rFonts w:ascii="仿宋_GB2312" w:eastAsia="仿宋_GB2312" w:cs="宋体"/>
      <w:kern w:val="2"/>
      <w:sz w:val="21"/>
      <w:szCs w:val="24"/>
    </w:rPr>
  </w:style>
  <w:style w:type="paragraph" w:customStyle="1" w:styleId="329">
    <w:name w:val="表格正文"/>
    <w:basedOn w:val="7"/>
    <w:link w:val="328"/>
    <w:qFormat/>
    <w:uiPriority w:val="0"/>
    <w:pPr>
      <w:jc w:val="center"/>
    </w:pPr>
    <w:rPr>
      <w:rFonts w:ascii="仿宋_GB2312" w:eastAsia="仿宋_GB2312" w:cs="宋体"/>
      <w:szCs w:val="24"/>
    </w:rPr>
  </w:style>
  <w:style w:type="paragraph" w:customStyle="1" w:styleId="330">
    <w:name w:val="三级标题"/>
    <w:basedOn w:val="1"/>
    <w:next w:val="16"/>
    <w:qFormat/>
    <w:uiPriority w:val="0"/>
    <w:pPr>
      <w:spacing w:line="320" w:lineRule="exact"/>
      <w:jc w:val="center"/>
    </w:pPr>
    <w:rPr>
      <w:color w:val="000000"/>
      <w:spacing w:val="-6"/>
      <w:szCs w:val="24"/>
    </w:rPr>
  </w:style>
  <w:style w:type="character" w:customStyle="1" w:styleId="331">
    <w:name w:val="fontstyle01"/>
    <w:basedOn w:val="42"/>
    <w:qFormat/>
    <w:uiPriority w:val="0"/>
    <w:rPr>
      <w:rFonts w:hint="default" w:ascii="F2" w:hAnsi="F2"/>
      <w:color w:val="000000"/>
      <w:sz w:val="24"/>
      <w:szCs w:val="24"/>
    </w:rPr>
  </w:style>
  <w:style w:type="character" w:customStyle="1" w:styleId="332">
    <w:name w:val="font51"/>
    <w:basedOn w:val="42"/>
    <w:qFormat/>
    <w:uiPriority w:val="0"/>
    <w:rPr>
      <w:rFonts w:hint="eastAsia" w:ascii="宋体" w:hAnsi="宋体" w:eastAsia="宋体" w:cs="宋体"/>
      <w:color w:val="000000"/>
      <w:sz w:val="21"/>
      <w:szCs w:val="21"/>
      <w:u w:val="none"/>
    </w:rPr>
  </w:style>
  <w:style w:type="paragraph" w:customStyle="1" w:styleId="333">
    <w:name w:val="报告"/>
    <w:basedOn w:val="1"/>
    <w:qFormat/>
    <w:uiPriority w:val="0"/>
    <w:pPr>
      <w:adjustRightInd w:val="0"/>
      <w:spacing w:line="360" w:lineRule="auto"/>
      <w:ind w:firstLine="505"/>
      <w:textAlignment w:val="baseline"/>
    </w:pPr>
    <w:rPr>
      <w:kern w:val="0"/>
      <w:sz w:val="24"/>
      <w:szCs w:val="20"/>
    </w:rPr>
  </w:style>
  <w:style w:type="paragraph" w:customStyle="1" w:styleId="334">
    <w:name w:val="表格标题"/>
    <w:basedOn w:val="1"/>
    <w:next w:val="1"/>
    <w:qFormat/>
    <w:uiPriority w:val="0"/>
    <w:pPr>
      <w:spacing w:line="360" w:lineRule="auto"/>
      <w:jc w:val="center"/>
    </w:pPr>
    <w:rPr>
      <w:b/>
      <w:szCs w:val="20"/>
    </w:rPr>
  </w:style>
  <w:style w:type="paragraph" w:customStyle="1" w:styleId="335">
    <w:name w:val="表格内容"/>
    <w:basedOn w:val="334"/>
    <w:next w:val="1"/>
    <w:qFormat/>
    <w:uiPriority w:val="0"/>
    <w:pPr>
      <w:spacing w:line="360" w:lineRule="exact"/>
      <w:jc w:val="center"/>
    </w:pPr>
    <w:rPr>
      <w:rFonts w:cs="Times New Roman"/>
      <w:sz w:val="21"/>
      <w:szCs w:val="21"/>
    </w:rPr>
  </w:style>
  <w:style w:type="paragraph" w:customStyle="1" w:styleId="336">
    <w:name w:val="表格内"/>
    <w:basedOn w:val="1"/>
    <w:qFormat/>
    <w:uiPriority w:val="0"/>
    <w:pPr>
      <w:pBdr>
        <w:top w:val="none" w:color="auto" w:sz="0" w:space="1"/>
        <w:left w:val="none" w:color="auto" w:sz="0" w:space="4"/>
        <w:bottom w:val="none" w:color="auto" w:sz="0" w:space="1"/>
        <w:right w:val="none" w:color="auto" w:sz="0" w:space="4"/>
      </w:pBdr>
      <w:spacing w:line="240" w:lineRule="auto"/>
      <w:ind w:firstLine="0" w:firstLineChars="0"/>
      <w:jc w:val="center"/>
    </w:pPr>
    <w:rPr>
      <w:sz w:val="21"/>
      <w:szCs w:val="21"/>
    </w:rPr>
  </w:style>
  <w:style w:type="paragraph" w:customStyle="1" w:styleId="337">
    <w:name w:val="表格 32"/>
    <w:basedOn w:val="1"/>
    <w:qFormat/>
    <w:uiPriority w:val="0"/>
    <w:pPr>
      <w:autoSpaceDE w:val="0"/>
      <w:autoSpaceDN w:val="0"/>
      <w:adjustRightInd w:val="0"/>
      <w:spacing w:line="240" w:lineRule="atLeast"/>
      <w:jc w:val="center"/>
    </w:pPr>
    <w:rPr>
      <w:kern w:val="0"/>
      <w:sz w:val="24"/>
    </w:rPr>
  </w:style>
  <w:style w:type="paragraph" w:customStyle="1" w:styleId="338">
    <w:name w:val="正文-7"/>
    <w:basedOn w:val="1"/>
    <w:qFormat/>
    <w:uiPriority w:val="0"/>
    <w:pPr>
      <w:spacing w:line="440" w:lineRule="exact"/>
      <w:ind w:firstLine="200" w:firstLineChars="200"/>
    </w:pPr>
    <w:rPr>
      <w:snapToGrid w:val="0"/>
      <w:kern w:val="0"/>
      <w:sz w:val="24"/>
    </w:rPr>
  </w:style>
  <w:style w:type="paragraph" w:customStyle="1" w:styleId="339">
    <w:name w:val="正文6"/>
    <w:basedOn w:val="1"/>
    <w:qFormat/>
    <w:uiPriority w:val="0"/>
    <w:pPr>
      <w:spacing w:before="260" w:line="440" w:lineRule="exact"/>
      <w:ind w:firstLine="200" w:firstLineChars="200"/>
    </w:pPr>
    <w:rPr>
      <w:rFonts w:eastAsia="Times New Roman"/>
      <w:snapToGrid w:val="0"/>
      <w:kern w:val="0"/>
      <w:sz w:val="24"/>
    </w:rPr>
  </w:style>
  <w:style w:type="character" w:customStyle="1" w:styleId="340">
    <w:name w:val="content"/>
    <w:basedOn w:val="42"/>
    <w:qFormat/>
    <w:uiPriority w:val="0"/>
    <w:rPr>
      <w:szCs w:val="20"/>
    </w:rPr>
  </w:style>
  <w:style w:type="paragraph" w:customStyle="1" w:styleId="341">
    <w:name w:val="_Style 7"/>
    <w:next w:val="1"/>
    <w:qFormat/>
    <w:uiPriority w:val="0"/>
    <w:pPr>
      <w:wordWrap w:val="0"/>
    </w:pPr>
    <w:rPr>
      <w:rFonts w:ascii="Times New Roman" w:hAnsi="Times New Roman" w:eastAsia="宋体" w:cs="Times New Roman"/>
      <w:sz w:val="32"/>
      <w:lang w:val="en-US" w:eastAsia="zh-CN" w:bidi="ar-SA"/>
    </w:rPr>
  </w:style>
  <w:style w:type="character" w:customStyle="1" w:styleId="342">
    <w:name w:val="font71"/>
    <w:basedOn w:val="42"/>
    <w:qFormat/>
    <w:uiPriority w:val="0"/>
    <w:rPr>
      <w:rFonts w:hint="default" w:ascii="Times New Roman" w:hAnsi="Times New Roman" w:cs="Times New Roman"/>
      <w:color w:val="000000"/>
      <w:sz w:val="21"/>
      <w:szCs w:val="21"/>
      <w:u w:val="none"/>
      <w:vertAlign w:val="subscript"/>
    </w:rPr>
  </w:style>
  <w:style w:type="character" w:customStyle="1" w:styleId="343">
    <w:name w:val="font81"/>
    <w:basedOn w:val="42"/>
    <w:qFormat/>
    <w:uiPriority w:val="0"/>
    <w:rPr>
      <w:rFonts w:hint="eastAsia" w:ascii="宋体" w:hAnsi="宋体" w:eastAsia="宋体" w:cs="宋体"/>
      <w:color w:val="000000"/>
      <w:sz w:val="18"/>
      <w:szCs w:val="18"/>
      <w:u w:val="none"/>
    </w:rPr>
  </w:style>
  <w:style w:type="character" w:customStyle="1" w:styleId="344">
    <w:name w:val="font61"/>
    <w:basedOn w:val="42"/>
    <w:qFormat/>
    <w:uiPriority w:val="0"/>
    <w:rPr>
      <w:rFonts w:hint="default" w:ascii="Times New Roman" w:hAnsi="Times New Roman" w:cs="Times New Roman"/>
      <w:color w:val="000000"/>
      <w:sz w:val="21"/>
      <w:szCs w:val="21"/>
      <w:u w:val="none"/>
      <w:vertAlign w:val="subscript"/>
    </w:rPr>
  </w:style>
  <w:style w:type="paragraph" w:customStyle="1" w:styleId="345">
    <w:name w:val="Default1"/>
    <w:basedOn w:val="346"/>
    <w:next w:val="1"/>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346">
    <w:name w:val="Normal_14_0"/>
    <w:qFormat/>
    <w:uiPriority w:val="0"/>
    <w:pPr>
      <w:spacing w:before="120" w:after="240"/>
      <w:jc w:val="both"/>
    </w:pPr>
    <w:rPr>
      <w:rFonts w:ascii="Calibri" w:hAnsi="Calibri" w:eastAsia="Calibri" w:cs="Times New Roman"/>
      <w:sz w:val="22"/>
      <w:szCs w:val="22"/>
      <w:lang w:val="ru-RU" w:eastAsia="en-US" w:bidi="ar-SA"/>
    </w:rPr>
  </w:style>
  <w:style w:type="character" w:customStyle="1" w:styleId="347">
    <w:name w:val="fontstyle31"/>
    <w:qFormat/>
    <w:uiPriority w:val="0"/>
    <w:rPr>
      <w:rFonts w:hint="default" w:ascii="TimesNewRomanPSMT" w:hAnsi="TimesNewRomanPSMT"/>
      <w:color w:val="000000"/>
      <w:sz w:val="24"/>
      <w:szCs w:val="24"/>
    </w:rPr>
  </w:style>
  <w:style w:type="paragraph" w:customStyle="1" w:styleId="348">
    <w:name w:val="5正文"/>
    <w:basedOn w:val="1"/>
    <w:qFormat/>
    <w:uiPriority w:val="0"/>
    <w:pPr>
      <w:snapToGrid w:val="0"/>
      <w:spacing w:line="360" w:lineRule="auto"/>
      <w:ind w:firstLine="200" w:firstLineChars="200"/>
    </w:pPr>
    <w:rPr>
      <w:sz w:val="24"/>
      <w:lang w:val="zh-CN"/>
    </w:rPr>
  </w:style>
  <w:style w:type="paragraph" w:customStyle="1" w:styleId="349">
    <w:name w:val="样式 自动设置"/>
    <w:basedOn w:val="1"/>
    <w:qFormat/>
    <w:uiPriority w:val="0"/>
    <w:pPr>
      <w:autoSpaceDE w:val="0"/>
      <w:autoSpaceDN w:val="0"/>
      <w:adjustRightInd w:val="0"/>
      <w:snapToGrid w:val="0"/>
      <w:spacing w:beforeLines="50" w:line="288" w:lineRule="auto"/>
      <w:ind w:firstLine="200" w:firstLineChars="200"/>
    </w:pPr>
    <w:rPr>
      <w:kern w:val="0"/>
      <w:sz w:val="20"/>
      <w:lang w:val="zh-CN"/>
    </w:rPr>
  </w:style>
  <w:style w:type="paragraph" w:customStyle="1" w:styleId="350">
    <w:name w:val="xl23"/>
    <w:basedOn w:val="1"/>
    <w:qFormat/>
    <w:uiPriority w:val="0"/>
    <w:pPr>
      <w:widowControl/>
      <w:spacing w:before="100" w:beforeAutospacing="1" w:after="100" w:afterAutospacing="1"/>
      <w:jc w:val="center"/>
    </w:pPr>
    <w:rPr>
      <w:rFonts w:ascii="Arial Unicode MS" w:hAnsi="Arial Unicode MS"/>
      <w:kern w:val="0"/>
      <w:sz w:val="24"/>
      <w:szCs w:val="20"/>
    </w:rPr>
  </w:style>
  <w:style w:type="paragraph" w:customStyle="1" w:styleId="351">
    <w:name w:val="无间隔1"/>
    <w:qFormat/>
    <w:uiPriority w:val="99"/>
    <w:pPr>
      <w:widowControl w:val="0"/>
      <w:jc w:val="both"/>
    </w:pPr>
    <w:rPr>
      <w:rFonts w:ascii="Times New Roman" w:hAnsi="Times New Roman" w:eastAsia="宋体" w:cs="Times New Roman"/>
      <w:kern w:val="2"/>
      <w:sz w:val="24"/>
      <w:szCs w:val="24"/>
      <w:lang w:val="en-US" w:eastAsia="zh-CN" w:bidi="ar-SA"/>
    </w:rPr>
  </w:style>
  <w:style w:type="paragraph" w:customStyle="1" w:styleId="352">
    <w:name w:val="4表头、图头格式"/>
    <w:basedOn w:val="1"/>
    <w:qFormat/>
    <w:uiPriority w:val="0"/>
    <w:pPr>
      <w:jc w:val="center"/>
    </w:pPr>
    <w:rPr>
      <w:rFonts w:cs="Calibri"/>
      <w:b/>
      <w:kern w:val="0"/>
      <w:szCs w:val="21"/>
    </w:rPr>
  </w:style>
  <w:style w:type="paragraph" w:customStyle="1" w:styleId="353">
    <w:name w:val="5三级标题ee"/>
    <w:basedOn w:val="1"/>
    <w:qFormat/>
    <w:uiPriority w:val="0"/>
    <w:pPr>
      <w:autoSpaceDE w:val="0"/>
      <w:autoSpaceDN w:val="0"/>
      <w:adjustRightInd w:val="0"/>
      <w:snapToGrid w:val="0"/>
      <w:spacing w:line="360" w:lineRule="auto"/>
    </w:pPr>
    <w:rPr>
      <w:b/>
      <w:bCs/>
      <w:snapToGrid w:val="0"/>
      <w:color w:val="000000"/>
      <w:kern w:val="0"/>
      <w:sz w:val="24"/>
      <w:lang w:val="zh-CN"/>
    </w:rPr>
  </w:style>
  <w:style w:type="paragraph" w:customStyle="1" w:styleId="354">
    <w:name w:val="图标标题"/>
    <w:basedOn w:val="1"/>
    <w:qFormat/>
    <w:uiPriority w:val="0"/>
    <w:pPr>
      <w:jc w:val="center"/>
    </w:pPr>
    <w:rPr>
      <w:rFonts w:eastAsia="黑体"/>
      <w:szCs w:val="21"/>
    </w:rPr>
  </w:style>
  <w:style w:type="paragraph" w:customStyle="1" w:styleId="355">
    <w:name w:val="WPSOffice手动目录 1"/>
    <w:qFormat/>
    <w:uiPriority w:val="0"/>
    <w:rPr>
      <w:rFonts w:ascii="Times New Roman" w:hAnsi="Times New Roman" w:eastAsia="宋体" w:cs="Times New Roman"/>
      <w:lang w:val="en-US" w:eastAsia="zh-CN" w:bidi="ar-SA"/>
    </w:rPr>
  </w:style>
  <w:style w:type="paragraph" w:customStyle="1" w:styleId="356">
    <w:name w:val="Table Text"/>
    <w:basedOn w:val="1"/>
    <w:semiHidden/>
    <w:qFormat/>
    <w:uiPriority w:val="0"/>
    <w:rPr>
      <w:rFonts w:ascii="宋体" w:hAnsi="宋体" w:eastAsia="宋体" w:cs="宋体"/>
      <w:sz w:val="24"/>
      <w:szCs w:val="24"/>
      <w:lang w:val="en-US" w:eastAsia="en-US" w:bidi="ar-SA"/>
    </w:rPr>
  </w:style>
  <w:style w:type="paragraph" w:customStyle="1" w:styleId="357">
    <w:name w:val="a-w正文"/>
    <w:qFormat/>
    <w:uiPriority w:val="0"/>
    <w:pPr>
      <w:tabs>
        <w:tab w:val="left" w:pos="567"/>
        <w:tab w:val="left" w:pos="851"/>
      </w:tabs>
      <w:adjustRightInd w:val="0"/>
      <w:snapToGrid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6.jpe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footer" Target="footer1.xml"/><Relationship Id="rId39" Type="http://schemas.openxmlformats.org/officeDocument/2006/relationships/image" Target="media/image18.png"/><Relationship Id="rId38" Type="http://schemas.openxmlformats.org/officeDocument/2006/relationships/image" Target="media/image17.emf"/><Relationship Id="rId37" Type="http://schemas.openxmlformats.org/officeDocument/2006/relationships/image" Target="media/image16.wmf"/><Relationship Id="rId36" Type="http://schemas.openxmlformats.org/officeDocument/2006/relationships/oleObject" Target="embeddings/oleObject11.bin"/><Relationship Id="rId35" Type="http://schemas.openxmlformats.org/officeDocument/2006/relationships/image" Target="media/image15.wmf"/><Relationship Id="rId34" Type="http://schemas.openxmlformats.org/officeDocument/2006/relationships/oleObject" Target="embeddings/oleObject10.bin"/><Relationship Id="rId33" Type="http://schemas.openxmlformats.org/officeDocument/2006/relationships/image" Target="media/image14.wmf"/><Relationship Id="rId32" Type="http://schemas.openxmlformats.org/officeDocument/2006/relationships/oleObject" Target="embeddings/oleObject9.bin"/><Relationship Id="rId31" Type="http://schemas.openxmlformats.org/officeDocument/2006/relationships/image" Target="media/image13.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image" Target="media/image12.wmf"/><Relationship Id="rId28" Type="http://schemas.openxmlformats.org/officeDocument/2006/relationships/oleObject" Target="embeddings/oleObject7.bin"/><Relationship Id="rId27" Type="http://schemas.openxmlformats.org/officeDocument/2006/relationships/image" Target="media/image11.wmf"/><Relationship Id="rId26" Type="http://schemas.openxmlformats.org/officeDocument/2006/relationships/oleObject" Target="embeddings/oleObject6.bin"/><Relationship Id="rId25" Type="http://schemas.openxmlformats.org/officeDocument/2006/relationships/image" Target="media/image10.wmf"/><Relationship Id="rId24" Type="http://schemas.openxmlformats.org/officeDocument/2006/relationships/oleObject" Target="embeddings/oleObject5.bin"/><Relationship Id="rId23" Type="http://schemas.openxmlformats.org/officeDocument/2006/relationships/image" Target="media/image9.wmf"/><Relationship Id="rId22" Type="http://schemas.openxmlformats.org/officeDocument/2006/relationships/oleObject" Target="embeddings/oleObject4.bin"/><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emf"/><Relationship Id="rId17" Type="http://schemas.openxmlformats.org/officeDocument/2006/relationships/oleObject" Target="embeddings/oleObject3.bin"/><Relationship Id="rId16" Type="http://schemas.openxmlformats.org/officeDocument/2006/relationships/image" Target="media/image4.png"/><Relationship Id="rId15" Type="http://schemas.openxmlformats.org/officeDocument/2006/relationships/image" Target="media/image3.emf"/><Relationship Id="rId14" Type="http://schemas.openxmlformats.org/officeDocument/2006/relationships/oleObject" Target="embeddings/oleObject2.bin"/><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92</Pages>
  <Words>16250</Words>
  <Characters>17277</Characters>
  <Lines>236</Lines>
  <Paragraphs>66</Paragraphs>
  <TotalTime>6</TotalTime>
  <ScaleCrop>false</ScaleCrop>
  <LinksUpToDate>false</LinksUpToDate>
  <CharactersWithSpaces>17553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2019-03-25T07:27:00Z</dcterms:created>
  <dc:creator>孙贝贝</dc:creator>
  <cp:lastModifiedBy>远</cp:lastModifiedBy>
  <cp:lastPrinted>2020-09-28T08:42:00Z</cp:lastPrinted>
  <dcterms:modified xsi:type="dcterms:W3CDTF">2025-06-12T06:37:20Z</dcterms:modified>
  <cp:revision>395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B3B575C514E74C3C988A64D9E3E5D0DE_13</vt:lpwstr>
  </property>
  <property fmtid="{D5CDD505-2E9C-101B-9397-08002B2CF9AE}" pid="4" name="commondata">
    <vt:lpwstr>eyJoZGlkIjoiMGRjNTAxOWI5ZDEyZTA4ZjU5YmY5ZWE4OTJiYmJhYWUifQ==</vt:lpwstr>
  </property>
  <property fmtid="{D5CDD505-2E9C-101B-9397-08002B2CF9AE}" pid="5" name="KSOTemplateDocerSaveRecord">
    <vt:lpwstr>eyJoZGlkIjoiZWQ1MDk0ZDZlN2YwMGE0NWIyYTNlNTQxNzExYTVlNzUiLCJ1c2VySWQiOiIyODY5OTIzNDYifQ==</vt:lpwstr>
  </property>
</Properties>
</file>